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26C" w14:textId="3397921C" w:rsidR="00EE7DD4" w:rsidRPr="00541A82" w:rsidRDefault="003E606F" w:rsidP="00EE7DD4">
      <w:pPr>
        <w:jc w:val="center"/>
        <w:rPr>
          <w:b/>
          <w:sz w:val="28"/>
          <w:szCs w:val="28"/>
        </w:rPr>
      </w:pPr>
      <w:r w:rsidRPr="00541A82">
        <w:rPr>
          <w:b/>
          <w:sz w:val="28"/>
          <w:szCs w:val="28"/>
        </w:rPr>
        <w:t xml:space="preserve">ANEXO </w:t>
      </w:r>
      <w:r w:rsidR="000C0CF9">
        <w:rPr>
          <w:b/>
          <w:sz w:val="28"/>
          <w:szCs w:val="28"/>
        </w:rPr>
        <w:t>V</w:t>
      </w:r>
      <w:r w:rsidRPr="00541A82">
        <w:rPr>
          <w:b/>
          <w:sz w:val="28"/>
          <w:szCs w:val="28"/>
        </w:rPr>
        <w:t xml:space="preserve">III – </w:t>
      </w:r>
      <w:r w:rsidR="000C0CF9">
        <w:rPr>
          <w:b/>
          <w:sz w:val="28"/>
          <w:szCs w:val="28"/>
        </w:rPr>
        <w:t>MATRIZ DE RISCOS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268"/>
        <w:gridCol w:w="2551"/>
        <w:gridCol w:w="1807"/>
      </w:tblGrid>
      <w:tr w:rsidR="000C0CF9" w14:paraId="77757F8C" w14:textId="77777777" w:rsidTr="00D90CD0">
        <w:tc>
          <w:tcPr>
            <w:tcW w:w="1838" w:type="dxa"/>
            <w:vAlign w:val="center"/>
          </w:tcPr>
          <w:p w14:paraId="3E908D6A" w14:textId="68C0B680" w:rsidR="000C0CF9" w:rsidRPr="00D90CD0" w:rsidRDefault="000C0CF9" w:rsidP="00D90CD0">
            <w:pPr>
              <w:jc w:val="center"/>
              <w:rPr>
                <w:b/>
                <w:bCs/>
              </w:rPr>
            </w:pPr>
            <w:r w:rsidRPr="00D90CD0">
              <w:rPr>
                <w:rFonts w:ascii="CIDFont+F4" w:hAnsi="CIDFont+F4" w:cs="CIDFont+F4"/>
                <w:b/>
                <w:bCs/>
                <w:kern w:val="0"/>
              </w:rPr>
              <w:t>Categoria do Risco</w:t>
            </w:r>
          </w:p>
        </w:tc>
        <w:tc>
          <w:tcPr>
            <w:tcW w:w="5245" w:type="dxa"/>
            <w:vAlign w:val="center"/>
          </w:tcPr>
          <w:p w14:paraId="4A8DF2F3" w14:textId="309701D1" w:rsidR="000C0CF9" w:rsidRPr="00D90CD0" w:rsidRDefault="000C0CF9" w:rsidP="00D90CD0">
            <w:pPr>
              <w:jc w:val="center"/>
              <w:rPr>
                <w:b/>
                <w:bCs/>
              </w:rPr>
            </w:pPr>
            <w:r w:rsidRPr="00D90CD0">
              <w:rPr>
                <w:rFonts w:ascii="CIDFont+F4" w:hAnsi="CIDFont+F4" w:cs="CIDFont+F4"/>
                <w:b/>
                <w:bCs/>
                <w:kern w:val="0"/>
              </w:rPr>
              <w:t>Descrição</w:t>
            </w:r>
          </w:p>
        </w:tc>
        <w:tc>
          <w:tcPr>
            <w:tcW w:w="2268" w:type="dxa"/>
            <w:vAlign w:val="center"/>
          </w:tcPr>
          <w:p w14:paraId="42AE2D24" w14:textId="5486453B" w:rsidR="000C0CF9" w:rsidRPr="00D90CD0" w:rsidRDefault="000C0CF9" w:rsidP="00D90CD0">
            <w:pPr>
              <w:jc w:val="center"/>
              <w:rPr>
                <w:b/>
                <w:bCs/>
              </w:rPr>
            </w:pPr>
            <w:r w:rsidRPr="00D90CD0">
              <w:rPr>
                <w:rFonts w:ascii="CIDFont+F4" w:hAnsi="CIDFont+F4" w:cs="CIDFont+F4"/>
                <w:b/>
                <w:bCs/>
                <w:kern w:val="0"/>
              </w:rPr>
              <w:t>Consequência</w:t>
            </w:r>
          </w:p>
        </w:tc>
        <w:tc>
          <w:tcPr>
            <w:tcW w:w="2551" w:type="dxa"/>
            <w:vAlign w:val="center"/>
          </w:tcPr>
          <w:p w14:paraId="2F06A841" w14:textId="488132BD" w:rsidR="000C0CF9" w:rsidRPr="00D90CD0" w:rsidRDefault="000C0CF9" w:rsidP="00D90CD0">
            <w:pPr>
              <w:jc w:val="center"/>
              <w:rPr>
                <w:b/>
                <w:bCs/>
              </w:rPr>
            </w:pPr>
            <w:r w:rsidRPr="00D90CD0">
              <w:rPr>
                <w:rFonts w:ascii="CIDFont+F4" w:hAnsi="CIDFont+F4" w:cs="CIDFont+F4"/>
                <w:b/>
                <w:bCs/>
                <w:kern w:val="0"/>
              </w:rPr>
              <w:t>Medidas Mitigadoras</w:t>
            </w:r>
          </w:p>
        </w:tc>
        <w:tc>
          <w:tcPr>
            <w:tcW w:w="1807" w:type="dxa"/>
            <w:vAlign w:val="center"/>
          </w:tcPr>
          <w:p w14:paraId="2D7187DA" w14:textId="012BA308" w:rsidR="000C0CF9" w:rsidRPr="00D90CD0" w:rsidRDefault="000C0CF9" w:rsidP="00D90CD0">
            <w:pPr>
              <w:jc w:val="center"/>
              <w:rPr>
                <w:b/>
                <w:bCs/>
              </w:rPr>
            </w:pPr>
            <w:r w:rsidRPr="00D90CD0">
              <w:rPr>
                <w:rFonts w:ascii="CIDFont+F4" w:hAnsi="CIDFont+F4" w:cs="CIDFont+F4"/>
                <w:b/>
                <w:bCs/>
                <w:kern w:val="0"/>
              </w:rPr>
              <w:t>Alocação do Risco</w:t>
            </w:r>
          </w:p>
        </w:tc>
      </w:tr>
      <w:tr w:rsidR="000C0CF9" w14:paraId="26BB4629" w14:textId="77777777" w:rsidTr="00D90CD0">
        <w:tc>
          <w:tcPr>
            <w:tcW w:w="1838" w:type="dxa"/>
            <w:vAlign w:val="center"/>
          </w:tcPr>
          <w:p w14:paraId="71AB1764" w14:textId="65B369A6" w:rsidR="000C0CF9" w:rsidRDefault="000C0CF9" w:rsidP="00D90CD0">
            <w:pPr>
              <w:jc w:val="center"/>
            </w:pPr>
            <w:r>
              <w:t>Risco relacionado à definição de escopo da concessão dos acessos aquaviários</w:t>
            </w:r>
          </w:p>
        </w:tc>
        <w:tc>
          <w:tcPr>
            <w:tcW w:w="5245" w:type="dxa"/>
            <w:vAlign w:val="center"/>
          </w:tcPr>
          <w:p w14:paraId="4BAD4925" w14:textId="3EC2678E" w:rsidR="000C0CF9" w:rsidRDefault="000C0CF9" w:rsidP="00D90C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Divisão de relatórios para cada um dos portos administrados pela Portos RS</w:t>
            </w:r>
            <w:r w:rsidR="00D66C87">
              <w:rPr>
                <w:rFonts w:ascii="Calibri" w:hAnsi="Calibri" w:cs="Calibri"/>
                <w:color w:val="000000"/>
              </w:rPr>
              <w:t xml:space="preserve"> e hidrovias estaduais da Lagoa dos Patos e Lagoa Guaíba</w:t>
            </w:r>
          </w:p>
        </w:tc>
        <w:tc>
          <w:tcPr>
            <w:tcW w:w="2268" w:type="dxa"/>
            <w:vAlign w:val="center"/>
          </w:tcPr>
          <w:p w14:paraId="51DBE6FC" w14:textId="313A4D69" w:rsidR="000C0CF9" w:rsidRDefault="000C0CF9" w:rsidP="00D90CD0">
            <w:pPr>
              <w:jc w:val="center"/>
            </w:pPr>
            <w:r>
              <w:t>Eventual aumento do custo do produto e/ou do serviço. Necessidade de redivisão dos produtos por porto.</w:t>
            </w:r>
          </w:p>
        </w:tc>
        <w:tc>
          <w:tcPr>
            <w:tcW w:w="2551" w:type="dxa"/>
            <w:vAlign w:val="center"/>
          </w:tcPr>
          <w:p w14:paraId="7C392384" w14:textId="0FDD7738" w:rsidR="000C0CF9" w:rsidRDefault="000C0CF9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Planejamento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empresarial. Prever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custos na proposta.</w:t>
            </w:r>
          </w:p>
        </w:tc>
        <w:tc>
          <w:tcPr>
            <w:tcW w:w="1807" w:type="dxa"/>
            <w:vAlign w:val="center"/>
          </w:tcPr>
          <w:p w14:paraId="37147437" w14:textId="60F6C5B6" w:rsidR="000C0CF9" w:rsidRDefault="000C0CF9" w:rsidP="00D90CD0">
            <w:pPr>
              <w:jc w:val="center"/>
            </w:pPr>
            <w:r>
              <w:t>Contratado</w:t>
            </w:r>
          </w:p>
        </w:tc>
      </w:tr>
      <w:tr w:rsidR="000C0CF9" w14:paraId="0EFBE968" w14:textId="77777777" w:rsidTr="00D90CD0">
        <w:tc>
          <w:tcPr>
            <w:tcW w:w="1838" w:type="dxa"/>
            <w:vAlign w:val="center"/>
          </w:tcPr>
          <w:p w14:paraId="1B41B5F5" w14:textId="4CC1B2F7" w:rsidR="000C0CF9" w:rsidRDefault="000C0CF9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4" w:hAnsi="CIDFont+F4" w:cs="CIDFont+F4"/>
                <w:kern w:val="0"/>
              </w:rPr>
              <w:t>Risco atinente à</w:t>
            </w:r>
            <w:r w:rsidR="00D90CD0">
              <w:rPr>
                <w:rFonts w:ascii="CIDFont+F4" w:hAnsi="CIDFont+F4" w:cs="CIDFont+F4"/>
                <w:kern w:val="0"/>
              </w:rPr>
              <w:t xml:space="preserve"> </w:t>
            </w:r>
            <w:r>
              <w:rPr>
                <w:rFonts w:ascii="CIDFont+F4" w:hAnsi="CIDFont+F4" w:cs="CIDFont+F4"/>
                <w:kern w:val="0"/>
              </w:rPr>
              <w:t>elaboração de</w:t>
            </w:r>
            <w:r w:rsidR="00D90CD0">
              <w:rPr>
                <w:rFonts w:ascii="CIDFont+F4" w:hAnsi="CIDFont+F4" w:cs="CIDFont+F4"/>
                <w:kern w:val="0"/>
              </w:rPr>
              <w:t xml:space="preserve"> </w:t>
            </w:r>
            <w:r>
              <w:rPr>
                <w:rFonts w:ascii="CIDFont+F4" w:hAnsi="CIDFont+F4" w:cs="CIDFont+F4"/>
                <w:kern w:val="0"/>
              </w:rPr>
              <w:t>cenários alternativos</w:t>
            </w:r>
          </w:p>
        </w:tc>
        <w:tc>
          <w:tcPr>
            <w:tcW w:w="5245" w:type="dxa"/>
            <w:vAlign w:val="center"/>
          </w:tcPr>
          <w:p w14:paraId="42EE27E2" w14:textId="125F1D21" w:rsidR="000C0CF9" w:rsidRDefault="000C0CF9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Realização de diversos cenários de soluções alternativas para os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estudos EVTEA para subsidiar tecnicamente tomada de decisão por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parte da Contratada</w:t>
            </w:r>
          </w:p>
        </w:tc>
        <w:tc>
          <w:tcPr>
            <w:tcW w:w="2268" w:type="dxa"/>
            <w:vAlign w:val="center"/>
          </w:tcPr>
          <w:p w14:paraId="457CE590" w14:textId="2F9DEE95" w:rsidR="000C0CF9" w:rsidRDefault="000C0CF9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Eventual aumento do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custo do produto e/ou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do serviço.</w:t>
            </w:r>
          </w:p>
        </w:tc>
        <w:tc>
          <w:tcPr>
            <w:tcW w:w="2551" w:type="dxa"/>
            <w:vAlign w:val="center"/>
          </w:tcPr>
          <w:p w14:paraId="637FA4B2" w14:textId="5332AF15" w:rsidR="000C0CF9" w:rsidRDefault="000C0CF9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Planejamento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empresarial. Prever</w:t>
            </w:r>
            <w:r w:rsidR="00D90CD0">
              <w:rPr>
                <w:rFonts w:ascii="CIDFont+F3" w:hAnsi="CIDFont+F3" w:cs="CIDFont+F3"/>
                <w:kern w:val="0"/>
              </w:rPr>
              <w:t xml:space="preserve"> </w:t>
            </w:r>
            <w:r>
              <w:rPr>
                <w:rFonts w:ascii="CIDFont+F3" w:hAnsi="CIDFont+F3" w:cs="CIDFont+F3"/>
                <w:kern w:val="0"/>
              </w:rPr>
              <w:t>custos na proposta.</w:t>
            </w:r>
          </w:p>
        </w:tc>
        <w:tc>
          <w:tcPr>
            <w:tcW w:w="1807" w:type="dxa"/>
            <w:vAlign w:val="center"/>
          </w:tcPr>
          <w:p w14:paraId="32DE2345" w14:textId="058862AE" w:rsidR="000C0CF9" w:rsidRDefault="000C0CF9" w:rsidP="00D90CD0">
            <w:pPr>
              <w:jc w:val="center"/>
            </w:pPr>
            <w:r>
              <w:t>Contratado</w:t>
            </w:r>
          </w:p>
        </w:tc>
      </w:tr>
      <w:tr w:rsidR="00D90CD0" w14:paraId="4315893D" w14:textId="77777777" w:rsidTr="00D90CD0">
        <w:tc>
          <w:tcPr>
            <w:tcW w:w="1838" w:type="dxa"/>
            <w:vMerge w:val="restart"/>
            <w:vAlign w:val="center"/>
          </w:tcPr>
          <w:p w14:paraId="47370938" w14:textId="333C3F2E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4" w:hAnsi="CIDFont+F4" w:cs="CIDFont+F4"/>
                <w:kern w:val="0"/>
              </w:rPr>
              <w:t>Risco atinente ao Tempo da Execução</w:t>
            </w:r>
          </w:p>
        </w:tc>
        <w:tc>
          <w:tcPr>
            <w:tcW w:w="5245" w:type="dxa"/>
            <w:vAlign w:val="center"/>
          </w:tcPr>
          <w:p w14:paraId="256973F9" w14:textId="57B80424" w:rsidR="00D90CD0" w:rsidRDefault="00D90CD0" w:rsidP="00D90CD0">
            <w:pPr>
              <w:jc w:val="center"/>
            </w:pPr>
            <w:r>
              <w:rPr>
                <w:rFonts w:ascii="CIDFont+F3" w:hAnsi="CIDFont+F3" w:cs="CIDFont+F3"/>
                <w:kern w:val="0"/>
              </w:rPr>
              <w:t>Atraso na execução do objeto contratual por culpa do Contratado.</w:t>
            </w:r>
          </w:p>
        </w:tc>
        <w:tc>
          <w:tcPr>
            <w:tcW w:w="2268" w:type="dxa"/>
            <w:vAlign w:val="center"/>
          </w:tcPr>
          <w:p w14:paraId="5992EDFF" w14:textId="2BDDDB18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Aumento do custo do produto e/ou do serviço.</w:t>
            </w:r>
          </w:p>
        </w:tc>
        <w:tc>
          <w:tcPr>
            <w:tcW w:w="2551" w:type="dxa"/>
            <w:vAlign w:val="center"/>
          </w:tcPr>
          <w:p w14:paraId="74C147F8" w14:textId="21871795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Diligência do Contratado na execução contratual.</w:t>
            </w:r>
          </w:p>
        </w:tc>
        <w:tc>
          <w:tcPr>
            <w:tcW w:w="1807" w:type="dxa"/>
            <w:vAlign w:val="center"/>
          </w:tcPr>
          <w:p w14:paraId="35F2EA5C" w14:textId="508D6A50" w:rsidR="00D90CD0" w:rsidRDefault="00D90CD0" w:rsidP="00D90CD0">
            <w:pPr>
              <w:jc w:val="center"/>
            </w:pPr>
            <w:r>
              <w:rPr>
                <w:rFonts w:ascii="CIDFont+F3" w:hAnsi="CIDFont+F3" w:cs="CIDFont+F3"/>
                <w:kern w:val="0"/>
              </w:rPr>
              <w:t>Contratado</w:t>
            </w:r>
          </w:p>
        </w:tc>
      </w:tr>
      <w:tr w:rsidR="00D90CD0" w14:paraId="1C3867BF" w14:textId="77777777" w:rsidTr="00D90CD0">
        <w:tc>
          <w:tcPr>
            <w:tcW w:w="1838" w:type="dxa"/>
            <w:vMerge/>
            <w:vAlign w:val="center"/>
          </w:tcPr>
          <w:p w14:paraId="39207599" w14:textId="77777777" w:rsidR="00D90CD0" w:rsidRDefault="00D90CD0" w:rsidP="00D90CD0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D4C310B" w14:textId="1234C9A2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Fatos retardadores ou impeditivos da execução do Contrato próprios do risco ordinário da atividade empresarial ou da execução.</w:t>
            </w:r>
          </w:p>
        </w:tc>
        <w:tc>
          <w:tcPr>
            <w:tcW w:w="2268" w:type="dxa"/>
            <w:vAlign w:val="center"/>
          </w:tcPr>
          <w:p w14:paraId="5F025141" w14:textId="1AB1E87C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Aumento do custo do produto e/ou do serviço.</w:t>
            </w:r>
          </w:p>
        </w:tc>
        <w:tc>
          <w:tcPr>
            <w:tcW w:w="2551" w:type="dxa"/>
            <w:vAlign w:val="center"/>
          </w:tcPr>
          <w:p w14:paraId="76F417C8" w14:textId="65CD999F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Planejamento empresarial.</w:t>
            </w:r>
          </w:p>
        </w:tc>
        <w:tc>
          <w:tcPr>
            <w:tcW w:w="1807" w:type="dxa"/>
            <w:vAlign w:val="center"/>
          </w:tcPr>
          <w:p w14:paraId="0D414673" w14:textId="22A10E43" w:rsidR="00D90CD0" w:rsidRDefault="00D90CD0" w:rsidP="00D90CD0">
            <w:pPr>
              <w:jc w:val="center"/>
            </w:pPr>
            <w:r>
              <w:t>Contratado</w:t>
            </w:r>
          </w:p>
        </w:tc>
      </w:tr>
      <w:tr w:rsidR="00D90CD0" w14:paraId="33B4E771" w14:textId="77777777" w:rsidTr="00D90CD0">
        <w:tc>
          <w:tcPr>
            <w:tcW w:w="1838" w:type="dxa"/>
            <w:vMerge/>
            <w:vAlign w:val="center"/>
          </w:tcPr>
          <w:p w14:paraId="5C9DC390" w14:textId="77777777" w:rsidR="00D90CD0" w:rsidRDefault="00D90CD0" w:rsidP="00D90CD0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B645AA8" w14:textId="086D3463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Fatos retardadores ou impeditivos da execução do Contrato que não estejam na sua álea ordinária, tais como fatos do príncipe, caso fortuito ou de força maior, bem como o retardamento determinado pela INFRA S.A., que comprovadamente repercuta no preço do Contratado.</w:t>
            </w:r>
          </w:p>
        </w:tc>
        <w:tc>
          <w:tcPr>
            <w:tcW w:w="2268" w:type="dxa"/>
            <w:vAlign w:val="center"/>
          </w:tcPr>
          <w:p w14:paraId="43F6B5B9" w14:textId="2CE9AFB6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3" w:hAnsi="CIDFont+F3" w:cs="CIDFont+F3"/>
                <w:kern w:val="0"/>
              </w:rPr>
              <w:t>Aumento do custo do produto e/ou do serviço.</w:t>
            </w:r>
          </w:p>
        </w:tc>
        <w:tc>
          <w:tcPr>
            <w:tcW w:w="2551" w:type="dxa"/>
            <w:vAlign w:val="center"/>
          </w:tcPr>
          <w:p w14:paraId="6AA65A1D" w14:textId="5EDDE3E6" w:rsidR="00D90CD0" w:rsidRDefault="00D90CD0" w:rsidP="00D90CD0">
            <w:pPr>
              <w:jc w:val="center"/>
            </w:pPr>
            <w:r>
              <w:rPr>
                <w:rFonts w:ascii="CIDFont+F3" w:hAnsi="CIDFont+F3" w:cs="CIDFont+F3"/>
                <w:kern w:val="0"/>
              </w:rPr>
              <w:t>Revisão de preço.</w:t>
            </w:r>
          </w:p>
        </w:tc>
        <w:tc>
          <w:tcPr>
            <w:tcW w:w="1807" w:type="dxa"/>
            <w:vAlign w:val="center"/>
          </w:tcPr>
          <w:p w14:paraId="0ADBF78F" w14:textId="7586EDCB" w:rsidR="00D90CD0" w:rsidRDefault="00D90CD0" w:rsidP="00D90CD0">
            <w:pPr>
              <w:jc w:val="center"/>
            </w:pPr>
            <w:r>
              <w:rPr>
                <w:rFonts w:ascii="CIDFont+F3" w:hAnsi="CIDFont+F3" w:cs="CIDFont+F3"/>
                <w:kern w:val="0"/>
              </w:rPr>
              <w:t>INFRA S.A.</w:t>
            </w:r>
          </w:p>
        </w:tc>
      </w:tr>
      <w:tr w:rsidR="00D90CD0" w14:paraId="2AE167BD" w14:textId="77777777" w:rsidTr="00D90CD0">
        <w:tc>
          <w:tcPr>
            <w:tcW w:w="1838" w:type="dxa"/>
            <w:vMerge/>
            <w:vAlign w:val="center"/>
          </w:tcPr>
          <w:p w14:paraId="5836DA93" w14:textId="77777777" w:rsidR="00D90CD0" w:rsidRDefault="00D90CD0" w:rsidP="00D90CD0">
            <w:pPr>
              <w:jc w:val="center"/>
            </w:pPr>
          </w:p>
        </w:tc>
        <w:tc>
          <w:tcPr>
            <w:tcW w:w="5245" w:type="dxa"/>
            <w:vAlign w:val="center"/>
          </w:tcPr>
          <w:p w14:paraId="4B6C0C6C" w14:textId="57BD78FD" w:rsidR="00D90CD0" w:rsidRDefault="00D90CD0" w:rsidP="00D90C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Não prosseguimento da concessão dos acessos aquaviários da Portos RS por razões não imputáveis ao Contratado</w:t>
            </w:r>
          </w:p>
        </w:tc>
        <w:tc>
          <w:tcPr>
            <w:tcW w:w="2268" w:type="dxa"/>
            <w:vAlign w:val="center"/>
          </w:tcPr>
          <w:p w14:paraId="0B256EF8" w14:textId="54967F66" w:rsidR="00D90CD0" w:rsidRDefault="00D90CD0" w:rsidP="00D90C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Postergação ou encerramento do contrato</w:t>
            </w:r>
          </w:p>
        </w:tc>
        <w:tc>
          <w:tcPr>
            <w:tcW w:w="2551" w:type="dxa"/>
            <w:vAlign w:val="center"/>
          </w:tcPr>
          <w:p w14:paraId="361ECA81" w14:textId="52B929DE" w:rsidR="00D90CD0" w:rsidRDefault="00D90CD0" w:rsidP="00D90C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Pagamento de parcela remanescente dos produtos já iniciados e executados pela INFRA S.A.</w:t>
            </w:r>
          </w:p>
        </w:tc>
        <w:tc>
          <w:tcPr>
            <w:tcW w:w="1807" w:type="dxa"/>
            <w:vAlign w:val="center"/>
          </w:tcPr>
          <w:p w14:paraId="564B895C" w14:textId="3BCC874E" w:rsidR="00D90CD0" w:rsidRDefault="00D90CD0" w:rsidP="00D90CD0">
            <w:pPr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INFRA S.A.</w:t>
            </w:r>
          </w:p>
        </w:tc>
      </w:tr>
      <w:tr w:rsidR="00D90CD0" w14:paraId="2292B8B1" w14:textId="77777777" w:rsidTr="00D90CD0">
        <w:tc>
          <w:tcPr>
            <w:tcW w:w="1838" w:type="dxa"/>
            <w:vMerge/>
            <w:vAlign w:val="center"/>
          </w:tcPr>
          <w:p w14:paraId="010FB636" w14:textId="77777777" w:rsidR="00D90CD0" w:rsidRDefault="00D90CD0" w:rsidP="00D90CD0">
            <w:pPr>
              <w:jc w:val="center"/>
            </w:pPr>
          </w:p>
        </w:tc>
        <w:tc>
          <w:tcPr>
            <w:tcW w:w="5245" w:type="dxa"/>
            <w:vAlign w:val="center"/>
          </w:tcPr>
          <w:p w14:paraId="52CDDE27" w14:textId="3F31C6AC" w:rsidR="00D90CD0" w:rsidRDefault="00D90CD0" w:rsidP="00D90C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Elevação dos custos operacionais definidos na linha anterior, quando superior ao índice de reajuste previsto na Cláusula de Equilíbrio Econômico- Financeiro do Contrato.</w:t>
            </w:r>
          </w:p>
        </w:tc>
        <w:tc>
          <w:tcPr>
            <w:tcW w:w="2268" w:type="dxa"/>
            <w:vAlign w:val="center"/>
          </w:tcPr>
          <w:p w14:paraId="3ED06246" w14:textId="6BE7281E" w:rsidR="00D90CD0" w:rsidRDefault="00D90CD0" w:rsidP="00D90C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Aumento do custo do produto e/ou do serviço.</w:t>
            </w:r>
          </w:p>
        </w:tc>
        <w:tc>
          <w:tcPr>
            <w:tcW w:w="2551" w:type="dxa"/>
            <w:vAlign w:val="center"/>
          </w:tcPr>
          <w:p w14:paraId="5B56F025" w14:textId="5FC12B14" w:rsidR="00D90CD0" w:rsidRDefault="00D90CD0" w:rsidP="00D90C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Reequilíbrio econômico-financeiro.</w:t>
            </w:r>
          </w:p>
        </w:tc>
        <w:tc>
          <w:tcPr>
            <w:tcW w:w="1807" w:type="dxa"/>
            <w:vAlign w:val="center"/>
          </w:tcPr>
          <w:p w14:paraId="314797AE" w14:textId="70AD3AA5" w:rsidR="00D90CD0" w:rsidRDefault="00D90CD0" w:rsidP="00D90CD0">
            <w:pPr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Contratado</w:t>
            </w:r>
          </w:p>
        </w:tc>
      </w:tr>
      <w:tr w:rsidR="00D90CD0" w14:paraId="17B93F8E" w14:textId="77777777" w:rsidTr="00D90CD0">
        <w:tc>
          <w:tcPr>
            <w:tcW w:w="1838" w:type="dxa"/>
            <w:vAlign w:val="center"/>
          </w:tcPr>
          <w:p w14:paraId="494C1BFC" w14:textId="448B5B07" w:rsidR="00D90CD0" w:rsidRDefault="00D90CD0" w:rsidP="00D90CD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IDFont+F4" w:hAnsi="CIDFont+F4" w:cs="CIDFont+F4"/>
                <w:kern w:val="0"/>
              </w:rPr>
              <w:t>Riscos Trabalhista e Previdenciário</w:t>
            </w:r>
          </w:p>
        </w:tc>
        <w:tc>
          <w:tcPr>
            <w:tcW w:w="5245" w:type="dxa"/>
            <w:vAlign w:val="center"/>
          </w:tcPr>
          <w:p w14:paraId="07DA76F4" w14:textId="450718D4" w:rsidR="00D90CD0" w:rsidRDefault="00D90CD0" w:rsidP="00D90CD0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Responsabilização da INFRA S.A. por verbas trabalhistas e previdenciárias dos profissionais do Contratado alocados na execução do objeto contratual.</w:t>
            </w:r>
          </w:p>
        </w:tc>
        <w:tc>
          <w:tcPr>
            <w:tcW w:w="2268" w:type="dxa"/>
            <w:vAlign w:val="center"/>
          </w:tcPr>
          <w:p w14:paraId="63123166" w14:textId="3984EE77" w:rsidR="00D90CD0" w:rsidRDefault="00D90CD0" w:rsidP="00D90CD0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Geração de custos trabalhistas e/ou previdenciários para a INFRA S.A., além de eventuais honorários advocatícios, multas e verbas sucumbenciais.</w:t>
            </w:r>
          </w:p>
        </w:tc>
        <w:tc>
          <w:tcPr>
            <w:tcW w:w="2551" w:type="dxa"/>
            <w:vAlign w:val="center"/>
          </w:tcPr>
          <w:p w14:paraId="4BFE1030" w14:textId="7CCB87DB" w:rsidR="00D90CD0" w:rsidRDefault="00D90CD0" w:rsidP="00D90CD0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Ressarcimento, pelo Contratado, ou retenção de pagamento e compensação com valores a este devidos, da quantia despendida pela INFRA S.A.</w:t>
            </w:r>
          </w:p>
        </w:tc>
        <w:tc>
          <w:tcPr>
            <w:tcW w:w="1807" w:type="dxa"/>
            <w:vAlign w:val="center"/>
          </w:tcPr>
          <w:p w14:paraId="6CBFDE1F" w14:textId="3F109961" w:rsidR="00D90CD0" w:rsidRDefault="00D90CD0" w:rsidP="00D90CD0">
            <w:pPr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Contratado</w:t>
            </w:r>
          </w:p>
        </w:tc>
      </w:tr>
      <w:tr w:rsidR="00D90CD0" w14:paraId="15699287" w14:textId="77777777" w:rsidTr="00D90CD0">
        <w:tc>
          <w:tcPr>
            <w:tcW w:w="1838" w:type="dxa"/>
            <w:vAlign w:val="center"/>
          </w:tcPr>
          <w:p w14:paraId="32839694" w14:textId="47E472D8" w:rsidR="00D90CD0" w:rsidRDefault="00D90CD0" w:rsidP="00D90CD0">
            <w:pPr>
              <w:autoSpaceDE w:val="0"/>
              <w:autoSpaceDN w:val="0"/>
              <w:adjustRightInd w:val="0"/>
              <w:rPr>
                <w:rFonts w:ascii="CIDFont+F4" w:hAnsi="CIDFont+F4" w:cs="CIDFont+F4"/>
                <w:kern w:val="0"/>
              </w:rPr>
            </w:pPr>
            <w:r>
              <w:rPr>
                <w:rFonts w:ascii="CIDFont+F4" w:hAnsi="CIDFont+F4" w:cs="CIDFont+F4"/>
                <w:kern w:val="0"/>
              </w:rPr>
              <w:t>Risco Tributário e Fiscal (Não Tributário).</w:t>
            </w:r>
          </w:p>
        </w:tc>
        <w:tc>
          <w:tcPr>
            <w:tcW w:w="5245" w:type="dxa"/>
            <w:vAlign w:val="center"/>
          </w:tcPr>
          <w:p w14:paraId="7D34678F" w14:textId="6C6662C7" w:rsidR="00D90CD0" w:rsidRDefault="00D90CD0" w:rsidP="00D90CD0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Responsabilização da INFRA S.A. por recolhimento indevido em valor menor ou maior que o necessário, ou ainda de ausência de recolhimento, quando devido, sem que haja culpa da INFRA S.A..</w:t>
            </w:r>
          </w:p>
        </w:tc>
        <w:tc>
          <w:tcPr>
            <w:tcW w:w="2268" w:type="dxa"/>
            <w:vAlign w:val="center"/>
          </w:tcPr>
          <w:p w14:paraId="5E75C7D7" w14:textId="778BFA69" w:rsidR="00D90CD0" w:rsidRDefault="00D90CD0" w:rsidP="00D90CD0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Débito ou crédito tributário ou fiscal (não tributário).</w:t>
            </w:r>
          </w:p>
        </w:tc>
        <w:tc>
          <w:tcPr>
            <w:tcW w:w="2551" w:type="dxa"/>
            <w:vAlign w:val="center"/>
          </w:tcPr>
          <w:p w14:paraId="67807CB6" w14:textId="2F82FDF0" w:rsidR="00D90CD0" w:rsidRDefault="00D90CD0" w:rsidP="00D90CD0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Ressarcimento, pelo Contratado, ou retenção de pagamento e compensação com valores a este devidos, da quantia dispendida pela INFRA S.A..</w:t>
            </w:r>
          </w:p>
        </w:tc>
        <w:tc>
          <w:tcPr>
            <w:tcW w:w="1807" w:type="dxa"/>
            <w:vAlign w:val="center"/>
          </w:tcPr>
          <w:p w14:paraId="473D4AC0" w14:textId="7C1062A6" w:rsidR="00D90CD0" w:rsidRDefault="00D90CD0" w:rsidP="00D90CD0">
            <w:pPr>
              <w:jc w:val="center"/>
              <w:rPr>
                <w:rFonts w:ascii="CIDFont+F3" w:hAnsi="CIDFont+F3" w:cs="CIDFont+F3"/>
                <w:kern w:val="0"/>
              </w:rPr>
            </w:pPr>
            <w:r>
              <w:rPr>
                <w:rFonts w:ascii="CIDFont+F3" w:hAnsi="CIDFont+F3" w:cs="CIDFont+F3"/>
                <w:kern w:val="0"/>
              </w:rPr>
              <w:t>Contratado</w:t>
            </w:r>
          </w:p>
        </w:tc>
      </w:tr>
    </w:tbl>
    <w:p w14:paraId="55145F87" w14:textId="77777777" w:rsidR="003E606F" w:rsidRDefault="003E606F" w:rsidP="006429AF">
      <w:pPr>
        <w:jc w:val="both"/>
      </w:pPr>
    </w:p>
    <w:sectPr w:rsidR="003E606F" w:rsidSect="000C0CF9">
      <w:headerReference w:type="default" r:id="rId8"/>
      <w:pgSz w:w="16838" w:h="11906" w:orient="landscape"/>
      <w:pgMar w:top="1701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C30E" w14:textId="77777777" w:rsidR="00BC30F7" w:rsidRDefault="00BC30F7" w:rsidP="00C95267">
      <w:pPr>
        <w:spacing w:after="0" w:line="240" w:lineRule="auto"/>
      </w:pPr>
      <w:r>
        <w:separator/>
      </w:r>
    </w:p>
  </w:endnote>
  <w:endnote w:type="continuationSeparator" w:id="0">
    <w:p w14:paraId="7D8F93BA" w14:textId="77777777" w:rsidR="00BC30F7" w:rsidRDefault="00BC30F7" w:rsidP="00C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0326" w14:textId="77777777" w:rsidR="00BC30F7" w:rsidRDefault="00BC30F7" w:rsidP="00C95267">
      <w:pPr>
        <w:spacing w:after="0" w:line="240" w:lineRule="auto"/>
      </w:pPr>
      <w:r>
        <w:separator/>
      </w:r>
    </w:p>
  </w:footnote>
  <w:footnote w:type="continuationSeparator" w:id="0">
    <w:p w14:paraId="3D5D0431" w14:textId="77777777" w:rsidR="00BC30F7" w:rsidRDefault="00BC30F7" w:rsidP="00C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B585" w14:textId="6F0A46B2" w:rsidR="00C95267" w:rsidRDefault="00C95267">
    <w:pPr>
      <w:pStyle w:val="Cabealho"/>
    </w:pPr>
    <w:r w:rsidRPr="006B625C">
      <w:rPr>
        <w:noProof/>
      </w:rPr>
      <w:drawing>
        <wp:inline distT="0" distB="0" distL="0" distR="0" wp14:anchorId="7846FAA5" wp14:editId="560A8001">
          <wp:extent cx="1758763" cy="336430"/>
          <wp:effectExtent l="0" t="0" r="0" b="6985"/>
          <wp:docPr id="1181425713" name="Imagem 1181425713" descr="Imagem de desenho animad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E1AC0A84-DE30-4F1A-9AA1-7E5FC5D3A4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Imagem de desenho animad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E1AC0A84-DE30-4F1A-9AA1-7E5FC5D3A4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670" cy="34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548B6" w14:textId="77777777" w:rsidR="00C95267" w:rsidRDefault="00C952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0FC"/>
    <w:multiLevelType w:val="hybridMultilevel"/>
    <w:tmpl w:val="3378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84D"/>
    <w:multiLevelType w:val="hybridMultilevel"/>
    <w:tmpl w:val="D288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AE6"/>
    <w:multiLevelType w:val="hybridMultilevel"/>
    <w:tmpl w:val="8110DC18"/>
    <w:lvl w:ilvl="0" w:tplc="9C808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568"/>
    <w:multiLevelType w:val="hybridMultilevel"/>
    <w:tmpl w:val="CB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6D3D"/>
    <w:multiLevelType w:val="hybridMultilevel"/>
    <w:tmpl w:val="F20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371D"/>
    <w:multiLevelType w:val="hybridMultilevel"/>
    <w:tmpl w:val="0B3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4D84"/>
    <w:multiLevelType w:val="hybridMultilevel"/>
    <w:tmpl w:val="F3E653BC"/>
    <w:lvl w:ilvl="0" w:tplc="6F5ED3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7000">
    <w:abstractNumId w:val="4"/>
  </w:num>
  <w:num w:numId="2" w16cid:durableId="858741028">
    <w:abstractNumId w:val="6"/>
  </w:num>
  <w:num w:numId="3" w16cid:durableId="11028956">
    <w:abstractNumId w:val="2"/>
  </w:num>
  <w:num w:numId="4" w16cid:durableId="841814974">
    <w:abstractNumId w:val="0"/>
  </w:num>
  <w:num w:numId="5" w16cid:durableId="1279679535">
    <w:abstractNumId w:val="3"/>
  </w:num>
  <w:num w:numId="6" w16cid:durableId="22288772">
    <w:abstractNumId w:val="1"/>
  </w:num>
  <w:num w:numId="7" w16cid:durableId="140931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85"/>
    <w:rsid w:val="000057DF"/>
    <w:rsid w:val="000666A9"/>
    <w:rsid w:val="000C0CF9"/>
    <w:rsid w:val="000C4E68"/>
    <w:rsid w:val="000C5EF3"/>
    <w:rsid w:val="0010345E"/>
    <w:rsid w:val="00121BF3"/>
    <w:rsid w:val="00167562"/>
    <w:rsid w:val="00174739"/>
    <w:rsid w:val="0018201B"/>
    <w:rsid w:val="00187C85"/>
    <w:rsid w:val="001B684A"/>
    <w:rsid w:val="001B704E"/>
    <w:rsid w:val="001C2643"/>
    <w:rsid w:val="001D569B"/>
    <w:rsid w:val="002959A4"/>
    <w:rsid w:val="002A7615"/>
    <w:rsid w:val="002B1BCA"/>
    <w:rsid w:val="002C42DD"/>
    <w:rsid w:val="00346965"/>
    <w:rsid w:val="00357B54"/>
    <w:rsid w:val="00383AB8"/>
    <w:rsid w:val="00392541"/>
    <w:rsid w:val="003B7705"/>
    <w:rsid w:val="003E0D15"/>
    <w:rsid w:val="003E397A"/>
    <w:rsid w:val="003E606F"/>
    <w:rsid w:val="003E6856"/>
    <w:rsid w:val="003F36DD"/>
    <w:rsid w:val="003F758C"/>
    <w:rsid w:val="004114D0"/>
    <w:rsid w:val="00427314"/>
    <w:rsid w:val="004470CE"/>
    <w:rsid w:val="004828E7"/>
    <w:rsid w:val="004E2541"/>
    <w:rsid w:val="005019B2"/>
    <w:rsid w:val="00510830"/>
    <w:rsid w:val="00511A99"/>
    <w:rsid w:val="00520837"/>
    <w:rsid w:val="00541A82"/>
    <w:rsid w:val="00551FAF"/>
    <w:rsid w:val="00593FA5"/>
    <w:rsid w:val="005D0AEF"/>
    <w:rsid w:val="005E37AB"/>
    <w:rsid w:val="006429AF"/>
    <w:rsid w:val="006B7E5D"/>
    <w:rsid w:val="006C31B7"/>
    <w:rsid w:val="0072019A"/>
    <w:rsid w:val="00753FD7"/>
    <w:rsid w:val="007B2006"/>
    <w:rsid w:val="007C71CF"/>
    <w:rsid w:val="007E5F56"/>
    <w:rsid w:val="007E6D8A"/>
    <w:rsid w:val="007E7366"/>
    <w:rsid w:val="007F110D"/>
    <w:rsid w:val="00841A56"/>
    <w:rsid w:val="008516CF"/>
    <w:rsid w:val="00873D6E"/>
    <w:rsid w:val="008B0FBA"/>
    <w:rsid w:val="008D3A3B"/>
    <w:rsid w:val="008E4D77"/>
    <w:rsid w:val="008E6F16"/>
    <w:rsid w:val="00916BEF"/>
    <w:rsid w:val="009219DF"/>
    <w:rsid w:val="00931C97"/>
    <w:rsid w:val="00932D61"/>
    <w:rsid w:val="009638C4"/>
    <w:rsid w:val="00985D6A"/>
    <w:rsid w:val="009C67C9"/>
    <w:rsid w:val="00A2446D"/>
    <w:rsid w:val="00A31EE4"/>
    <w:rsid w:val="00A35FD7"/>
    <w:rsid w:val="00A6304C"/>
    <w:rsid w:val="00A830D6"/>
    <w:rsid w:val="00A839DF"/>
    <w:rsid w:val="00AB6A7C"/>
    <w:rsid w:val="00B2131E"/>
    <w:rsid w:val="00B215E0"/>
    <w:rsid w:val="00B60574"/>
    <w:rsid w:val="00B91D8B"/>
    <w:rsid w:val="00B97F51"/>
    <w:rsid w:val="00BA04F0"/>
    <w:rsid w:val="00BC30F7"/>
    <w:rsid w:val="00BE2615"/>
    <w:rsid w:val="00C1178B"/>
    <w:rsid w:val="00C21EB0"/>
    <w:rsid w:val="00C23160"/>
    <w:rsid w:val="00C36F6E"/>
    <w:rsid w:val="00C52C04"/>
    <w:rsid w:val="00C93077"/>
    <w:rsid w:val="00C95267"/>
    <w:rsid w:val="00CA0E27"/>
    <w:rsid w:val="00CA0ED7"/>
    <w:rsid w:val="00CF007E"/>
    <w:rsid w:val="00CF631F"/>
    <w:rsid w:val="00D17E9E"/>
    <w:rsid w:val="00D31F45"/>
    <w:rsid w:val="00D66C87"/>
    <w:rsid w:val="00D90CD0"/>
    <w:rsid w:val="00DA0BD5"/>
    <w:rsid w:val="00DB6F1E"/>
    <w:rsid w:val="00DD257F"/>
    <w:rsid w:val="00E4223E"/>
    <w:rsid w:val="00E67610"/>
    <w:rsid w:val="00E75009"/>
    <w:rsid w:val="00EA60E9"/>
    <w:rsid w:val="00EC26C7"/>
    <w:rsid w:val="00EE7DD4"/>
    <w:rsid w:val="00EF6A4C"/>
    <w:rsid w:val="00F0720A"/>
    <w:rsid w:val="00F11395"/>
    <w:rsid w:val="00F21C7D"/>
    <w:rsid w:val="00F50F72"/>
    <w:rsid w:val="00F7789B"/>
    <w:rsid w:val="00FD27F9"/>
    <w:rsid w:val="00FE31F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E78D"/>
  <w15:chartTrackingRefBased/>
  <w15:docId w15:val="{0C1DC304-A9C6-45C5-97ED-FAD93BB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6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6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73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7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AB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273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C31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1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267"/>
  </w:style>
  <w:style w:type="paragraph" w:styleId="Rodap">
    <w:name w:val="footer"/>
    <w:basedOn w:val="Normal"/>
    <w:link w:val="RodapChar"/>
    <w:uiPriority w:val="99"/>
    <w:unhideWhenUsed/>
    <w:rsid w:val="00C95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267"/>
  </w:style>
  <w:style w:type="paragraph" w:styleId="CabealhodoSumrio">
    <w:name w:val="TOC Heading"/>
    <w:basedOn w:val="Ttulo1"/>
    <w:next w:val="Normal"/>
    <w:uiPriority w:val="39"/>
    <w:unhideWhenUsed/>
    <w:qFormat/>
    <w:rsid w:val="003F758C"/>
    <w:pPr>
      <w:outlineLvl w:val="9"/>
    </w:pPr>
    <w:rPr>
      <w:kern w:val="0"/>
      <w:lang w:val="en-US" w:eastAsia="ja-JP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3F758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F758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F758C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3F7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065-4BC0-4891-A884-5EA3E6A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Takei Kawata</dc:creator>
  <cp:keywords/>
  <dc:description/>
  <cp:lastModifiedBy>Leonardo Takei Kawata</cp:lastModifiedBy>
  <cp:revision>14</cp:revision>
  <cp:lastPrinted>2023-07-12T12:19:00Z</cp:lastPrinted>
  <dcterms:created xsi:type="dcterms:W3CDTF">2023-07-12T11:29:00Z</dcterms:created>
  <dcterms:modified xsi:type="dcterms:W3CDTF">2023-08-04T19:18:00Z</dcterms:modified>
</cp:coreProperties>
</file>