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CEF006" w14:textId="7EA90747" w:rsidR="00111EB2" w:rsidRPr="00F269C4" w:rsidRDefault="00111EB2" w:rsidP="00220BC8">
      <w:pPr>
        <w:rPr>
          <w:rFonts w:ascii="Times New Roman" w:eastAsia="Times New Roman" w:hAnsi="Times New Roman" w:cs="Times New Roman"/>
          <w:color w:val="FF0000"/>
          <w:sz w:val="28"/>
          <w:szCs w:val="28"/>
        </w:rPr>
      </w:pPr>
      <w:r w:rsidRPr="00F269C4">
        <w:rPr>
          <w:noProof/>
          <w:color w:val="FF0000"/>
        </w:rPr>
        <w:drawing>
          <wp:anchor distT="0" distB="0" distL="114300" distR="114300" simplePos="0" relativeHeight="251658244" behindDoc="1" locked="0" layoutInCell="1" allowOverlap="1" wp14:anchorId="3825B14D" wp14:editId="26206D0C">
            <wp:simplePos x="0" y="0"/>
            <wp:positionH relativeFrom="margin">
              <wp:posOffset>-443230</wp:posOffset>
            </wp:positionH>
            <wp:positionV relativeFrom="paragraph">
              <wp:posOffset>-809625</wp:posOffset>
            </wp:positionV>
            <wp:extent cx="7546975" cy="10712450"/>
            <wp:effectExtent l="0" t="0" r="0" b="0"/>
            <wp:wrapNone/>
            <wp:docPr id="1" name="Imagem 1" descr="Uma imagem contendo homem, mesa,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homem, mesa, em pé, mulher&#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6975" cy="10712450"/>
                    </a:xfrm>
                    <a:prstGeom prst="rect">
                      <a:avLst/>
                    </a:prstGeom>
                  </pic:spPr>
                </pic:pic>
              </a:graphicData>
            </a:graphic>
            <wp14:sizeRelH relativeFrom="page">
              <wp14:pctWidth>0</wp14:pctWidth>
            </wp14:sizeRelH>
            <wp14:sizeRelV relativeFrom="page">
              <wp14:pctHeight>0</wp14:pctHeight>
            </wp14:sizeRelV>
          </wp:anchor>
        </w:drawing>
      </w:r>
      <w:r w:rsidR="003765C5">
        <w:rPr>
          <w:rFonts w:ascii="Times New Roman" w:eastAsia="Times New Roman" w:hAnsi="Times New Roman" w:cs="Times New Roman"/>
          <w:color w:val="FF0000"/>
          <w:sz w:val="28"/>
          <w:szCs w:val="28"/>
        </w:rPr>
        <w:tab/>
      </w:r>
      <w:r w:rsidR="003765C5">
        <w:rPr>
          <w:rFonts w:ascii="Times New Roman" w:eastAsia="Times New Roman" w:hAnsi="Times New Roman" w:cs="Times New Roman"/>
          <w:color w:val="FF0000"/>
          <w:sz w:val="28"/>
          <w:szCs w:val="28"/>
        </w:rPr>
        <w:tab/>
      </w:r>
    </w:p>
    <w:p w14:paraId="3ADDC4CB" w14:textId="1B96C3FB" w:rsidR="00583DE6" w:rsidRDefault="00111EB2" w:rsidP="00A251BF">
      <w:pPr>
        <w:jc w:val="center"/>
        <w:rPr>
          <w:rFonts w:ascii="Times New Roman" w:eastAsia="Times New Roman" w:hAnsi="Times New Roman" w:cs="Times New Roman"/>
          <w:color w:val="FF0000"/>
          <w:sz w:val="28"/>
          <w:szCs w:val="28"/>
        </w:rPr>
      </w:pPr>
      <w:r w:rsidRPr="00F269C4">
        <w:rPr>
          <w:noProof/>
          <w:color w:val="FF0000"/>
        </w:rPr>
        <mc:AlternateContent>
          <mc:Choice Requires="wps">
            <w:drawing>
              <wp:anchor distT="45720" distB="45720" distL="114300" distR="114300" simplePos="0" relativeHeight="251658243" behindDoc="0" locked="0" layoutInCell="1" allowOverlap="1" wp14:anchorId="0718E4E3" wp14:editId="34BC1083">
                <wp:simplePos x="0" y="0"/>
                <wp:positionH relativeFrom="margin">
                  <wp:posOffset>2535555</wp:posOffset>
                </wp:positionH>
                <wp:positionV relativeFrom="margin">
                  <wp:posOffset>5704043</wp:posOffset>
                </wp:positionV>
                <wp:extent cx="3411110" cy="508884"/>
                <wp:effectExtent l="0" t="0" r="0" b="5715"/>
                <wp:wrapNone/>
                <wp:docPr id="948185498" name="Caixa de Texto 948185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110" cy="508884"/>
                        </a:xfrm>
                        <a:prstGeom prst="rect">
                          <a:avLst/>
                        </a:prstGeom>
                        <a:noFill/>
                        <a:ln w="9525">
                          <a:noFill/>
                          <a:miter lim="800000"/>
                          <a:headEnd/>
                          <a:tailEnd/>
                        </a:ln>
                      </wps:spPr>
                      <wps:txbx>
                        <w:txbxContent>
                          <w:p w14:paraId="06424FB0" w14:textId="0EBEE807" w:rsidR="00231FB3" w:rsidRPr="00B81755" w:rsidRDefault="002A0B60"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1º TRIMESTRE</w:t>
                            </w:r>
                            <w:r w:rsidR="00E10815">
                              <w:rPr>
                                <w:rFonts w:ascii="Arial Rounded MT Bold" w:hAnsi="Arial Rounded MT Bold" w:cs="Open Sans"/>
                                <w:color w:val="008A3E"/>
                                <w:sz w:val="36"/>
                                <w:szCs w:val="36"/>
                              </w:rPr>
                              <w:t xml:space="preserve"> </w:t>
                            </w:r>
                            <w:r w:rsidR="00EA48C4">
                              <w:rPr>
                                <w:rFonts w:ascii="Arial Rounded MT Bold" w:hAnsi="Arial Rounded MT Bold" w:cs="Open Sans"/>
                                <w:color w:val="008A3E"/>
                                <w:sz w:val="36"/>
                                <w:szCs w:val="36"/>
                              </w:rPr>
                              <w:t xml:space="preserve">DE </w:t>
                            </w:r>
                            <w:r w:rsidR="00231FB3">
                              <w:rPr>
                                <w:rFonts w:ascii="Arial Rounded MT Bold" w:hAnsi="Arial Rounded MT Bold" w:cs="Open Sans"/>
                                <w:color w:val="008A3E"/>
                                <w:sz w:val="36"/>
                                <w:szCs w:val="36"/>
                              </w:rPr>
                              <w:t>202</w:t>
                            </w:r>
                            <w:r>
                              <w:rPr>
                                <w:rFonts w:ascii="Arial Rounded MT Bold" w:hAnsi="Arial Rounded MT Bold" w:cs="Open Sans"/>
                                <w:color w:val="008A3E"/>
                                <w:sz w:val="36"/>
                                <w:szCs w:val="3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18E4E3" id="_x0000_t202" coordsize="21600,21600" o:spt="202" path="m,l,21600r21600,l21600,xe">
                <v:stroke joinstyle="miter"/>
                <v:path gradientshapeok="t" o:connecttype="rect"/>
              </v:shapetype>
              <v:shape id="Caixa de Texto 948185498" o:spid="_x0000_s1026" type="#_x0000_t202" style="position:absolute;left:0;text-align:left;margin-left:199.65pt;margin-top:449.15pt;width:268.6pt;height:40.0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" filled="f" stroked="f">
                <v:textbox>
                  <w:txbxContent>
                    <w:p w14:paraId="06424FB0" w14:textId="0EBEE807" w:rsidR="00231FB3" w:rsidRPr="00B81755" w:rsidRDefault="002A0B60"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1º TRIMESTRE</w:t>
                      </w:r>
                      <w:r w:rsidR="00E10815">
                        <w:rPr>
                          <w:rFonts w:ascii="Arial Rounded MT Bold" w:hAnsi="Arial Rounded MT Bold" w:cs="Open Sans"/>
                          <w:color w:val="008A3E"/>
                          <w:sz w:val="36"/>
                          <w:szCs w:val="36"/>
                        </w:rPr>
                        <w:t xml:space="preserve"> </w:t>
                      </w:r>
                      <w:r w:rsidR="00EA48C4">
                        <w:rPr>
                          <w:rFonts w:ascii="Arial Rounded MT Bold" w:hAnsi="Arial Rounded MT Bold" w:cs="Open Sans"/>
                          <w:color w:val="008A3E"/>
                          <w:sz w:val="36"/>
                          <w:szCs w:val="36"/>
                        </w:rPr>
                        <w:t xml:space="preserve">DE </w:t>
                      </w:r>
                      <w:r w:rsidR="00231FB3">
                        <w:rPr>
                          <w:rFonts w:ascii="Arial Rounded MT Bold" w:hAnsi="Arial Rounded MT Bold" w:cs="Open Sans"/>
                          <w:color w:val="008A3E"/>
                          <w:sz w:val="36"/>
                          <w:szCs w:val="36"/>
                        </w:rPr>
                        <w:t>202</w:t>
                      </w:r>
                      <w:r>
                        <w:rPr>
                          <w:rFonts w:ascii="Arial Rounded MT Bold" w:hAnsi="Arial Rounded MT Bold" w:cs="Open Sans"/>
                          <w:color w:val="008A3E"/>
                          <w:sz w:val="36"/>
                          <w:szCs w:val="36"/>
                        </w:rPr>
                        <w:t>4</w:t>
                      </w:r>
                    </w:p>
                  </w:txbxContent>
                </v:textbox>
                <w10:wrap anchorx="margin" anchory="margin"/>
              </v:shape>
            </w:pict>
          </mc:Fallback>
        </mc:AlternateContent>
      </w:r>
      <w:r w:rsidRPr="00F269C4">
        <w:rPr>
          <w:noProof/>
          <w:color w:val="FF0000"/>
        </w:rPr>
        <mc:AlternateContent>
          <mc:Choice Requires="wps">
            <w:drawing>
              <wp:anchor distT="45720" distB="45720" distL="114300" distR="114300" simplePos="0" relativeHeight="251658240" behindDoc="0" locked="0" layoutInCell="1" allowOverlap="1" wp14:anchorId="7E4EEB7E" wp14:editId="76F07AEA">
                <wp:simplePos x="0" y="0"/>
                <wp:positionH relativeFrom="column">
                  <wp:posOffset>2067920</wp:posOffset>
                </wp:positionH>
                <wp:positionV relativeFrom="paragraph">
                  <wp:posOffset>4001135</wp:posOffset>
                </wp:positionV>
                <wp:extent cx="4592955" cy="1404620"/>
                <wp:effectExtent l="0" t="0" r="0" b="0"/>
                <wp:wrapNone/>
                <wp:docPr id="217" name="Caixa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404620"/>
                        </a:xfrm>
                        <a:prstGeom prst="rect">
                          <a:avLst/>
                        </a:prstGeom>
                        <a:noFill/>
                        <a:ln w="9525">
                          <a:noFill/>
                          <a:miter lim="800000"/>
                          <a:headEnd/>
                          <a:tailEnd/>
                        </a:ln>
                      </wps:spPr>
                      <wps:txbx>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EEB7E" id="Caixa de Texto 217" o:spid="_x0000_s1027" type="#_x0000_t202" style="position:absolute;left:0;text-align:left;margin-left:162.85pt;margin-top:315.05pt;width:361.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" filled="f" stroked="f">
                <v:textbox style="mso-fit-shape-to-text:t">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v:textbox>
              </v:shape>
            </w:pict>
          </mc:Fallback>
        </mc:AlternateContent>
      </w:r>
      <w:r w:rsidR="006D1AC7">
        <w:rPr>
          <w:rFonts w:ascii="Times New Roman" w:eastAsia="Times New Roman" w:hAnsi="Times New Roman" w:cs="Times New Roman"/>
          <w:color w:val="FF0000"/>
          <w:sz w:val="28"/>
          <w:szCs w:val="28"/>
        </w:rPr>
        <w:br w:type="page"/>
      </w:r>
    </w:p>
    <w:sdt>
      <w:sdtPr>
        <w:rPr>
          <w:rFonts w:ascii="Times New Roman" w:eastAsia="Times New Roman" w:hAnsi="Times New Roman" w:cs="Times New Roman"/>
          <w:color w:val="FF0000"/>
          <w:sz w:val="28"/>
          <w:szCs w:val="28"/>
        </w:rPr>
        <w:id w:val="-2030177337"/>
        <w:docPartObj>
          <w:docPartGallery w:val="Table of Contents"/>
          <w:docPartUnique/>
        </w:docPartObj>
      </w:sdtPr>
      <w:sdtEndPr>
        <w:rPr>
          <w:rFonts w:asciiTheme="minorHAnsi" w:eastAsiaTheme="minorEastAsia" w:hAnsiTheme="minorHAnsi" w:cstheme="minorBidi"/>
          <w:sz w:val="16"/>
          <w:szCs w:val="16"/>
        </w:rPr>
      </w:sdtEndPr>
      <w:sdtContent>
        <w:p w14:paraId="410907AF" w14:textId="44A3388B" w:rsidR="00A251BF" w:rsidRPr="00F269C4" w:rsidRDefault="00AC231D" w:rsidP="00AC231D">
          <w:pPr>
            <w:tabs>
              <w:tab w:val="left" w:pos="8657"/>
            </w:tabs>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ab/>
          </w:r>
        </w:p>
        <w:p w14:paraId="65DC597A" w14:textId="7E814A1F" w:rsidR="00A8767E" w:rsidRPr="00906550" w:rsidRDefault="00A8767E" w:rsidP="00747349">
          <w:pPr>
            <w:spacing w:after="0"/>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 xml:space="preserve">DEMONSTRAÇÕES </w:t>
          </w:r>
          <w:r w:rsidR="007872A1" w:rsidRPr="00906550">
            <w:rPr>
              <w:rFonts w:asciiTheme="majorHAnsi" w:eastAsiaTheme="majorEastAsia" w:hAnsiTheme="majorHAnsi" w:cstheme="majorBidi"/>
              <w:b/>
              <w:color w:val="0070C0"/>
              <w:sz w:val="28"/>
              <w:szCs w:val="28"/>
            </w:rPr>
            <w:t>FINANCEIRAS</w:t>
          </w:r>
        </w:p>
        <w:p w14:paraId="654AE5B5" w14:textId="42880F5C" w:rsidR="00A251BF" w:rsidRPr="00906550" w:rsidRDefault="00A251BF"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 xml:space="preserve">EM </w:t>
          </w:r>
          <w:r w:rsidR="002A0B60">
            <w:rPr>
              <w:rFonts w:asciiTheme="majorHAnsi" w:eastAsiaTheme="majorEastAsia" w:hAnsiTheme="majorHAnsi" w:cstheme="majorBidi"/>
              <w:b/>
              <w:color w:val="0070C0"/>
              <w:sz w:val="28"/>
              <w:szCs w:val="28"/>
            </w:rPr>
            <w:t>31</w:t>
          </w:r>
          <w:r w:rsidRPr="00906550">
            <w:rPr>
              <w:rFonts w:asciiTheme="majorHAnsi" w:eastAsiaTheme="majorEastAsia" w:hAnsiTheme="majorHAnsi" w:cstheme="majorBidi"/>
              <w:b/>
              <w:color w:val="0070C0"/>
              <w:sz w:val="28"/>
              <w:szCs w:val="28"/>
            </w:rPr>
            <w:t xml:space="preserve"> DE </w:t>
          </w:r>
          <w:r w:rsidR="002A0B60">
            <w:rPr>
              <w:rFonts w:asciiTheme="majorHAnsi" w:eastAsiaTheme="majorEastAsia" w:hAnsiTheme="majorHAnsi" w:cstheme="majorBidi"/>
              <w:b/>
              <w:color w:val="0070C0"/>
              <w:sz w:val="28"/>
              <w:szCs w:val="28"/>
            </w:rPr>
            <w:t>MARÇO</w:t>
          </w:r>
          <w:r w:rsidRPr="00906550">
            <w:rPr>
              <w:rFonts w:asciiTheme="majorHAnsi" w:eastAsiaTheme="majorEastAsia" w:hAnsiTheme="majorHAnsi" w:cstheme="majorBidi"/>
              <w:b/>
              <w:color w:val="0070C0"/>
              <w:sz w:val="28"/>
              <w:szCs w:val="28"/>
            </w:rPr>
            <w:t xml:space="preserve"> DE 202</w:t>
          </w:r>
          <w:r w:rsidR="002A0B60">
            <w:rPr>
              <w:rFonts w:asciiTheme="majorHAnsi" w:eastAsiaTheme="majorEastAsia" w:hAnsiTheme="majorHAnsi" w:cstheme="majorBidi"/>
              <w:b/>
              <w:color w:val="0070C0"/>
              <w:sz w:val="28"/>
              <w:szCs w:val="28"/>
            </w:rPr>
            <w:t>4</w:t>
          </w:r>
        </w:p>
        <w:p w14:paraId="4A70D291" w14:textId="77777777" w:rsidR="00A251BF" w:rsidRPr="00906550" w:rsidRDefault="00A251BF" w:rsidP="00787FF8"/>
        <w:p w14:paraId="3E1AE8EC" w14:textId="3A758B61" w:rsidR="00105962" w:rsidRPr="00A0271B" w:rsidRDefault="00A21C08" w:rsidP="00787FF8">
          <w:pPr>
            <w:jc w:val="center"/>
            <w:rPr>
              <w:rFonts w:asciiTheme="majorHAnsi" w:eastAsiaTheme="majorEastAsia" w:hAnsiTheme="majorHAnsi" w:cstheme="majorBidi"/>
              <w:b/>
              <w:color w:val="0070C0"/>
              <w:sz w:val="28"/>
              <w:szCs w:val="28"/>
            </w:rPr>
          </w:pPr>
          <w:r w:rsidRPr="00A0271B">
            <w:rPr>
              <w:rFonts w:asciiTheme="majorHAnsi" w:eastAsiaTheme="majorEastAsia" w:hAnsiTheme="majorHAnsi" w:cstheme="majorBidi"/>
              <w:b/>
              <w:color w:val="0070C0"/>
              <w:sz w:val="28"/>
              <w:szCs w:val="28"/>
            </w:rPr>
            <w:t>SUMÁRIO</w:t>
          </w:r>
        </w:p>
        <w:p w14:paraId="384243BA" w14:textId="77777777" w:rsidR="00054BC4" w:rsidRPr="00F269C4" w:rsidRDefault="00054BC4" w:rsidP="00054BC4">
          <w:pPr>
            <w:rPr>
              <w:color w:val="FF0000"/>
            </w:rPr>
          </w:pPr>
        </w:p>
        <w:p w14:paraId="262CFBAD" w14:textId="72486DE5" w:rsidR="00942891" w:rsidRDefault="00105962">
          <w:pPr>
            <w:pStyle w:val="Sumrio1"/>
            <w:rPr>
              <w:noProof/>
              <w:kern w:val="2"/>
              <w:sz w:val="24"/>
              <w:szCs w:val="24"/>
              <w14:ligatures w14:val="standardContextual"/>
            </w:rPr>
          </w:pPr>
          <w:r w:rsidRPr="00D630E0">
            <w:rPr>
              <w:color w:val="FF0000"/>
              <w:sz w:val="16"/>
              <w:szCs w:val="16"/>
            </w:rPr>
            <w:fldChar w:fldCharType="begin"/>
          </w:r>
          <w:r w:rsidRPr="00D630E0">
            <w:rPr>
              <w:color w:val="FF0000"/>
              <w:sz w:val="16"/>
              <w:szCs w:val="16"/>
            </w:rPr>
            <w:instrText xml:space="preserve"> TOC \o "1-3" \h \z \u </w:instrText>
          </w:r>
          <w:r w:rsidRPr="00D630E0">
            <w:rPr>
              <w:color w:val="FF0000"/>
              <w:sz w:val="16"/>
              <w:szCs w:val="16"/>
            </w:rPr>
            <w:fldChar w:fldCharType="separate"/>
          </w:r>
          <w:hyperlink w:anchor="_Toc184926653" w:history="1">
            <w:r w:rsidR="00942891" w:rsidRPr="00CA1A20">
              <w:rPr>
                <w:rStyle w:val="Hyperlink"/>
                <w:noProof/>
              </w:rPr>
              <w:t>DEMONSTRAÇÕES FINANCEIRAS</w:t>
            </w:r>
            <w:r w:rsidR="00942891">
              <w:rPr>
                <w:noProof/>
                <w:webHidden/>
              </w:rPr>
              <w:tab/>
            </w:r>
            <w:r w:rsidR="00942891">
              <w:rPr>
                <w:noProof/>
                <w:webHidden/>
              </w:rPr>
              <w:fldChar w:fldCharType="begin"/>
            </w:r>
            <w:r w:rsidR="00942891">
              <w:rPr>
                <w:noProof/>
                <w:webHidden/>
              </w:rPr>
              <w:instrText xml:space="preserve"> PAGEREF _Toc184926653 \h </w:instrText>
            </w:r>
            <w:r w:rsidR="00942891">
              <w:rPr>
                <w:noProof/>
                <w:webHidden/>
              </w:rPr>
            </w:r>
            <w:r w:rsidR="00942891">
              <w:rPr>
                <w:noProof/>
                <w:webHidden/>
              </w:rPr>
              <w:fldChar w:fldCharType="separate"/>
            </w:r>
            <w:r w:rsidR="00EE6F17">
              <w:rPr>
                <w:noProof/>
                <w:webHidden/>
              </w:rPr>
              <w:t>1</w:t>
            </w:r>
            <w:r w:rsidR="00942891">
              <w:rPr>
                <w:noProof/>
                <w:webHidden/>
              </w:rPr>
              <w:fldChar w:fldCharType="end"/>
            </w:r>
          </w:hyperlink>
        </w:p>
        <w:p w14:paraId="26BFD29F" w14:textId="581A971E" w:rsidR="00942891" w:rsidRDefault="00942891">
          <w:pPr>
            <w:pStyle w:val="Sumrio2"/>
            <w:rPr>
              <w:noProof/>
              <w:kern w:val="2"/>
              <w:sz w:val="24"/>
              <w:szCs w:val="24"/>
              <w14:ligatures w14:val="standardContextual"/>
            </w:rPr>
          </w:pPr>
          <w:hyperlink w:anchor="_Toc184926654" w:history="1">
            <w:r w:rsidRPr="00CA1A20">
              <w:rPr>
                <w:rStyle w:val="Hyperlink"/>
                <w:noProof/>
              </w:rPr>
              <w:t>Balanço Patrimonial</w:t>
            </w:r>
            <w:r>
              <w:rPr>
                <w:noProof/>
                <w:webHidden/>
              </w:rPr>
              <w:tab/>
            </w:r>
            <w:r>
              <w:rPr>
                <w:noProof/>
                <w:webHidden/>
              </w:rPr>
              <w:fldChar w:fldCharType="begin"/>
            </w:r>
            <w:r>
              <w:rPr>
                <w:noProof/>
                <w:webHidden/>
              </w:rPr>
              <w:instrText xml:space="preserve"> PAGEREF _Toc184926654 \h </w:instrText>
            </w:r>
            <w:r>
              <w:rPr>
                <w:noProof/>
                <w:webHidden/>
              </w:rPr>
            </w:r>
            <w:r>
              <w:rPr>
                <w:noProof/>
                <w:webHidden/>
              </w:rPr>
              <w:fldChar w:fldCharType="separate"/>
            </w:r>
            <w:r w:rsidR="00EE6F17">
              <w:rPr>
                <w:noProof/>
                <w:webHidden/>
              </w:rPr>
              <w:t>1</w:t>
            </w:r>
            <w:r>
              <w:rPr>
                <w:noProof/>
                <w:webHidden/>
              </w:rPr>
              <w:fldChar w:fldCharType="end"/>
            </w:r>
          </w:hyperlink>
        </w:p>
        <w:p w14:paraId="27FFEF23" w14:textId="7BDE9FF3" w:rsidR="00942891" w:rsidRDefault="00942891">
          <w:pPr>
            <w:pStyle w:val="Sumrio2"/>
            <w:rPr>
              <w:noProof/>
              <w:kern w:val="2"/>
              <w:sz w:val="24"/>
              <w:szCs w:val="24"/>
              <w14:ligatures w14:val="standardContextual"/>
            </w:rPr>
          </w:pPr>
          <w:hyperlink w:anchor="_Toc184926655" w:history="1">
            <w:r w:rsidRPr="00CA1A20">
              <w:rPr>
                <w:rStyle w:val="Hyperlink"/>
                <w:noProof/>
              </w:rPr>
              <w:t>Demonstração do Resultado do Exercício</w:t>
            </w:r>
            <w:r>
              <w:rPr>
                <w:noProof/>
                <w:webHidden/>
              </w:rPr>
              <w:tab/>
            </w:r>
            <w:r>
              <w:rPr>
                <w:noProof/>
                <w:webHidden/>
              </w:rPr>
              <w:fldChar w:fldCharType="begin"/>
            </w:r>
            <w:r>
              <w:rPr>
                <w:noProof/>
                <w:webHidden/>
              </w:rPr>
              <w:instrText xml:space="preserve"> PAGEREF _Toc184926655 \h </w:instrText>
            </w:r>
            <w:r>
              <w:rPr>
                <w:noProof/>
                <w:webHidden/>
              </w:rPr>
            </w:r>
            <w:r>
              <w:rPr>
                <w:noProof/>
                <w:webHidden/>
              </w:rPr>
              <w:fldChar w:fldCharType="separate"/>
            </w:r>
            <w:r w:rsidR="00EE6F17">
              <w:rPr>
                <w:noProof/>
                <w:webHidden/>
              </w:rPr>
              <w:t>2</w:t>
            </w:r>
            <w:r>
              <w:rPr>
                <w:noProof/>
                <w:webHidden/>
              </w:rPr>
              <w:fldChar w:fldCharType="end"/>
            </w:r>
          </w:hyperlink>
        </w:p>
        <w:p w14:paraId="2085CF3C" w14:textId="0D507837" w:rsidR="00942891" w:rsidRDefault="00942891">
          <w:pPr>
            <w:pStyle w:val="Sumrio2"/>
            <w:rPr>
              <w:noProof/>
              <w:kern w:val="2"/>
              <w:sz w:val="24"/>
              <w:szCs w:val="24"/>
              <w14:ligatures w14:val="standardContextual"/>
            </w:rPr>
          </w:pPr>
          <w:hyperlink w:anchor="_Toc184926656" w:history="1">
            <w:r w:rsidRPr="00CA1A20">
              <w:rPr>
                <w:rStyle w:val="Hyperlink"/>
                <w:noProof/>
              </w:rPr>
              <w:t>Demonstração das Mutações do Patrimônio Líquido</w:t>
            </w:r>
            <w:r>
              <w:rPr>
                <w:noProof/>
                <w:webHidden/>
              </w:rPr>
              <w:tab/>
            </w:r>
            <w:r>
              <w:rPr>
                <w:noProof/>
                <w:webHidden/>
              </w:rPr>
              <w:fldChar w:fldCharType="begin"/>
            </w:r>
            <w:r>
              <w:rPr>
                <w:noProof/>
                <w:webHidden/>
              </w:rPr>
              <w:instrText xml:space="preserve"> PAGEREF _Toc184926656 \h </w:instrText>
            </w:r>
            <w:r>
              <w:rPr>
                <w:noProof/>
                <w:webHidden/>
              </w:rPr>
            </w:r>
            <w:r>
              <w:rPr>
                <w:noProof/>
                <w:webHidden/>
              </w:rPr>
              <w:fldChar w:fldCharType="separate"/>
            </w:r>
            <w:r w:rsidR="00EE6F17">
              <w:rPr>
                <w:noProof/>
                <w:webHidden/>
              </w:rPr>
              <w:t>3</w:t>
            </w:r>
            <w:r>
              <w:rPr>
                <w:noProof/>
                <w:webHidden/>
              </w:rPr>
              <w:fldChar w:fldCharType="end"/>
            </w:r>
          </w:hyperlink>
        </w:p>
        <w:p w14:paraId="486BE925" w14:textId="70C210A2" w:rsidR="00942891" w:rsidRDefault="00942891">
          <w:pPr>
            <w:pStyle w:val="Sumrio2"/>
            <w:rPr>
              <w:noProof/>
              <w:kern w:val="2"/>
              <w:sz w:val="24"/>
              <w:szCs w:val="24"/>
              <w14:ligatures w14:val="standardContextual"/>
            </w:rPr>
          </w:pPr>
          <w:hyperlink w:anchor="_Toc184926657" w:history="1">
            <w:r w:rsidRPr="00CA1A20">
              <w:rPr>
                <w:rStyle w:val="Hyperlink"/>
                <w:noProof/>
              </w:rPr>
              <w:t>Demonstração do Resultado Abrangente</w:t>
            </w:r>
            <w:r>
              <w:rPr>
                <w:noProof/>
                <w:webHidden/>
              </w:rPr>
              <w:tab/>
            </w:r>
            <w:r>
              <w:rPr>
                <w:noProof/>
                <w:webHidden/>
              </w:rPr>
              <w:fldChar w:fldCharType="begin"/>
            </w:r>
            <w:r>
              <w:rPr>
                <w:noProof/>
                <w:webHidden/>
              </w:rPr>
              <w:instrText xml:space="preserve"> PAGEREF _Toc184926657 \h </w:instrText>
            </w:r>
            <w:r>
              <w:rPr>
                <w:noProof/>
                <w:webHidden/>
              </w:rPr>
            </w:r>
            <w:r>
              <w:rPr>
                <w:noProof/>
                <w:webHidden/>
              </w:rPr>
              <w:fldChar w:fldCharType="separate"/>
            </w:r>
            <w:r w:rsidR="00EE6F17">
              <w:rPr>
                <w:noProof/>
                <w:webHidden/>
              </w:rPr>
              <w:t>3</w:t>
            </w:r>
            <w:r>
              <w:rPr>
                <w:noProof/>
                <w:webHidden/>
              </w:rPr>
              <w:fldChar w:fldCharType="end"/>
            </w:r>
          </w:hyperlink>
        </w:p>
        <w:p w14:paraId="6EDBFAB1" w14:textId="3B6407AA" w:rsidR="00942891" w:rsidRDefault="00942891">
          <w:pPr>
            <w:pStyle w:val="Sumrio2"/>
            <w:rPr>
              <w:noProof/>
              <w:kern w:val="2"/>
              <w:sz w:val="24"/>
              <w:szCs w:val="24"/>
              <w14:ligatures w14:val="standardContextual"/>
            </w:rPr>
          </w:pPr>
          <w:hyperlink w:anchor="_Toc184926658" w:history="1">
            <w:r w:rsidRPr="00CA1A20">
              <w:rPr>
                <w:rStyle w:val="Hyperlink"/>
                <w:noProof/>
              </w:rPr>
              <w:t>Demonstração do Fluxo de Caixa</w:t>
            </w:r>
            <w:r>
              <w:rPr>
                <w:noProof/>
                <w:webHidden/>
              </w:rPr>
              <w:tab/>
            </w:r>
            <w:r>
              <w:rPr>
                <w:noProof/>
                <w:webHidden/>
              </w:rPr>
              <w:fldChar w:fldCharType="begin"/>
            </w:r>
            <w:r>
              <w:rPr>
                <w:noProof/>
                <w:webHidden/>
              </w:rPr>
              <w:instrText xml:space="preserve"> PAGEREF _Toc184926658 \h </w:instrText>
            </w:r>
            <w:r>
              <w:rPr>
                <w:noProof/>
                <w:webHidden/>
              </w:rPr>
            </w:r>
            <w:r>
              <w:rPr>
                <w:noProof/>
                <w:webHidden/>
              </w:rPr>
              <w:fldChar w:fldCharType="separate"/>
            </w:r>
            <w:r w:rsidR="00EE6F17">
              <w:rPr>
                <w:noProof/>
                <w:webHidden/>
              </w:rPr>
              <w:t>4</w:t>
            </w:r>
            <w:r>
              <w:rPr>
                <w:noProof/>
                <w:webHidden/>
              </w:rPr>
              <w:fldChar w:fldCharType="end"/>
            </w:r>
          </w:hyperlink>
        </w:p>
        <w:p w14:paraId="082D58BB" w14:textId="5892ADBB" w:rsidR="00942891" w:rsidRDefault="00942891">
          <w:pPr>
            <w:pStyle w:val="Sumrio2"/>
            <w:rPr>
              <w:noProof/>
              <w:kern w:val="2"/>
              <w:sz w:val="24"/>
              <w:szCs w:val="24"/>
              <w14:ligatures w14:val="standardContextual"/>
            </w:rPr>
          </w:pPr>
          <w:hyperlink w:anchor="_Toc184926659" w:history="1">
            <w:r w:rsidRPr="00CA1A20">
              <w:rPr>
                <w:rStyle w:val="Hyperlink"/>
                <w:noProof/>
              </w:rPr>
              <w:t>Demonstração do Valor Adicionado</w:t>
            </w:r>
            <w:r>
              <w:rPr>
                <w:noProof/>
                <w:webHidden/>
              </w:rPr>
              <w:tab/>
            </w:r>
            <w:r>
              <w:rPr>
                <w:noProof/>
                <w:webHidden/>
              </w:rPr>
              <w:fldChar w:fldCharType="begin"/>
            </w:r>
            <w:r>
              <w:rPr>
                <w:noProof/>
                <w:webHidden/>
              </w:rPr>
              <w:instrText xml:space="preserve"> PAGEREF _Toc184926659 \h </w:instrText>
            </w:r>
            <w:r>
              <w:rPr>
                <w:noProof/>
                <w:webHidden/>
              </w:rPr>
            </w:r>
            <w:r>
              <w:rPr>
                <w:noProof/>
                <w:webHidden/>
              </w:rPr>
              <w:fldChar w:fldCharType="separate"/>
            </w:r>
            <w:r w:rsidR="00EE6F17">
              <w:rPr>
                <w:noProof/>
                <w:webHidden/>
              </w:rPr>
              <w:t>5</w:t>
            </w:r>
            <w:r>
              <w:rPr>
                <w:noProof/>
                <w:webHidden/>
              </w:rPr>
              <w:fldChar w:fldCharType="end"/>
            </w:r>
          </w:hyperlink>
        </w:p>
        <w:p w14:paraId="4EB1BE4C" w14:textId="75840D1F" w:rsidR="00942891" w:rsidRDefault="00942891">
          <w:pPr>
            <w:pStyle w:val="Sumrio1"/>
            <w:rPr>
              <w:noProof/>
              <w:kern w:val="2"/>
              <w:sz w:val="24"/>
              <w:szCs w:val="24"/>
              <w14:ligatures w14:val="standardContextual"/>
            </w:rPr>
          </w:pPr>
          <w:hyperlink w:anchor="_Toc184926660" w:history="1">
            <w:r w:rsidRPr="00CA1A20">
              <w:rPr>
                <w:rStyle w:val="Hyperlink"/>
                <w:noProof/>
              </w:rPr>
              <w:t>NOTAS EXPLICATIVAS</w:t>
            </w:r>
            <w:r>
              <w:rPr>
                <w:noProof/>
                <w:webHidden/>
              </w:rPr>
              <w:tab/>
            </w:r>
            <w:r>
              <w:rPr>
                <w:noProof/>
                <w:webHidden/>
              </w:rPr>
              <w:fldChar w:fldCharType="begin"/>
            </w:r>
            <w:r>
              <w:rPr>
                <w:noProof/>
                <w:webHidden/>
              </w:rPr>
              <w:instrText xml:space="preserve"> PAGEREF _Toc184926660 \h </w:instrText>
            </w:r>
            <w:r>
              <w:rPr>
                <w:noProof/>
                <w:webHidden/>
              </w:rPr>
            </w:r>
            <w:r>
              <w:rPr>
                <w:noProof/>
                <w:webHidden/>
              </w:rPr>
              <w:fldChar w:fldCharType="separate"/>
            </w:r>
            <w:r w:rsidR="00EE6F17">
              <w:rPr>
                <w:noProof/>
                <w:webHidden/>
              </w:rPr>
              <w:t>6</w:t>
            </w:r>
            <w:r>
              <w:rPr>
                <w:noProof/>
                <w:webHidden/>
              </w:rPr>
              <w:fldChar w:fldCharType="end"/>
            </w:r>
          </w:hyperlink>
        </w:p>
        <w:p w14:paraId="13DE4493" w14:textId="00A69716" w:rsidR="00942891" w:rsidRDefault="00942891">
          <w:pPr>
            <w:pStyle w:val="Sumrio1"/>
            <w:rPr>
              <w:noProof/>
              <w:kern w:val="2"/>
              <w:sz w:val="24"/>
              <w:szCs w:val="24"/>
              <w14:ligatures w14:val="standardContextual"/>
            </w:rPr>
          </w:pPr>
          <w:hyperlink w:anchor="_Toc184926661" w:history="1">
            <w:r w:rsidRPr="00CA1A20">
              <w:rPr>
                <w:rStyle w:val="Hyperlink"/>
                <w:noProof/>
              </w:rPr>
              <w:t>1 – Contexto Operacional</w:t>
            </w:r>
            <w:r>
              <w:rPr>
                <w:noProof/>
                <w:webHidden/>
              </w:rPr>
              <w:tab/>
            </w:r>
            <w:r>
              <w:rPr>
                <w:noProof/>
                <w:webHidden/>
              </w:rPr>
              <w:fldChar w:fldCharType="begin"/>
            </w:r>
            <w:r>
              <w:rPr>
                <w:noProof/>
                <w:webHidden/>
              </w:rPr>
              <w:instrText xml:space="preserve"> PAGEREF _Toc184926661 \h </w:instrText>
            </w:r>
            <w:r>
              <w:rPr>
                <w:noProof/>
                <w:webHidden/>
              </w:rPr>
            </w:r>
            <w:r>
              <w:rPr>
                <w:noProof/>
                <w:webHidden/>
              </w:rPr>
              <w:fldChar w:fldCharType="separate"/>
            </w:r>
            <w:r w:rsidR="00EE6F17">
              <w:rPr>
                <w:noProof/>
                <w:webHidden/>
              </w:rPr>
              <w:t>6</w:t>
            </w:r>
            <w:r>
              <w:rPr>
                <w:noProof/>
                <w:webHidden/>
              </w:rPr>
              <w:fldChar w:fldCharType="end"/>
            </w:r>
          </w:hyperlink>
        </w:p>
        <w:p w14:paraId="50F98282" w14:textId="7A940DCE" w:rsidR="00942891" w:rsidRDefault="00942891">
          <w:pPr>
            <w:pStyle w:val="Sumrio2"/>
            <w:rPr>
              <w:noProof/>
              <w:kern w:val="2"/>
              <w:sz w:val="24"/>
              <w:szCs w:val="24"/>
              <w14:ligatures w14:val="standardContextual"/>
            </w:rPr>
          </w:pPr>
          <w:hyperlink w:anchor="_Toc184926662" w:history="1">
            <w:r w:rsidRPr="00CA1A20">
              <w:rPr>
                <w:rStyle w:val="Hyperlink"/>
                <w:noProof/>
              </w:rPr>
              <w:t>1.1 – A Empresa</w:t>
            </w:r>
            <w:r>
              <w:rPr>
                <w:noProof/>
                <w:webHidden/>
              </w:rPr>
              <w:tab/>
            </w:r>
            <w:r>
              <w:rPr>
                <w:noProof/>
                <w:webHidden/>
              </w:rPr>
              <w:fldChar w:fldCharType="begin"/>
            </w:r>
            <w:r>
              <w:rPr>
                <w:noProof/>
                <w:webHidden/>
              </w:rPr>
              <w:instrText xml:space="preserve"> PAGEREF _Toc184926662 \h </w:instrText>
            </w:r>
            <w:r>
              <w:rPr>
                <w:noProof/>
                <w:webHidden/>
              </w:rPr>
            </w:r>
            <w:r>
              <w:rPr>
                <w:noProof/>
                <w:webHidden/>
              </w:rPr>
              <w:fldChar w:fldCharType="separate"/>
            </w:r>
            <w:r w:rsidR="00EE6F17">
              <w:rPr>
                <w:noProof/>
                <w:webHidden/>
              </w:rPr>
              <w:t>6</w:t>
            </w:r>
            <w:r>
              <w:rPr>
                <w:noProof/>
                <w:webHidden/>
              </w:rPr>
              <w:fldChar w:fldCharType="end"/>
            </w:r>
          </w:hyperlink>
        </w:p>
        <w:p w14:paraId="0F109D88" w14:textId="3AB4C781" w:rsidR="00942891" w:rsidRDefault="00942891">
          <w:pPr>
            <w:pStyle w:val="Sumrio2"/>
            <w:rPr>
              <w:noProof/>
              <w:kern w:val="2"/>
              <w:sz w:val="24"/>
              <w:szCs w:val="24"/>
              <w14:ligatures w14:val="standardContextual"/>
            </w:rPr>
          </w:pPr>
          <w:hyperlink w:anchor="_Toc184926663" w:history="1">
            <w:r w:rsidRPr="00CA1A20">
              <w:rPr>
                <w:rStyle w:val="Hyperlink"/>
                <w:noProof/>
              </w:rPr>
              <w:t>1.2 – Projetos e Atividades Operacionais</w:t>
            </w:r>
            <w:r>
              <w:rPr>
                <w:noProof/>
                <w:webHidden/>
              </w:rPr>
              <w:tab/>
            </w:r>
            <w:r>
              <w:rPr>
                <w:noProof/>
                <w:webHidden/>
              </w:rPr>
              <w:fldChar w:fldCharType="begin"/>
            </w:r>
            <w:r>
              <w:rPr>
                <w:noProof/>
                <w:webHidden/>
              </w:rPr>
              <w:instrText xml:space="preserve"> PAGEREF _Toc184926663 \h </w:instrText>
            </w:r>
            <w:r>
              <w:rPr>
                <w:noProof/>
                <w:webHidden/>
              </w:rPr>
            </w:r>
            <w:r>
              <w:rPr>
                <w:noProof/>
                <w:webHidden/>
              </w:rPr>
              <w:fldChar w:fldCharType="separate"/>
            </w:r>
            <w:r w:rsidR="00EE6F17">
              <w:rPr>
                <w:noProof/>
                <w:webHidden/>
              </w:rPr>
              <w:t>7</w:t>
            </w:r>
            <w:r>
              <w:rPr>
                <w:noProof/>
                <w:webHidden/>
              </w:rPr>
              <w:fldChar w:fldCharType="end"/>
            </w:r>
          </w:hyperlink>
        </w:p>
        <w:p w14:paraId="0B7817E4" w14:textId="439EEA8A" w:rsidR="00942891" w:rsidRDefault="00942891">
          <w:pPr>
            <w:pStyle w:val="Sumrio2"/>
            <w:rPr>
              <w:noProof/>
              <w:kern w:val="2"/>
              <w:sz w:val="24"/>
              <w:szCs w:val="24"/>
              <w14:ligatures w14:val="standardContextual"/>
            </w:rPr>
          </w:pPr>
          <w:hyperlink w:anchor="_Toc184926664" w:history="1">
            <w:r w:rsidRPr="00CA1A20">
              <w:rPr>
                <w:rStyle w:val="Hyperlink"/>
                <w:noProof/>
              </w:rPr>
              <w:t>1.3 – Continuidade Operacional</w:t>
            </w:r>
            <w:r>
              <w:rPr>
                <w:noProof/>
                <w:webHidden/>
              </w:rPr>
              <w:tab/>
            </w:r>
            <w:r>
              <w:rPr>
                <w:noProof/>
                <w:webHidden/>
              </w:rPr>
              <w:fldChar w:fldCharType="begin"/>
            </w:r>
            <w:r>
              <w:rPr>
                <w:noProof/>
                <w:webHidden/>
              </w:rPr>
              <w:instrText xml:space="preserve"> PAGEREF _Toc184926664 \h </w:instrText>
            </w:r>
            <w:r>
              <w:rPr>
                <w:noProof/>
                <w:webHidden/>
              </w:rPr>
            </w:r>
            <w:r>
              <w:rPr>
                <w:noProof/>
                <w:webHidden/>
              </w:rPr>
              <w:fldChar w:fldCharType="separate"/>
            </w:r>
            <w:r w:rsidR="00EE6F17">
              <w:rPr>
                <w:noProof/>
                <w:webHidden/>
              </w:rPr>
              <w:t>9</w:t>
            </w:r>
            <w:r>
              <w:rPr>
                <w:noProof/>
                <w:webHidden/>
              </w:rPr>
              <w:fldChar w:fldCharType="end"/>
            </w:r>
          </w:hyperlink>
        </w:p>
        <w:p w14:paraId="1939431F" w14:textId="6F28DBB0" w:rsidR="00942891" w:rsidRDefault="00942891">
          <w:pPr>
            <w:pStyle w:val="Sumrio1"/>
            <w:rPr>
              <w:noProof/>
              <w:kern w:val="2"/>
              <w:sz w:val="24"/>
              <w:szCs w:val="24"/>
              <w14:ligatures w14:val="standardContextual"/>
            </w:rPr>
          </w:pPr>
          <w:hyperlink w:anchor="_Toc184926665" w:history="1">
            <w:r w:rsidRPr="00CA1A20">
              <w:rPr>
                <w:rStyle w:val="Hyperlink"/>
                <w:noProof/>
              </w:rPr>
              <w:t>2 – Base de Preparação das Demonstrações e Principais Práticas Contábeis</w:t>
            </w:r>
            <w:r>
              <w:rPr>
                <w:noProof/>
                <w:webHidden/>
              </w:rPr>
              <w:tab/>
            </w:r>
            <w:r>
              <w:rPr>
                <w:noProof/>
                <w:webHidden/>
              </w:rPr>
              <w:fldChar w:fldCharType="begin"/>
            </w:r>
            <w:r>
              <w:rPr>
                <w:noProof/>
                <w:webHidden/>
              </w:rPr>
              <w:instrText xml:space="preserve"> PAGEREF _Toc184926665 \h </w:instrText>
            </w:r>
            <w:r>
              <w:rPr>
                <w:noProof/>
                <w:webHidden/>
              </w:rPr>
            </w:r>
            <w:r>
              <w:rPr>
                <w:noProof/>
                <w:webHidden/>
              </w:rPr>
              <w:fldChar w:fldCharType="separate"/>
            </w:r>
            <w:r w:rsidR="00EE6F17">
              <w:rPr>
                <w:noProof/>
                <w:webHidden/>
              </w:rPr>
              <w:t>9</w:t>
            </w:r>
            <w:r>
              <w:rPr>
                <w:noProof/>
                <w:webHidden/>
              </w:rPr>
              <w:fldChar w:fldCharType="end"/>
            </w:r>
          </w:hyperlink>
        </w:p>
        <w:p w14:paraId="44D0C611" w14:textId="26C7A560" w:rsidR="00942891" w:rsidRDefault="00942891">
          <w:pPr>
            <w:pStyle w:val="Sumrio1"/>
            <w:rPr>
              <w:noProof/>
              <w:kern w:val="2"/>
              <w:sz w:val="24"/>
              <w:szCs w:val="24"/>
              <w14:ligatures w14:val="standardContextual"/>
            </w:rPr>
          </w:pPr>
          <w:hyperlink w:anchor="_Toc184926666" w:history="1">
            <w:r w:rsidRPr="00CA1A20">
              <w:rPr>
                <w:rStyle w:val="Hyperlink"/>
                <w:noProof/>
              </w:rPr>
              <w:t>3 – Caixa e Equivalentes de Caixa</w:t>
            </w:r>
            <w:r>
              <w:rPr>
                <w:noProof/>
                <w:webHidden/>
              </w:rPr>
              <w:tab/>
            </w:r>
            <w:r>
              <w:rPr>
                <w:noProof/>
                <w:webHidden/>
              </w:rPr>
              <w:fldChar w:fldCharType="begin"/>
            </w:r>
            <w:r>
              <w:rPr>
                <w:noProof/>
                <w:webHidden/>
              </w:rPr>
              <w:instrText xml:space="preserve"> PAGEREF _Toc184926666 \h </w:instrText>
            </w:r>
            <w:r>
              <w:rPr>
                <w:noProof/>
                <w:webHidden/>
              </w:rPr>
            </w:r>
            <w:r>
              <w:rPr>
                <w:noProof/>
                <w:webHidden/>
              </w:rPr>
              <w:fldChar w:fldCharType="separate"/>
            </w:r>
            <w:r w:rsidR="00EE6F17">
              <w:rPr>
                <w:noProof/>
                <w:webHidden/>
              </w:rPr>
              <w:t>11</w:t>
            </w:r>
            <w:r>
              <w:rPr>
                <w:noProof/>
                <w:webHidden/>
              </w:rPr>
              <w:fldChar w:fldCharType="end"/>
            </w:r>
          </w:hyperlink>
        </w:p>
        <w:p w14:paraId="184B50CC" w14:textId="6F2DD22E" w:rsidR="00942891" w:rsidRDefault="00942891">
          <w:pPr>
            <w:pStyle w:val="Sumrio1"/>
            <w:rPr>
              <w:noProof/>
              <w:kern w:val="2"/>
              <w:sz w:val="24"/>
              <w:szCs w:val="24"/>
              <w14:ligatures w14:val="standardContextual"/>
            </w:rPr>
          </w:pPr>
          <w:hyperlink w:anchor="_Toc184926667" w:history="1">
            <w:r w:rsidRPr="00CA1A20">
              <w:rPr>
                <w:rStyle w:val="Hyperlink"/>
                <w:noProof/>
              </w:rPr>
              <w:t>4 – Permissões para Uso de Pátios</w:t>
            </w:r>
            <w:r>
              <w:rPr>
                <w:noProof/>
                <w:webHidden/>
              </w:rPr>
              <w:tab/>
            </w:r>
            <w:r>
              <w:rPr>
                <w:noProof/>
                <w:webHidden/>
              </w:rPr>
              <w:fldChar w:fldCharType="begin"/>
            </w:r>
            <w:r>
              <w:rPr>
                <w:noProof/>
                <w:webHidden/>
              </w:rPr>
              <w:instrText xml:space="preserve"> PAGEREF _Toc184926667 \h </w:instrText>
            </w:r>
            <w:r>
              <w:rPr>
                <w:noProof/>
                <w:webHidden/>
              </w:rPr>
            </w:r>
            <w:r>
              <w:rPr>
                <w:noProof/>
                <w:webHidden/>
              </w:rPr>
              <w:fldChar w:fldCharType="separate"/>
            </w:r>
            <w:r w:rsidR="00EE6F17">
              <w:rPr>
                <w:noProof/>
                <w:webHidden/>
              </w:rPr>
              <w:t>11</w:t>
            </w:r>
            <w:r>
              <w:rPr>
                <w:noProof/>
                <w:webHidden/>
              </w:rPr>
              <w:fldChar w:fldCharType="end"/>
            </w:r>
          </w:hyperlink>
        </w:p>
        <w:p w14:paraId="1C6754B0" w14:textId="2F0C9DCC" w:rsidR="00942891" w:rsidRDefault="00942891">
          <w:pPr>
            <w:pStyle w:val="Sumrio1"/>
            <w:rPr>
              <w:noProof/>
              <w:kern w:val="2"/>
              <w:sz w:val="24"/>
              <w:szCs w:val="24"/>
              <w14:ligatures w14:val="standardContextual"/>
            </w:rPr>
          </w:pPr>
          <w:hyperlink w:anchor="_Toc184926668" w:history="1">
            <w:r w:rsidRPr="00CA1A20">
              <w:rPr>
                <w:rStyle w:val="Hyperlink"/>
                <w:noProof/>
              </w:rPr>
              <w:t>5 – Adiantamentos Concedidos</w:t>
            </w:r>
            <w:r>
              <w:rPr>
                <w:noProof/>
                <w:webHidden/>
              </w:rPr>
              <w:tab/>
            </w:r>
            <w:r>
              <w:rPr>
                <w:noProof/>
                <w:webHidden/>
              </w:rPr>
              <w:fldChar w:fldCharType="begin"/>
            </w:r>
            <w:r>
              <w:rPr>
                <w:noProof/>
                <w:webHidden/>
              </w:rPr>
              <w:instrText xml:space="preserve"> PAGEREF _Toc184926668 \h </w:instrText>
            </w:r>
            <w:r>
              <w:rPr>
                <w:noProof/>
                <w:webHidden/>
              </w:rPr>
            </w:r>
            <w:r>
              <w:rPr>
                <w:noProof/>
                <w:webHidden/>
              </w:rPr>
              <w:fldChar w:fldCharType="separate"/>
            </w:r>
            <w:r w:rsidR="00EE6F17">
              <w:rPr>
                <w:noProof/>
                <w:webHidden/>
              </w:rPr>
              <w:t>12</w:t>
            </w:r>
            <w:r>
              <w:rPr>
                <w:noProof/>
                <w:webHidden/>
              </w:rPr>
              <w:fldChar w:fldCharType="end"/>
            </w:r>
          </w:hyperlink>
        </w:p>
        <w:p w14:paraId="4328AEB7" w14:textId="4E9E0BFA" w:rsidR="00942891" w:rsidRDefault="00942891">
          <w:pPr>
            <w:pStyle w:val="Sumrio1"/>
            <w:rPr>
              <w:noProof/>
              <w:kern w:val="2"/>
              <w:sz w:val="24"/>
              <w:szCs w:val="24"/>
              <w14:ligatures w14:val="standardContextual"/>
            </w:rPr>
          </w:pPr>
          <w:hyperlink w:anchor="_Toc184926669" w:history="1">
            <w:r w:rsidRPr="00CA1A20">
              <w:rPr>
                <w:rStyle w:val="Hyperlink"/>
                <w:noProof/>
              </w:rPr>
              <w:t>6 – Créditos Tributários a Compensar</w:t>
            </w:r>
            <w:r>
              <w:rPr>
                <w:noProof/>
                <w:webHidden/>
              </w:rPr>
              <w:tab/>
            </w:r>
            <w:r>
              <w:rPr>
                <w:noProof/>
                <w:webHidden/>
              </w:rPr>
              <w:fldChar w:fldCharType="begin"/>
            </w:r>
            <w:r>
              <w:rPr>
                <w:noProof/>
                <w:webHidden/>
              </w:rPr>
              <w:instrText xml:space="preserve"> PAGEREF _Toc184926669 \h </w:instrText>
            </w:r>
            <w:r>
              <w:rPr>
                <w:noProof/>
                <w:webHidden/>
              </w:rPr>
            </w:r>
            <w:r>
              <w:rPr>
                <w:noProof/>
                <w:webHidden/>
              </w:rPr>
              <w:fldChar w:fldCharType="separate"/>
            </w:r>
            <w:r w:rsidR="00EE6F17">
              <w:rPr>
                <w:noProof/>
                <w:webHidden/>
              </w:rPr>
              <w:t>12</w:t>
            </w:r>
            <w:r>
              <w:rPr>
                <w:noProof/>
                <w:webHidden/>
              </w:rPr>
              <w:fldChar w:fldCharType="end"/>
            </w:r>
          </w:hyperlink>
        </w:p>
        <w:p w14:paraId="0AC386F6" w14:textId="1163397E" w:rsidR="00942891" w:rsidRDefault="00942891">
          <w:pPr>
            <w:pStyle w:val="Sumrio1"/>
            <w:rPr>
              <w:noProof/>
              <w:kern w:val="2"/>
              <w:sz w:val="24"/>
              <w:szCs w:val="24"/>
              <w14:ligatures w14:val="standardContextual"/>
            </w:rPr>
          </w:pPr>
          <w:hyperlink w:anchor="_Toc184926670" w:history="1">
            <w:r w:rsidRPr="00CA1A20">
              <w:rPr>
                <w:rStyle w:val="Hyperlink"/>
                <w:noProof/>
              </w:rPr>
              <w:t>7 – Termos de Execução Descentralizada (TEDs) e Acordos de Parceria</w:t>
            </w:r>
            <w:r>
              <w:rPr>
                <w:noProof/>
                <w:webHidden/>
              </w:rPr>
              <w:tab/>
            </w:r>
            <w:r>
              <w:rPr>
                <w:noProof/>
                <w:webHidden/>
              </w:rPr>
              <w:fldChar w:fldCharType="begin"/>
            </w:r>
            <w:r>
              <w:rPr>
                <w:noProof/>
                <w:webHidden/>
              </w:rPr>
              <w:instrText xml:space="preserve"> PAGEREF _Toc184926670 \h </w:instrText>
            </w:r>
            <w:r>
              <w:rPr>
                <w:noProof/>
                <w:webHidden/>
              </w:rPr>
            </w:r>
            <w:r>
              <w:rPr>
                <w:noProof/>
                <w:webHidden/>
              </w:rPr>
              <w:fldChar w:fldCharType="separate"/>
            </w:r>
            <w:r w:rsidR="00EE6F17">
              <w:rPr>
                <w:noProof/>
                <w:webHidden/>
              </w:rPr>
              <w:t>13</w:t>
            </w:r>
            <w:r>
              <w:rPr>
                <w:noProof/>
                <w:webHidden/>
              </w:rPr>
              <w:fldChar w:fldCharType="end"/>
            </w:r>
          </w:hyperlink>
        </w:p>
        <w:p w14:paraId="0A1D551A" w14:textId="15A45FAC" w:rsidR="00942891" w:rsidRDefault="00942891">
          <w:pPr>
            <w:pStyle w:val="Sumrio1"/>
            <w:rPr>
              <w:noProof/>
              <w:kern w:val="2"/>
              <w:sz w:val="24"/>
              <w:szCs w:val="24"/>
              <w14:ligatures w14:val="standardContextual"/>
            </w:rPr>
          </w:pPr>
          <w:hyperlink w:anchor="_Toc184926671" w:history="1">
            <w:r w:rsidRPr="00CA1A20">
              <w:rPr>
                <w:rStyle w:val="Hyperlink"/>
                <w:noProof/>
              </w:rPr>
              <w:t>8 – Demais Créditos e Valores</w:t>
            </w:r>
            <w:r>
              <w:rPr>
                <w:noProof/>
                <w:webHidden/>
              </w:rPr>
              <w:tab/>
            </w:r>
            <w:r>
              <w:rPr>
                <w:noProof/>
                <w:webHidden/>
              </w:rPr>
              <w:fldChar w:fldCharType="begin"/>
            </w:r>
            <w:r>
              <w:rPr>
                <w:noProof/>
                <w:webHidden/>
              </w:rPr>
              <w:instrText xml:space="preserve"> PAGEREF _Toc184926671 \h </w:instrText>
            </w:r>
            <w:r>
              <w:rPr>
                <w:noProof/>
                <w:webHidden/>
              </w:rPr>
            </w:r>
            <w:r>
              <w:rPr>
                <w:noProof/>
                <w:webHidden/>
              </w:rPr>
              <w:fldChar w:fldCharType="separate"/>
            </w:r>
            <w:r w:rsidR="00EE6F17">
              <w:rPr>
                <w:noProof/>
                <w:webHidden/>
              </w:rPr>
              <w:t>15</w:t>
            </w:r>
            <w:r>
              <w:rPr>
                <w:noProof/>
                <w:webHidden/>
              </w:rPr>
              <w:fldChar w:fldCharType="end"/>
            </w:r>
          </w:hyperlink>
        </w:p>
        <w:p w14:paraId="22566FBC" w14:textId="6B04F07D" w:rsidR="00942891" w:rsidRDefault="00942891">
          <w:pPr>
            <w:pStyle w:val="Sumrio2"/>
            <w:rPr>
              <w:noProof/>
              <w:kern w:val="2"/>
              <w:sz w:val="24"/>
              <w:szCs w:val="24"/>
              <w14:ligatures w14:val="standardContextual"/>
            </w:rPr>
          </w:pPr>
          <w:hyperlink w:anchor="_Toc184926672" w:history="1">
            <w:r w:rsidRPr="00CA1A20">
              <w:rPr>
                <w:rStyle w:val="Hyperlink"/>
                <w:noProof/>
              </w:rPr>
              <w:t>8.1 – Despesas Antecipadas</w:t>
            </w:r>
            <w:r>
              <w:rPr>
                <w:noProof/>
                <w:webHidden/>
              </w:rPr>
              <w:tab/>
            </w:r>
            <w:r>
              <w:rPr>
                <w:noProof/>
                <w:webHidden/>
              </w:rPr>
              <w:fldChar w:fldCharType="begin"/>
            </w:r>
            <w:r>
              <w:rPr>
                <w:noProof/>
                <w:webHidden/>
              </w:rPr>
              <w:instrText xml:space="preserve"> PAGEREF _Toc184926672 \h </w:instrText>
            </w:r>
            <w:r>
              <w:rPr>
                <w:noProof/>
                <w:webHidden/>
              </w:rPr>
            </w:r>
            <w:r>
              <w:rPr>
                <w:noProof/>
                <w:webHidden/>
              </w:rPr>
              <w:fldChar w:fldCharType="separate"/>
            </w:r>
            <w:r w:rsidR="00EE6F17">
              <w:rPr>
                <w:noProof/>
                <w:webHidden/>
              </w:rPr>
              <w:t>15</w:t>
            </w:r>
            <w:r>
              <w:rPr>
                <w:noProof/>
                <w:webHidden/>
              </w:rPr>
              <w:fldChar w:fldCharType="end"/>
            </w:r>
          </w:hyperlink>
        </w:p>
        <w:p w14:paraId="690935FE" w14:textId="65756F43" w:rsidR="00942891" w:rsidRDefault="00942891">
          <w:pPr>
            <w:pStyle w:val="Sumrio2"/>
            <w:rPr>
              <w:noProof/>
              <w:kern w:val="2"/>
              <w:sz w:val="24"/>
              <w:szCs w:val="24"/>
              <w14:ligatures w14:val="standardContextual"/>
            </w:rPr>
          </w:pPr>
          <w:hyperlink w:anchor="_Toc184926673" w:history="1">
            <w:r w:rsidRPr="00CA1A20">
              <w:rPr>
                <w:rStyle w:val="Hyperlink"/>
                <w:noProof/>
              </w:rPr>
              <w:t>8.2 – Estoques</w:t>
            </w:r>
            <w:r>
              <w:rPr>
                <w:noProof/>
                <w:webHidden/>
              </w:rPr>
              <w:tab/>
            </w:r>
            <w:r>
              <w:rPr>
                <w:noProof/>
                <w:webHidden/>
              </w:rPr>
              <w:fldChar w:fldCharType="begin"/>
            </w:r>
            <w:r>
              <w:rPr>
                <w:noProof/>
                <w:webHidden/>
              </w:rPr>
              <w:instrText xml:space="preserve"> PAGEREF _Toc184926673 \h </w:instrText>
            </w:r>
            <w:r>
              <w:rPr>
                <w:noProof/>
                <w:webHidden/>
              </w:rPr>
            </w:r>
            <w:r>
              <w:rPr>
                <w:noProof/>
                <w:webHidden/>
              </w:rPr>
              <w:fldChar w:fldCharType="separate"/>
            </w:r>
            <w:r w:rsidR="00EE6F17">
              <w:rPr>
                <w:noProof/>
                <w:webHidden/>
              </w:rPr>
              <w:t>15</w:t>
            </w:r>
            <w:r>
              <w:rPr>
                <w:noProof/>
                <w:webHidden/>
              </w:rPr>
              <w:fldChar w:fldCharType="end"/>
            </w:r>
          </w:hyperlink>
        </w:p>
        <w:p w14:paraId="2169420B" w14:textId="09F59CC0" w:rsidR="00942891" w:rsidRDefault="00942891">
          <w:pPr>
            <w:pStyle w:val="Sumrio2"/>
            <w:rPr>
              <w:noProof/>
              <w:kern w:val="2"/>
              <w:sz w:val="24"/>
              <w:szCs w:val="24"/>
              <w14:ligatures w14:val="standardContextual"/>
            </w:rPr>
          </w:pPr>
          <w:hyperlink w:anchor="_Toc184926674" w:history="1">
            <w:r w:rsidRPr="00CA1A20">
              <w:rPr>
                <w:rStyle w:val="Hyperlink"/>
                <w:noProof/>
              </w:rPr>
              <w:t>8.3 – Outros Créditos a Receber</w:t>
            </w:r>
            <w:r>
              <w:rPr>
                <w:noProof/>
                <w:webHidden/>
              </w:rPr>
              <w:tab/>
            </w:r>
            <w:r>
              <w:rPr>
                <w:noProof/>
                <w:webHidden/>
              </w:rPr>
              <w:fldChar w:fldCharType="begin"/>
            </w:r>
            <w:r>
              <w:rPr>
                <w:noProof/>
                <w:webHidden/>
              </w:rPr>
              <w:instrText xml:space="preserve"> PAGEREF _Toc184926674 \h </w:instrText>
            </w:r>
            <w:r>
              <w:rPr>
                <w:noProof/>
                <w:webHidden/>
              </w:rPr>
            </w:r>
            <w:r>
              <w:rPr>
                <w:noProof/>
                <w:webHidden/>
              </w:rPr>
              <w:fldChar w:fldCharType="separate"/>
            </w:r>
            <w:r w:rsidR="00EE6F17">
              <w:rPr>
                <w:noProof/>
                <w:webHidden/>
              </w:rPr>
              <w:t>15</w:t>
            </w:r>
            <w:r>
              <w:rPr>
                <w:noProof/>
                <w:webHidden/>
              </w:rPr>
              <w:fldChar w:fldCharType="end"/>
            </w:r>
          </w:hyperlink>
        </w:p>
        <w:p w14:paraId="5E1761A2" w14:textId="2CA9C207" w:rsidR="00942891" w:rsidRDefault="00942891">
          <w:pPr>
            <w:pStyle w:val="Sumrio1"/>
            <w:rPr>
              <w:noProof/>
              <w:kern w:val="2"/>
              <w:sz w:val="24"/>
              <w:szCs w:val="24"/>
              <w14:ligatures w14:val="standardContextual"/>
            </w:rPr>
          </w:pPr>
          <w:hyperlink w:anchor="_Toc184926675" w:history="1">
            <w:r w:rsidRPr="00CA1A20">
              <w:rPr>
                <w:rStyle w:val="Hyperlink"/>
                <w:noProof/>
              </w:rPr>
              <w:t>9 – Depósitos Judiciais</w:t>
            </w:r>
            <w:r>
              <w:rPr>
                <w:noProof/>
                <w:webHidden/>
              </w:rPr>
              <w:tab/>
            </w:r>
            <w:r>
              <w:rPr>
                <w:noProof/>
                <w:webHidden/>
              </w:rPr>
              <w:fldChar w:fldCharType="begin"/>
            </w:r>
            <w:r>
              <w:rPr>
                <w:noProof/>
                <w:webHidden/>
              </w:rPr>
              <w:instrText xml:space="preserve"> PAGEREF _Toc184926675 \h </w:instrText>
            </w:r>
            <w:r>
              <w:rPr>
                <w:noProof/>
                <w:webHidden/>
              </w:rPr>
            </w:r>
            <w:r>
              <w:rPr>
                <w:noProof/>
                <w:webHidden/>
              </w:rPr>
              <w:fldChar w:fldCharType="separate"/>
            </w:r>
            <w:r w:rsidR="00EE6F17">
              <w:rPr>
                <w:noProof/>
                <w:webHidden/>
              </w:rPr>
              <w:t>16</w:t>
            </w:r>
            <w:r>
              <w:rPr>
                <w:noProof/>
                <w:webHidden/>
              </w:rPr>
              <w:fldChar w:fldCharType="end"/>
            </w:r>
          </w:hyperlink>
        </w:p>
        <w:p w14:paraId="42096230" w14:textId="1E9F3184" w:rsidR="00942891" w:rsidRDefault="00942891">
          <w:pPr>
            <w:pStyle w:val="Sumrio1"/>
            <w:rPr>
              <w:noProof/>
              <w:kern w:val="2"/>
              <w:sz w:val="24"/>
              <w:szCs w:val="24"/>
              <w14:ligatures w14:val="standardContextual"/>
            </w:rPr>
          </w:pPr>
          <w:hyperlink w:anchor="_Toc184926676" w:history="1">
            <w:r w:rsidRPr="00CA1A20">
              <w:rPr>
                <w:rStyle w:val="Hyperlink"/>
                <w:noProof/>
              </w:rPr>
              <w:t>10 – Depósitos de Cauções</w:t>
            </w:r>
            <w:r>
              <w:rPr>
                <w:noProof/>
                <w:webHidden/>
              </w:rPr>
              <w:tab/>
            </w:r>
            <w:r>
              <w:rPr>
                <w:noProof/>
                <w:webHidden/>
              </w:rPr>
              <w:fldChar w:fldCharType="begin"/>
            </w:r>
            <w:r>
              <w:rPr>
                <w:noProof/>
                <w:webHidden/>
              </w:rPr>
              <w:instrText xml:space="preserve"> PAGEREF _Toc184926676 \h </w:instrText>
            </w:r>
            <w:r>
              <w:rPr>
                <w:noProof/>
                <w:webHidden/>
              </w:rPr>
            </w:r>
            <w:r>
              <w:rPr>
                <w:noProof/>
                <w:webHidden/>
              </w:rPr>
              <w:fldChar w:fldCharType="separate"/>
            </w:r>
            <w:r w:rsidR="00EE6F17">
              <w:rPr>
                <w:noProof/>
                <w:webHidden/>
              </w:rPr>
              <w:t>16</w:t>
            </w:r>
            <w:r>
              <w:rPr>
                <w:noProof/>
                <w:webHidden/>
              </w:rPr>
              <w:fldChar w:fldCharType="end"/>
            </w:r>
          </w:hyperlink>
        </w:p>
        <w:p w14:paraId="7D089936" w14:textId="69A9D1E1" w:rsidR="00942891" w:rsidRDefault="00942891">
          <w:pPr>
            <w:pStyle w:val="Sumrio1"/>
            <w:rPr>
              <w:noProof/>
              <w:kern w:val="2"/>
              <w:sz w:val="24"/>
              <w:szCs w:val="24"/>
              <w14:ligatures w14:val="standardContextual"/>
            </w:rPr>
          </w:pPr>
          <w:hyperlink w:anchor="_Toc184926677" w:history="1">
            <w:r w:rsidRPr="00CA1A20">
              <w:rPr>
                <w:rStyle w:val="Hyperlink"/>
                <w:noProof/>
              </w:rPr>
              <w:t>11 – Valores a Receber</w:t>
            </w:r>
            <w:r>
              <w:rPr>
                <w:noProof/>
                <w:webHidden/>
              </w:rPr>
              <w:tab/>
            </w:r>
            <w:r>
              <w:rPr>
                <w:noProof/>
                <w:webHidden/>
              </w:rPr>
              <w:fldChar w:fldCharType="begin"/>
            </w:r>
            <w:r>
              <w:rPr>
                <w:noProof/>
                <w:webHidden/>
              </w:rPr>
              <w:instrText xml:space="preserve"> PAGEREF _Toc184926677 \h </w:instrText>
            </w:r>
            <w:r>
              <w:rPr>
                <w:noProof/>
                <w:webHidden/>
              </w:rPr>
            </w:r>
            <w:r>
              <w:rPr>
                <w:noProof/>
                <w:webHidden/>
              </w:rPr>
              <w:fldChar w:fldCharType="separate"/>
            </w:r>
            <w:r w:rsidR="00EE6F17">
              <w:rPr>
                <w:noProof/>
                <w:webHidden/>
              </w:rPr>
              <w:t>16</w:t>
            </w:r>
            <w:r>
              <w:rPr>
                <w:noProof/>
                <w:webHidden/>
              </w:rPr>
              <w:fldChar w:fldCharType="end"/>
            </w:r>
          </w:hyperlink>
        </w:p>
        <w:p w14:paraId="4DEA9B49" w14:textId="2E3AABA1" w:rsidR="00942891" w:rsidRDefault="00942891">
          <w:pPr>
            <w:pStyle w:val="Sumrio1"/>
            <w:rPr>
              <w:noProof/>
              <w:kern w:val="2"/>
              <w:sz w:val="24"/>
              <w:szCs w:val="24"/>
              <w14:ligatures w14:val="standardContextual"/>
            </w:rPr>
          </w:pPr>
          <w:hyperlink w:anchor="_Toc184926678" w:history="1">
            <w:r w:rsidRPr="00CA1A20">
              <w:rPr>
                <w:rStyle w:val="Hyperlink"/>
                <w:noProof/>
              </w:rPr>
              <w:t>12 – Investimentos</w:t>
            </w:r>
            <w:r>
              <w:rPr>
                <w:noProof/>
                <w:webHidden/>
              </w:rPr>
              <w:tab/>
            </w:r>
            <w:r>
              <w:rPr>
                <w:noProof/>
                <w:webHidden/>
              </w:rPr>
              <w:fldChar w:fldCharType="begin"/>
            </w:r>
            <w:r>
              <w:rPr>
                <w:noProof/>
                <w:webHidden/>
              </w:rPr>
              <w:instrText xml:space="preserve"> PAGEREF _Toc184926678 \h </w:instrText>
            </w:r>
            <w:r>
              <w:rPr>
                <w:noProof/>
                <w:webHidden/>
              </w:rPr>
            </w:r>
            <w:r>
              <w:rPr>
                <w:noProof/>
                <w:webHidden/>
              </w:rPr>
              <w:fldChar w:fldCharType="separate"/>
            </w:r>
            <w:r w:rsidR="00EE6F17">
              <w:rPr>
                <w:noProof/>
                <w:webHidden/>
              </w:rPr>
              <w:t>16</w:t>
            </w:r>
            <w:r>
              <w:rPr>
                <w:noProof/>
                <w:webHidden/>
              </w:rPr>
              <w:fldChar w:fldCharType="end"/>
            </w:r>
          </w:hyperlink>
        </w:p>
        <w:p w14:paraId="3C54244C" w14:textId="25C85F21" w:rsidR="00942891" w:rsidRDefault="00942891">
          <w:pPr>
            <w:pStyle w:val="Sumrio1"/>
            <w:rPr>
              <w:noProof/>
              <w:kern w:val="2"/>
              <w:sz w:val="24"/>
              <w:szCs w:val="24"/>
              <w14:ligatures w14:val="standardContextual"/>
            </w:rPr>
          </w:pPr>
          <w:hyperlink w:anchor="_Toc184926679" w:history="1">
            <w:r w:rsidRPr="00CA1A20">
              <w:rPr>
                <w:rStyle w:val="Hyperlink"/>
                <w:noProof/>
              </w:rPr>
              <w:t>13 - Imobilizado</w:t>
            </w:r>
            <w:r>
              <w:rPr>
                <w:noProof/>
                <w:webHidden/>
              </w:rPr>
              <w:tab/>
            </w:r>
            <w:r>
              <w:rPr>
                <w:noProof/>
                <w:webHidden/>
              </w:rPr>
              <w:fldChar w:fldCharType="begin"/>
            </w:r>
            <w:r>
              <w:rPr>
                <w:noProof/>
                <w:webHidden/>
              </w:rPr>
              <w:instrText xml:space="preserve"> PAGEREF _Toc184926679 \h </w:instrText>
            </w:r>
            <w:r>
              <w:rPr>
                <w:noProof/>
                <w:webHidden/>
              </w:rPr>
            </w:r>
            <w:r>
              <w:rPr>
                <w:noProof/>
                <w:webHidden/>
              </w:rPr>
              <w:fldChar w:fldCharType="separate"/>
            </w:r>
            <w:r w:rsidR="00EE6F17">
              <w:rPr>
                <w:noProof/>
                <w:webHidden/>
              </w:rPr>
              <w:t>18</w:t>
            </w:r>
            <w:r>
              <w:rPr>
                <w:noProof/>
                <w:webHidden/>
              </w:rPr>
              <w:fldChar w:fldCharType="end"/>
            </w:r>
          </w:hyperlink>
        </w:p>
        <w:p w14:paraId="03015D37" w14:textId="0BEDA734" w:rsidR="00942891" w:rsidRDefault="00942891">
          <w:pPr>
            <w:pStyle w:val="Sumrio2"/>
            <w:rPr>
              <w:noProof/>
              <w:kern w:val="2"/>
              <w:sz w:val="24"/>
              <w:szCs w:val="24"/>
              <w14:ligatures w14:val="standardContextual"/>
            </w:rPr>
          </w:pPr>
          <w:hyperlink w:anchor="_Toc184926680" w:history="1">
            <w:r w:rsidRPr="00CA1A20">
              <w:rPr>
                <w:rStyle w:val="Hyperlink"/>
                <w:noProof/>
              </w:rPr>
              <w:t>13.1 – Bens Móveis</w:t>
            </w:r>
            <w:r>
              <w:rPr>
                <w:noProof/>
                <w:webHidden/>
              </w:rPr>
              <w:tab/>
            </w:r>
            <w:r>
              <w:rPr>
                <w:noProof/>
                <w:webHidden/>
              </w:rPr>
              <w:fldChar w:fldCharType="begin"/>
            </w:r>
            <w:r>
              <w:rPr>
                <w:noProof/>
                <w:webHidden/>
              </w:rPr>
              <w:instrText xml:space="preserve"> PAGEREF _Toc184926680 \h </w:instrText>
            </w:r>
            <w:r>
              <w:rPr>
                <w:noProof/>
                <w:webHidden/>
              </w:rPr>
            </w:r>
            <w:r>
              <w:rPr>
                <w:noProof/>
                <w:webHidden/>
              </w:rPr>
              <w:fldChar w:fldCharType="separate"/>
            </w:r>
            <w:r w:rsidR="00EE6F17">
              <w:rPr>
                <w:noProof/>
                <w:webHidden/>
              </w:rPr>
              <w:t>18</w:t>
            </w:r>
            <w:r>
              <w:rPr>
                <w:noProof/>
                <w:webHidden/>
              </w:rPr>
              <w:fldChar w:fldCharType="end"/>
            </w:r>
          </w:hyperlink>
        </w:p>
        <w:p w14:paraId="6661C625" w14:textId="67322C2C" w:rsidR="00942891" w:rsidRDefault="00942891">
          <w:pPr>
            <w:pStyle w:val="Sumrio2"/>
            <w:rPr>
              <w:noProof/>
              <w:kern w:val="2"/>
              <w:sz w:val="24"/>
              <w:szCs w:val="24"/>
              <w14:ligatures w14:val="standardContextual"/>
            </w:rPr>
          </w:pPr>
          <w:hyperlink w:anchor="_Toc184926681" w:history="1">
            <w:r w:rsidRPr="00CA1A20">
              <w:rPr>
                <w:rStyle w:val="Hyperlink"/>
                <w:noProof/>
              </w:rPr>
              <w:t>13.2 – Bens Imóveis</w:t>
            </w:r>
            <w:r>
              <w:rPr>
                <w:noProof/>
                <w:webHidden/>
              </w:rPr>
              <w:tab/>
            </w:r>
            <w:r>
              <w:rPr>
                <w:noProof/>
                <w:webHidden/>
              </w:rPr>
              <w:fldChar w:fldCharType="begin"/>
            </w:r>
            <w:r>
              <w:rPr>
                <w:noProof/>
                <w:webHidden/>
              </w:rPr>
              <w:instrText xml:space="preserve"> PAGEREF _Toc184926681 \h </w:instrText>
            </w:r>
            <w:r>
              <w:rPr>
                <w:noProof/>
                <w:webHidden/>
              </w:rPr>
            </w:r>
            <w:r>
              <w:rPr>
                <w:noProof/>
                <w:webHidden/>
              </w:rPr>
              <w:fldChar w:fldCharType="separate"/>
            </w:r>
            <w:r w:rsidR="00EE6F17">
              <w:rPr>
                <w:noProof/>
                <w:webHidden/>
              </w:rPr>
              <w:t>19</w:t>
            </w:r>
            <w:r>
              <w:rPr>
                <w:noProof/>
                <w:webHidden/>
              </w:rPr>
              <w:fldChar w:fldCharType="end"/>
            </w:r>
          </w:hyperlink>
        </w:p>
        <w:p w14:paraId="4FFB5801" w14:textId="3B7B0B73" w:rsidR="00942891" w:rsidRDefault="00942891">
          <w:pPr>
            <w:pStyle w:val="Sumrio2"/>
            <w:rPr>
              <w:noProof/>
              <w:kern w:val="2"/>
              <w:sz w:val="24"/>
              <w:szCs w:val="24"/>
              <w14:ligatures w14:val="standardContextual"/>
            </w:rPr>
          </w:pPr>
          <w:hyperlink w:anchor="_Toc184926682" w:history="1">
            <w:r w:rsidRPr="00CA1A20">
              <w:rPr>
                <w:rStyle w:val="Hyperlink"/>
                <w:noProof/>
              </w:rPr>
              <w:t>13.4 – Práticas Adotadas em Relação ao Ativo Imobilizado</w:t>
            </w:r>
            <w:r>
              <w:rPr>
                <w:noProof/>
                <w:webHidden/>
              </w:rPr>
              <w:tab/>
            </w:r>
            <w:r>
              <w:rPr>
                <w:noProof/>
                <w:webHidden/>
              </w:rPr>
              <w:fldChar w:fldCharType="begin"/>
            </w:r>
            <w:r>
              <w:rPr>
                <w:noProof/>
                <w:webHidden/>
              </w:rPr>
              <w:instrText xml:space="preserve"> PAGEREF _Toc184926682 \h </w:instrText>
            </w:r>
            <w:r>
              <w:rPr>
                <w:noProof/>
                <w:webHidden/>
              </w:rPr>
            </w:r>
            <w:r>
              <w:rPr>
                <w:noProof/>
                <w:webHidden/>
              </w:rPr>
              <w:fldChar w:fldCharType="separate"/>
            </w:r>
            <w:r w:rsidR="00EE6F17">
              <w:rPr>
                <w:noProof/>
                <w:webHidden/>
              </w:rPr>
              <w:t>24</w:t>
            </w:r>
            <w:r>
              <w:rPr>
                <w:noProof/>
                <w:webHidden/>
              </w:rPr>
              <w:fldChar w:fldCharType="end"/>
            </w:r>
          </w:hyperlink>
        </w:p>
        <w:p w14:paraId="786BF1AE" w14:textId="2CEA9790" w:rsidR="00942891" w:rsidRDefault="00942891">
          <w:pPr>
            <w:pStyle w:val="Sumrio1"/>
            <w:rPr>
              <w:noProof/>
              <w:kern w:val="2"/>
              <w:sz w:val="24"/>
              <w:szCs w:val="24"/>
              <w14:ligatures w14:val="standardContextual"/>
            </w:rPr>
          </w:pPr>
          <w:hyperlink w:anchor="_Toc184926683" w:history="1">
            <w:r w:rsidRPr="00CA1A20">
              <w:rPr>
                <w:rStyle w:val="Hyperlink"/>
                <w:noProof/>
              </w:rPr>
              <w:t>14 – Intangível</w:t>
            </w:r>
            <w:r>
              <w:rPr>
                <w:noProof/>
                <w:webHidden/>
              </w:rPr>
              <w:tab/>
            </w:r>
            <w:r>
              <w:rPr>
                <w:noProof/>
                <w:webHidden/>
              </w:rPr>
              <w:fldChar w:fldCharType="begin"/>
            </w:r>
            <w:r>
              <w:rPr>
                <w:noProof/>
                <w:webHidden/>
              </w:rPr>
              <w:instrText xml:space="preserve"> PAGEREF _Toc184926683 \h </w:instrText>
            </w:r>
            <w:r>
              <w:rPr>
                <w:noProof/>
                <w:webHidden/>
              </w:rPr>
            </w:r>
            <w:r>
              <w:rPr>
                <w:noProof/>
                <w:webHidden/>
              </w:rPr>
              <w:fldChar w:fldCharType="separate"/>
            </w:r>
            <w:r w:rsidR="00EE6F17">
              <w:rPr>
                <w:noProof/>
                <w:webHidden/>
              </w:rPr>
              <w:t>24</w:t>
            </w:r>
            <w:r>
              <w:rPr>
                <w:noProof/>
                <w:webHidden/>
              </w:rPr>
              <w:fldChar w:fldCharType="end"/>
            </w:r>
          </w:hyperlink>
        </w:p>
        <w:p w14:paraId="60239FD0" w14:textId="2E4CD49B" w:rsidR="00942891" w:rsidRDefault="00942891">
          <w:pPr>
            <w:pStyle w:val="Sumrio1"/>
            <w:rPr>
              <w:noProof/>
              <w:kern w:val="2"/>
              <w:sz w:val="24"/>
              <w:szCs w:val="24"/>
              <w14:ligatures w14:val="standardContextual"/>
            </w:rPr>
          </w:pPr>
          <w:hyperlink w:anchor="_Toc184926684" w:history="1">
            <w:r w:rsidRPr="00CA1A20">
              <w:rPr>
                <w:rStyle w:val="Hyperlink"/>
                <w:noProof/>
              </w:rPr>
              <w:t>15 – Fornecedores</w:t>
            </w:r>
            <w:r>
              <w:rPr>
                <w:noProof/>
                <w:webHidden/>
              </w:rPr>
              <w:tab/>
            </w:r>
            <w:r>
              <w:rPr>
                <w:noProof/>
                <w:webHidden/>
              </w:rPr>
              <w:fldChar w:fldCharType="begin"/>
            </w:r>
            <w:r>
              <w:rPr>
                <w:noProof/>
                <w:webHidden/>
              </w:rPr>
              <w:instrText xml:space="preserve"> PAGEREF _Toc184926684 \h </w:instrText>
            </w:r>
            <w:r>
              <w:rPr>
                <w:noProof/>
                <w:webHidden/>
              </w:rPr>
            </w:r>
            <w:r>
              <w:rPr>
                <w:noProof/>
                <w:webHidden/>
              </w:rPr>
              <w:fldChar w:fldCharType="separate"/>
            </w:r>
            <w:r w:rsidR="00EE6F17">
              <w:rPr>
                <w:noProof/>
                <w:webHidden/>
              </w:rPr>
              <w:t>26</w:t>
            </w:r>
            <w:r>
              <w:rPr>
                <w:noProof/>
                <w:webHidden/>
              </w:rPr>
              <w:fldChar w:fldCharType="end"/>
            </w:r>
          </w:hyperlink>
        </w:p>
        <w:p w14:paraId="51B6D54A" w14:textId="0D47A628" w:rsidR="00942891" w:rsidRDefault="00942891">
          <w:pPr>
            <w:pStyle w:val="Sumrio1"/>
            <w:rPr>
              <w:noProof/>
              <w:kern w:val="2"/>
              <w:sz w:val="24"/>
              <w:szCs w:val="24"/>
              <w14:ligatures w14:val="standardContextual"/>
            </w:rPr>
          </w:pPr>
          <w:hyperlink w:anchor="_Toc184926685" w:history="1">
            <w:r w:rsidRPr="00CA1A20">
              <w:rPr>
                <w:rStyle w:val="Hyperlink"/>
                <w:noProof/>
              </w:rPr>
              <w:t>16 – Obrigações com Pessoal</w:t>
            </w:r>
            <w:r>
              <w:rPr>
                <w:noProof/>
                <w:webHidden/>
              </w:rPr>
              <w:tab/>
            </w:r>
            <w:r>
              <w:rPr>
                <w:noProof/>
                <w:webHidden/>
              </w:rPr>
              <w:fldChar w:fldCharType="begin"/>
            </w:r>
            <w:r>
              <w:rPr>
                <w:noProof/>
                <w:webHidden/>
              </w:rPr>
              <w:instrText xml:space="preserve"> PAGEREF _Toc184926685 \h </w:instrText>
            </w:r>
            <w:r>
              <w:rPr>
                <w:noProof/>
                <w:webHidden/>
              </w:rPr>
            </w:r>
            <w:r>
              <w:rPr>
                <w:noProof/>
                <w:webHidden/>
              </w:rPr>
              <w:fldChar w:fldCharType="separate"/>
            </w:r>
            <w:r w:rsidR="00EE6F17">
              <w:rPr>
                <w:noProof/>
                <w:webHidden/>
              </w:rPr>
              <w:t>26</w:t>
            </w:r>
            <w:r>
              <w:rPr>
                <w:noProof/>
                <w:webHidden/>
              </w:rPr>
              <w:fldChar w:fldCharType="end"/>
            </w:r>
          </w:hyperlink>
        </w:p>
        <w:p w14:paraId="6E2152D8" w14:textId="6697016D" w:rsidR="00942891" w:rsidRDefault="00942891">
          <w:pPr>
            <w:pStyle w:val="Sumrio1"/>
            <w:rPr>
              <w:noProof/>
              <w:kern w:val="2"/>
              <w:sz w:val="24"/>
              <w:szCs w:val="24"/>
              <w14:ligatures w14:val="standardContextual"/>
            </w:rPr>
          </w:pPr>
          <w:hyperlink w:anchor="_Toc184926686" w:history="1">
            <w:r w:rsidRPr="00CA1A20">
              <w:rPr>
                <w:rStyle w:val="Hyperlink"/>
                <w:noProof/>
              </w:rPr>
              <w:t>17 – Tributos a Recolher</w:t>
            </w:r>
            <w:r>
              <w:rPr>
                <w:noProof/>
                <w:webHidden/>
              </w:rPr>
              <w:tab/>
            </w:r>
            <w:r>
              <w:rPr>
                <w:noProof/>
                <w:webHidden/>
              </w:rPr>
              <w:fldChar w:fldCharType="begin"/>
            </w:r>
            <w:r>
              <w:rPr>
                <w:noProof/>
                <w:webHidden/>
              </w:rPr>
              <w:instrText xml:space="preserve"> PAGEREF _Toc184926686 \h </w:instrText>
            </w:r>
            <w:r>
              <w:rPr>
                <w:noProof/>
                <w:webHidden/>
              </w:rPr>
            </w:r>
            <w:r>
              <w:rPr>
                <w:noProof/>
                <w:webHidden/>
              </w:rPr>
              <w:fldChar w:fldCharType="separate"/>
            </w:r>
            <w:r w:rsidR="00EE6F17">
              <w:rPr>
                <w:noProof/>
                <w:webHidden/>
              </w:rPr>
              <w:t>27</w:t>
            </w:r>
            <w:r>
              <w:rPr>
                <w:noProof/>
                <w:webHidden/>
              </w:rPr>
              <w:fldChar w:fldCharType="end"/>
            </w:r>
          </w:hyperlink>
        </w:p>
        <w:p w14:paraId="0F7415F1" w14:textId="1650F910" w:rsidR="00942891" w:rsidRDefault="00942891">
          <w:pPr>
            <w:pStyle w:val="Sumrio1"/>
            <w:rPr>
              <w:noProof/>
              <w:kern w:val="2"/>
              <w:sz w:val="24"/>
              <w:szCs w:val="24"/>
              <w14:ligatures w14:val="standardContextual"/>
            </w:rPr>
          </w:pPr>
          <w:hyperlink w:anchor="_Toc184926687" w:history="1">
            <w:r w:rsidRPr="00CA1A20">
              <w:rPr>
                <w:rStyle w:val="Hyperlink"/>
                <w:noProof/>
              </w:rPr>
              <w:t>18 – Receita a Diferir – Pátios e Terminais</w:t>
            </w:r>
            <w:r>
              <w:rPr>
                <w:noProof/>
                <w:webHidden/>
              </w:rPr>
              <w:tab/>
            </w:r>
            <w:r>
              <w:rPr>
                <w:noProof/>
                <w:webHidden/>
              </w:rPr>
              <w:fldChar w:fldCharType="begin"/>
            </w:r>
            <w:r>
              <w:rPr>
                <w:noProof/>
                <w:webHidden/>
              </w:rPr>
              <w:instrText xml:space="preserve"> PAGEREF _Toc184926687 \h </w:instrText>
            </w:r>
            <w:r>
              <w:rPr>
                <w:noProof/>
                <w:webHidden/>
              </w:rPr>
            </w:r>
            <w:r>
              <w:rPr>
                <w:noProof/>
                <w:webHidden/>
              </w:rPr>
              <w:fldChar w:fldCharType="separate"/>
            </w:r>
            <w:r w:rsidR="00EE6F17">
              <w:rPr>
                <w:noProof/>
                <w:webHidden/>
              </w:rPr>
              <w:t>27</w:t>
            </w:r>
            <w:r>
              <w:rPr>
                <w:noProof/>
                <w:webHidden/>
              </w:rPr>
              <w:fldChar w:fldCharType="end"/>
            </w:r>
          </w:hyperlink>
        </w:p>
        <w:p w14:paraId="737A808F" w14:textId="4219F9E6" w:rsidR="00942891" w:rsidRDefault="00942891">
          <w:pPr>
            <w:pStyle w:val="Sumrio1"/>
            <w:rPr>
              <w:noProof/>
              <w:kern w:val="2"/>
              <w:sz w:val="24"/>
              <w:szCs w:val="24"/>
              <w14:ligatures w14:val="standardContextual"/>
            </w:rPr>
          </w:pPr>
          <w:hyperlink w:anchor="_Toc184926688" w:history="1">
            <w:r w:rsidRPr="00CA1A20">
              <w:rPr>
                <w:rStyle w:val="Hyperlink"/>
                <w:noProof/>
              </w:rPr>
              <w:t xml:space="preserve">19 – Receita a Diferir – Subconcessão </w:t>
            </w:r>
            <w:r w:rsidRPr="00CA1A20">
              <w:rPr>
                <w:rStyle w:val="Hyperlink"/>
                <w:rFonts w:cs="Calibri"/>
                <w:noProof/>
              </w:rPr>
              <w:t>–</w:t>
            </w:r>
            <w:r w:rsidRPr="00CA1A20">
              <w:rPr>
                <w:rStyle w:val="Hyperlink"/>
                <w:noProof/>
              </w:rPr>
              <w:t xml:space="preserve"> FIOL I</w:t>
            </w:r>
            <w:r>
              <w:rPr>
                <w:noProof/>
                <w:webHidden/>
              </w:rPr>
              <w:tab/>
            </w:r>
            <w:r>
              <w:rPr>
                <w:noProof/>
                <w:webHidden/>
              </w:rPr>
              <w:fldChar w:fldCharType="begin"/>
            </w:r>
            <w:r>
              <w:rPr>
                <w:noProof/>
                <w:webHidden/>
              </w:rPr>
              <w:instrText xml:space="preserve"> PAGEREF _Toc184926688 \h </w:instrText>
            </w:r>
            <w:r>
              <w:rPr>
                <w:noProof/>
                <w:webHidden/>
              </w:rPr>
            </w:r>
            <w:r>
              <w:rPr>
                <w:noProof/>
                <w:webHidden/>
              </w:rPr>
              <w:fldChar w:fldCharType="separate"/>
            </w:r>
            <w:r w:rsidR="00EE6F17">
              <w:rPr>
                <w:noProof/>
                <w:webHidden/>
              </w:rPr>
              <w:t>28</w:t>
            </w:r>
            <w:r>
              <w:rPr>
                <w:noProof/>
                <w:webHidden/>
              </w:rPr>
              <w:fldChar w:fldCharType="end"/>
            </w:r>
          </w:hyperlink>
        </w:p>
        <w:p w14:paraId="3DA2EF20" w14:textId="5C3E1A58" w:rsidR="00942891" w:rsidRDefault="00942891">
          <w:pPr>
            <w:pStyle w:val="Sumrio1"/>
            <w:rPr>
              <w:noProof/>
              <w:kern w:val="2"/>
              <w:sz w:val="24"/>
              <w:szCs w:val="24"/>
              <w14:ligatures w14:val="standardContextual"/>
            </w:rPr>
          </w:pPr>
          <w:hyperlink w:anchor="_Toc184926689" w:history="1">
            <w:r w:rsidRPr="00CA1A20">
              <w:rPr>
                <w:rStyle w:val="Hyperlink"/>
                <w:noProof/>
              </w:rPr>
              <w:t xml:space="preserve">20 – Termos de Execução Descentralizada </w:t>
            </w:r>
            <w:r w:rsidRPr="00CA1A20">
              <w:rPr>
                <w:rStyle w:val="Hyperlink"/>
                <w:rFonts w:cs="Calibri"/>
                <w:noProof/>
              </w:rPr>
              <w:t>–</w:t>
            </w:r>
            <w:r w:rsidRPr="00CA1A20">
              <w:rPr>
                <w:rStyle w:val="Hyperlink"/>
                <w:noProof/>
              </w:rPr>
              <w:t xml:space="preserve"> TEDs e Convênios</w:t>
            </w:r>
            <w:r>
              <w:rPr>
                <w:noProof/>
                <w:webHidden/>
              </w:rPr>
              <w:tab/>
            </w:r>
            <w:r>
              <w:rPr>
                <w:noProof/>
                <w:webHidden/>
              </w:rPr>
              <w:fldChar w:fldCharType="begin"/>
            </w:r>
            <w:r>
              <w:rPr>
                <w:noProof/>
                <w:webHidden/>
              </w:rPr>
              <w:instrText xml:space="preserve"> PAGEREF _Toc184926689 \h </w:instrText>
            </w:r>
            <w:r>
              <w:rPr>
                <w:noProof/>
                <w:webHidden/>
              </w:rPr>
            </w:r>
            <w:r>
              <w:rPr>
                <w:noProof/>
                <w:webHidden/>
              </w:rPr>
              <w:fldChar w:fldCharType="separate"/>
            </w:r>
            <w:r w:rsidR="00EE6F17">
              <w:rPr>
                <w:noProof/>
                <w:webHidden/>
              </w:rPr>
              <w:t>28</w:t>
            </w:r>
            <w:r>
              <w:rPr>
                <w:noProof/>
                <w:webHidden/>
              </w:rPr>
              <w:fldChar w:fldCharType="end"/>
            </w:r>
          </w:hyperlink>
        </w:p>
        <w:p w14:paraId="2EBC7E29" w14:textId="7ECE7024" w:rsidR="00942891" w:rsidRDefault="00942891">
          <w:pPr>
            <w:pStyle w:val="Sumrio1"/>
            <w:rPr>
              <w:noProof/>
              <w:kern w:val="2"/>
              <w:sz w:val="24"/>
              <w:szCs w:val="24"/>
              <w14:ligatures w14:val="standardContextual"/>
            </w:rPr>
          </w:pPr>
          <w:hyperlink w:anchor="_Toc184926690" w:history="1">
            <w:r w:rsidRPr="00CA1A20">
              <w:rPr>
                <w:rStyle w:val="Hyperlink"/>
                <w:noProof/>
              </w:rPr>
              <w:t>21 – Arrendamentos de Ativos de Direito de Uso</w:t>
            </w:r>
            <w:r>
              <w:rPr>
                <w:noProof/>
                <w:webHidden/>
              </w:rPr>
              <w:tab/>
            </w:r>
            <w:r>
              <w:rPr>
                <w:noProof/>
                <w:webHidden/>
              </w:rPr>
              <w:fldChar w:fldCharType="begin"/>
            </w:r>
            <w:r>
              <w:rPr>
                <w:noProof/>
                <w:webHidden/>
              </w:rPr>
              <w:instrText xml:space="preserve"> PAGEREF _Toc184926690 \h </w:instrText>
            </w:r>
            <w:r>
              <w:rPr>
                <w:noProof/>
                <w:webHidden/>
              </w:rPr>
            </w:r>
            <w:r>
              <w:rPr>
                <w:noProof/>
                <w:webHidden/>
              </w:rPr>
              <w:fldChar w:fldCharType="separate"/>
            </w:r>
            <w:r w:rsidR="00EE6F17">
              <w:rPr>
                <w:noProof/>
                <w:webHidden/>
              </w:rPr>
              <w:t>29</w:t>
            </w:r>
            <w:r>
              <w:rPr>
                <w:noProof/>
                <w:webHidden/>
              </w:rPr>
              <w:fldChar w:fldCharType="end"/>
            </w:r>
          </w:hyperlink>
        </w:p>
        <w:p w14:paraId="1040B514" w14:textId="343400C9" w:rsidR="00942891" w:rsidRDefault="00942891">
          <w:pPr>
            <w:pStyle w:val="Sumrio1"/>
            <w:rPr>
              <w:noProof/>
              <w:kern w:val="2"/>
              <w:sz w:val="24"/>
              <w:szCs w:val="24"/>
              <w14:ligatures w14:val="standardContextual"/>
            </w:rPr>
          </w:pPr>
          <w:hyperlink w:anchor="_Toc184926691" w:history="1">
            <w:r w:rsidRPr="00CA1A20">
              <w:rPr>
                <w:rStyle w:val="Hyperlink"/>
                <w:noProof/>
              </w:rPr>
              <w:t>22 – Provisões para Contingências Judiciais</w:t>
            </w:r>
            <w:r>
              <w:rPr>
                <w:noProof/>
                <w:webHidden/>
              </w:rPr>
              <w:tab/>
            </w:r>
            <w:r>
              <w:rPr>
                <w:noProof/>
                <w:webHidden/>
              </w:rPr>
              <w:fldChar w:fldCharType="begin"/>
            </w:r>
            <w:r>
              <w:rPr>
                <w:noProof/>
                <w:webHidden/>
              </w:rPr>
              <w:instrText xml:space="preserve"> PAGEREF _Toc184926691 \h </w:instrText>
            </w:r>
            <w:r>
              <w:rPr>
                <w:noProof/>
                <w:webHidden/>
              </w:rPr>
            </w:r>
            <w:r>
              <w:rPr>
                <w:noProof/>
                <w:webHidden/>
              </w:rPr>
              <w:fldChar w:fldCharType="separate"/>
            </w:r>
            <w:r w:rsidR="00EE6F17">
              <w:rPr>
                <w:noProof/>
                <w:webHidden/>
              </w:rPr>
              <w:t>30</w:t>
            </w:r>
            <w:r>
              <w:rPr>
                <w:noProof/>
                <w:webHidden/>
              </w:rPr>
              <w:fldChar w:fldCharType="end"/>
            </w:r>
          </w:hyperlink>
        </w:p>
        <w:p w14:paraId="1D6F6D00" w14:textId="37EFE9D1" w:rsidR="00942891" w:rsidRDefault="00942891">
          <w:pPr>
            <w:pStyle w:val="Sumrio1"/>
            <w:rPr>
              <w:noProof/>
              <w:kern w:val="2"/>
              <w:sz w:val="24"/>
              <w:szCs w:val="24"/>
              <w14:ligatures w14:val="standardContextual"/>
            </w:rPr>
          </w:pPr>
          <w:hyperlink w:anchor="_Toc184926692" w:history="1">
            <w:r w:rsidRPr="00CA1A20">
              <w:rPr>
                <w:rStyle w:val="Hyperlink"/>
                <w:noProof/>
              </w:rPr>
              <w:t>23 – Depósitos Retidos sobre Fornecedores</w:t>
            </w:r>
            <w:r>
              <w:rPr>
                <w:noProof/>
                <w:webHidden/>
              </w:rPr>
              <w:tab/>
            </w:r>
            <w:r>
              <w:rPr>
                <w:noProof/>
                <w:webHidden/>
              </w:rPr>
              <w:fldChar w:fldCharType="begin"/>
            </w:r>
            <w:r>
              <w:rPr>
                <w:noProof/>
                <w:webHidden/>
              </w:rPr>
              <w:instrText xml:space="preserve"> PAGEREF _Toc184926692 \h </w:instrText>
            </w:r>
            <w:r>
              <w:rPr>
                <w:noProof/>
                <w:webHidden/>
              </w:rPr>
            </w:r>
            <w:r>
              <w:rPr>
                <w:noProof/>
                <w:webHidden/>
              </w:rPr>
              <w:fldChar w:fldCharType="separate"/>
            </w:r>
            <w:r w:rsidR="00EE6F17">
              <w:rPr>
                <w:noProof/>
                <w:webHidden/>
              </w:rPr>
              <w:t>33</w:t>
            </w:r>
            <w:r>
              <w:rPr>
                <w:noProof/>
                <w:webHidden/>
              </w:rPr>
              <w:fldChar w:fldCharType="end"/>
            </w:r>
          </w:hyperlink>
        </w:p>
        <w:p w14:paraId="56B55D55" w14:textId="668288D6" w:rsidR="00942891" w:rsidRDefault="00942891">
          <w:pPr>
            <w:pStyle w:val="Sumrio1"/>
            <w:rPr>
              <w:noProof/>
              <w:kern w:val="2"/>
              <w:sz w:val="24"/>
              <w:szCs w:val="24"/>
              <w14:ligatures w14:val="standardContextual"/>
            </w:rPr>
          </w:pPr>
          <w:hyperlink w:anchor="_Toc184926693" w:history="1">
            <w:r w:rsidRPr="00CA1A20">
              <w:rPr>
                <w:rStyle w:val="Hyperlink"/>
                <w:noProof/>
              </w:rPr>
              <w:t>24 – Investimento Cruzado</w:t>
            </w:r>
            <w:r>
              <w:rPr>
                <w:noProof/>
                <w:webHidden/>
              </w:rPr>
              <w:tab/>
            </w:r>
            <w:r>
              <w:rPr>
                <w:noProof/>
                <w:webHidden/>
              </w:rPr>
              <w:fldChar w:fldCharType="begin"/>
            </w:r>
            <w:r>
              <w:rPr>
                <w:noProof/>
                <w:webHidden/>
              </w:rPr>
              <w:instrText xml:space="preserve"> PAGEREF _Toc184926693 \h </w:instrText>
            </w:r>
            <w:r>
              <w:rPr>
                <w:noProof/>
                <w:webHidden/>
              </w:rPr>
            </w:r>
            <w:r>
              <w:rPr>
                <w:noProof/>
                <w:webHidden/>
              </w:rPr>
              <w:fldChar w:fldCharType="separate"/>
            </w:r>
            <w:r w:rsidR="00EE6F17">
              <w:rPr>
                <w:noProof/>
                <w:webHidden/>
              </w:rPr>
              <w:t>34</w:t>
            </w:r>
            <w:r>
              <w:rPr>
                <w:noProof/>
                <w:webHidden/>
              </w:rPr>
              <w:fldChar w:fldCharType="end"/>
            </w:r>
          </w:hyperlink>
        </w:p>
        <w:p w14:paraId="06CA78E6" w14:textId="7946A0C5" w:rsidR="00942891" w:rsidRDefault="00942891">
          <w:pPr>
            <w:pStyle w:val="Sumrio1"/>
            <w:rPr>
              <w:noProof/>
              <w:kern w:val="2"/>
              <w:sz w:val="24"/>
              <w:szCs w:val="24"/>
              <w14:ligatures w14:val="standardContextual"/>
            </w:rPr>
          </w:pPr>
          <w:hyperlink w:anchor="_Toc184926694" w:history="1">
            <w:r w:rsidRPr="00CA1A20">
              <w:rPr>
                <w:rStyle w:val="Hyperlink"/>
                <w:noProof/>
              </w:rPr>
              <w:t>25 – Capital Social</w:t>
            </w:r>
            <w:r>
              <w:rPr>
                <w:noProof/>
                <w:webHidden/>
              </w:rPr>
              <w:tab/>
            </w:r>
            <w:r>
              <w:rPr>
                <w:noProof/>
                <w:webHidden/>
              </w:rPr>
              <w:fldChar w:fldCharType="begin"/>
            </w:r>
            <w:r>
              <w:rPr>
                <w:noProof/>
                <w:webHidden/>
              </w:rPr>
              <w:instrText xml:space="preserve"> PAGEREF _Toc184926694 \h </w:instrText>
            </w:r>
            <w:r>
              <w:rPr>
                <w:noProof/>
                <w:webHidden/>
              </w:rPr>
            </w:r>
            <w:r>
              <w:rPr>
                <w:noProof/>
                <w:webHidden/>
              </w:rPr>
              <w:fldChar w:fldCharType="separate"/>
            </w:r>
            <w:r w:rsidR="00EE6F17">
              <w:rPr>
                <w:noProof/>
                <w:webHidden/>
              </w:rPr>
              <w:t>35</w:t>
            </w:r>
            <w:r>
              <w:rPr>
                <w:noProof/>
                <w:webHidden/>
              </w:rPr>
              <w:fldChar w:fldCharType="end"/>
            </w:r>
          </w:hyperlink>
        </w:p>
        <w:p w14:paraId="208CBC10" w14:textId="05EB6885" w:rsidR="00942891" w:rsidRDefault="00942891">
          <w:pPr>
            <w:pStyle w:val="Sumrio1"/>
            <w:rPr>
              <w:noProof/>
              <w:kern w:val="2"/>
              <w:sz w:val="24"/>
              <w:szCs w:val="24"/>
              <w14:ligatures w14:val="standardContextual"/>
            </w:rPr>
          </w:pPr>
          <w:hyperlink w:anchor="_Toc184926695" w:history="1">
            <w:r w:rsidRPr="00CA1A20">
              <w:rPr>
                <w:rStyle w:val="Hyperlink"/>
                <w:noProof/>
              </w:rPr>
              <w:t>26 – Adiantamento para Futuro Aumento de Capital – AFAC</w:t>
            </w:r>
            <w:r>
              <w:rPr>
                <w:noProof/>
                <w:webHidden/>
              </w:rPr>
              <w:tab/>
            </w:r>
            <w:r>
              <w:rPr>
                <w:noProof/>
                <w:webHidden/>
              </w:rPr>
              <w:fldChar w:fldCharType="begin"/>
            </w:r>
            <w:r>
              <w:rPr>
                <w:noProof/>
                <w:webHidden/>
              </w:rPr>
              <w:instrText xml:space="preserve"> PAGEREF _Toc184926695 \h </w:instrText>
            </w:r>
            <w:r>
              <w:rPr>
                <w:noProof/>
                <w:webHidden/>
              </w:rPr>
            </w:r>
            <w:r>
              <w:rPr>
                <w:noProof/>
                <w:webHidden/>
              </w:rPr>
              <w:fldChar w:fldCharType="separate"/>
            </w:r>
            <w:r w:rsidR="00EE6F17">
              <w:rPr>
                <w:noProof/>
                <w:webHidden/>
              </w:rPr>
              <w:t>35</w:t>
            </w:r>
            <w:r>
              <w:rPr>
                <w:noProof/>
                <w:webHidden/>
              </w:rPr>
              <w:fldChar w:fldCharType="end"/>
            </w:r>
          </w:hyperlink>
        </w:p>
        <w:p w14:paraId="5217879B" w14:textId="5A2BE406" w:rsidR="00942891" w:rsidRDefault="00942891">
          <w:pPr>
            <w:pStyle w:val="Sumrio1"/>
            <w:rPr>
              <w:noProof/>
              <w:kern w:val="2"/>
              <w:sz w:val="24"/>
              <w:szCs w:val="24"/>
              <w14:ligatures w14:val="standardContextual"/>
            </w:rPr>
          </w:pPr>
          <w:hyperlink w:anchor="_Toc184926696" w:history="1">
            <w:r w:rsidRPr="00CA1A20">
              <w:rPr>
                <w:rStyle w:val="Hyperlink"/>
                <w:noProof/>
              </w:rPr>
              <w:t>27 – Prejuízos Acumulados</w:t>
            </w:r>
            <w:r>
              <w:rPr>
                <w:noProof/>
                <w:webHidden/>
              </w:rPr>
              <w:tab/>
            </w:r>
            <w:r>
              <w:rPr>
                <w:noProof/>
                <w:webHidden/>
              </w:rPr>
              <w:fldChar w:fldCharType="begin"/>
            </w:r>
            <w:r>
              <w:rPr>
                <w:noProof/>
                <w:webHidden/>
              </w:rPr>
              <w:instrText xml:space="preserve"> PAGEREF _Toc184926696 \h </w:instrText>
            </w:r>
            <w:r>
              <w:rPr>
                <w:noProof/>
                <w:webHidden/>
              </w:rPr>
            </w:r>
            <w:r>
              <w:rPr>
                <w:noProof/>
                <w:webHidden/>
              </w:rPr>
              <w:fldChar w:fldCharType="separate"/>
            </w:r>
            <w:r w:rsidR="00EE6F17">
              <w:rPr>
                <w:noProof/>
                <w:webHidden/>
              </w:rPr>
              <w:t>35</w:t>
            </w:r>
            <w:r>
              <w:rPr>
                <w:noProof/>
                <w:webHidden/>
              </w:rPr>
              <w:fldChar w:fldCharType="end"/>
            </w:r>
          </w:hyperlink>
        </w:p>
        <w:p w14:paraId="6BBA1E52" w14:textId="4D9D8437" w:rsidR="00942891" w:rsidRDefault="00942891">
          <w:pPr>
            <w:pStyle w:val="Sumrio1"/>
            <w:rPr>
              <w:noProof/>
              <w:kern w:val="2"/>
              <w:sz w:val="24"/>
              <w:szCs w:val="24"/>
              <w14:ligatures w14:val="standardContextual"/>
            </w:rPr>
          </w:pPr>
          <w:hyperlink w:anchor="_Toc184926697" w:history="1">
            <w:r w:rsidRPr="00CA1A20">
              <w:rPr>
                <w:rStyle w:val="Hyperlink"/>
                <w:noProof/>
              </w:rPr>
              <w:t>28 – Resultado Bruto</w:t>
            </w:r>
            <w:r>
              <w:rPr>
                <w:noProof/>
                <w:webHidden/>
              </w:rPr>
              <w:tab/>
            </w:r>
            <w:r>
              <w:rPr>
                <w:noProof/>
                <w:webHidden/>
              </w:rPr>
              <w:fldChar w:fldCharType="begin"/>
            </w:r>
            <w:r>
              <w:rPr>
                <w:noProof/>
                <w:webHidden/>
              </w:rPr>
              <w:instrText xml:space="preserve"> PAGEREF _Toc184926697 \h </w:instrText>
            </w:r>
            <w:r>
              <w:rPr>
                <w:noProof/>
                <w:webHidden/>
              </w:rPr>
            </w:r>
            <w:r>
              <w:rPr>
                <w:noProof/>
                <w:webHidden/>
              </w:rPr>
              <w:fldChar w:fldCharType="separate"/>
            </w:r>
            <w:r w:rsidR="00EE6F17">
              <w:rPr>
                <w:noProof/>
                <w:webHidden/>
              </w:rPr>
              <w:t>36</w:t>
            </w:r>
            <w:r>
              <w:rPr>
                <w:noProof/>
                <w:webHidden/>
              </w:rPr>
              <w:fldChar w:fldCharType="end"/>
            </w:r>
          </w:hyperlink>
        </w:p>
        <w:p w14:paraId="5E2A27E6" w14:textId="4AB964F4" w:rsidR="00942891" w:rsidRDefault="00942891">
          <w:pPr>
            <w:pStyle w:val="Sumrio1"/>
            <w:rPr>
              <w:noProof/>
              <w:kern w:val="2"/>
              <w:sz w:val="24"/>
              <w:szCs w:val="24"/>
              <w14:ligatures w14:val="standardContextual"/>
            </w:rPr>
          </w:pPr>
          <w:hyperlink w:anchor="_Toc184926698" w:history="1">
            <w:r w:rsidRPr="00CA1A20">
              <w:rPr>
                <w:rStyle w:val="Hyperlink"/>
                <w:noProof/>
              </w:rPr>
              <w:t>29 – Despesas com Pessoal</w:t>
            </w:r>
            <w:r>
              <w:rPr>
                <w:noProof/>
                <w:webHidden/>
              </w:rPr>
              <w:tab/>
            </w:r>
            <w:r>
              <w:rPr>
                <w:noProof/>
                <w:webHidden/>
              </w:rPr>
              <w:fldChar w:fldCharType="begin"/>
            </w:r>
            <w:r>
              <w:rPr>
                <w:noProof/>
                <w:webHidden/>
              </w:rPr>
              <w:instrText xml:space="preserve"> PAGEREF _Toc184926698 \h </w:instrText>
            </w:r>
            <w:r>
              <w:rPr>
                <w:noProof/>
                <w:webHidden/>
              </w:rPr>
            </w:r>
            <w:r>
              <w:rPr>
                <w:noProof/>
                <w:webHidden/>
              </w:rPr>
              <w:fldChar w:fldCharType="separate"/>
            </w:r>
            <w:r w:rsidR="00EE6F17">
              <w:rPr>
                <w:noProof/>
                <w:webHidden/>
              </w:rPr>
              <w:t>36</w:t>
            </w:r>
            <w:r>
              <w:rPr>
                <w:noProof/>
                <w:webHidden/>
              </w:rPr>
              <w:fldChar w:fldCharType="end"/>
            </w:r>
          </w:hyperlink>
        </w:p>
        <w:p w14:paraId="124982FE" w14:textId="763B3CFC" w:rsidR="00942891" w:rsidRDefault="00942891">
          <w:pPr>
            <w:pStyle w:val="Sumrio1"/>
            <w:rPr>
              <w:noProof/>
              <w:kern w:val="2"/>
              <w:sz w:val="24"/>
              <w:szCs w:val="24"/>
              <w14:ligatures w14:val="standardContextual"/>
            </w:rPr>
          </w:pPr>
          <w:hyperlink w:anchor="_Toc184926699" w:history="1">
            <w:r w:rsidRPr="00CA1A20">
              <w:rPr>
                <w:rStyle w:val="Hyperlink"/>
                <w:noProof/>
              </w:rPr>
              <w:t>30 – Despesas Gerais e Administrativas</w:t>
            </w:r>
            <w:r>
              <w:rPr>
                <w:noProof/>
                <w:webHidden/>
              </w:rPr>
              <w:tab/>
            </w:r>
            <w:r>
              <w:rPr>
                <w:noProof/>
                <w:webHidden/>
              </w:rPr>
              <w:fldChar w:fldCharType="begin"/>
            </w:r>
            <w:r>
              <w:rPr>
                <w:noProof/>
                <w:webHidden/>
              </w:rPr>
              <w:instrText xml:space="preserve"> PAGEREF _Toc184926699 \h </w:instrText>
            </w:r>
            <w:r>
              <w:rPr>
                <w:noProof/>
                <w:webHidden/>
              </w:rPr>
            </w:r>
            <w:r>
              <w:rPr>
                <w:noProof/>
                <w:webHidden/>
              </w:rPr>
              <w:fldChar w:fldCharType="separate"/>
            </w:r>
            <w:r w:rsidR="00EE6F17">
              <w:rPr>
                <w:noProof/>
                <w:webHidden/>
              </w:rPr>
              <w:t>37</w:t>
            </w:r>
            <w:r>
              <w:rPr>
                <w:noProof/>
                <w:webHidden/>
              </w:rPr>
              <w:fldChar w:fldCharType="end"/>
            </w:r>
          </w:hyperlink>
        </w:p>
        <w:p w14:paraId="2932F4FC" w14:textId="582138AB" w:rsidR="00942891" w:rsidRDefault="00942891">
          <w:pPr>
            <w:pStyle w:val="Sumrio1"/>
            <w:rPr>
              <w:noProof/>
              <w:kern w:val="2"/>
              <w:sz w:val="24"/>
              <w:szCs w:val="24"/>
              <w14:ligatures w14:val="standardContextual"/>
            </w:rPr>
          </w:pPr>
          <w:hyperlink w:anchor="_Toc184926700" w:history="1">
            <w:r w:rsidRPr="00CA1A20">
              <w:rPr>
                <w:rStyle w:val="Hyperlink"/>
                <w:noProof/>
              </w:rPr>
              <w:t>31 – Depreciação e Amortização</w:t>
            </w:r>
            <w:r>
              <w:rPr>
                <w:noProof/>
                <w:webHidden/>
              </w:rPr>
              <w:tab/>
            </w:r>
            <w:r>
              <w:rPr>
                <w:noProof/>
                <w:webHidden/>
              </w:rPr>
              <w:fldChar w:fldCharType="begin"/>
            </w:r>
            <w:r>
              <w:rPr>
                <w:noProof/>
                <w:webHidden/>
              </w:rPr>
              <w:instrText xml:space="preserve"> PAGEREF _Toc184926700 \h </w:instrText>
            </w:r>
            <w:r>
              <w:rPr>
                <w:noProof/>
                <w:webHidden/>
              </w:rPr>
            </w:r>
            <w:r>
              <w:rPr>
                <w:noProof/>
                <w:webHidden/>
              </w:rPr>
              <w:fldChar w:fldCharType="separate"/>
            </w:r>
            <w:r w:rsidR="00EE6F17">
              <w:rPr>
                <w:noProof/>
                <w:webHidden/>
              </w:rPr>
              <w:t>37</w:t>
            </w:r>
            <w:r>
              <w:rPr>
                <w:noProof/>
                <w:webHidden/>
              </w:rPr>
              <w:fldChar w:fldCharType="end"/>
            </w:r>
          </w:hyperlink>
        </w:p>
        <w:p w14:paraId="22ED2F8E" w14:textId="2EE7B808" w:rsidR="00942891" w:rsidRDefault="00942891">
          <w:pPr>
            <w:pStyle w:val="Sumrio1"/>
            <w:rPr>
              <w:noProof/>
              <w:kern w:val="2"/>
              <w:sz w:val="24"/>
              <w:szCs w:val="24"/>
              <w14:ligatures w14:val="standardContextual"/>
            </w:rPr>
          </w:pPr>
          <w:hyperlink w:anchor="_Toc184926701" w:history="1">
            <w:r w:rsidRPr="00CA1A20">
              <w:rPr>
                <w:rStyle w:val="Hyperlink"/>
                <w:noProof/>
              </w:rPr>
              <w:t>32 – Outras Receitas/Despesas</w:t>
            </w:r>
            <w:r>
              <w:rPr>
                <w:noProof/>
                <w:webHidden/>
              </w:rPr>
              <w:tab/>
            </w:r>
            <w:r>
              <w:rPr>
                <w:noProof/>
                <w:webHidden/>
              </w:rPr>
              <w:fldChar w:fldCharType="begin"/>
            </w:r>
            <w:r>
              <w:rPr>
                <w:noProof/>
                <w:webHidden/>
              </w:rPr>
              <w:instrText xml:space="preserve"> PAGEREF _Toc184926701 \h </w:instrText>
            </w:r>
            <w:r>
              <w:rPr>
                <w:noProof/>
                <w:webHidden/>
              </w:rPr>
            </w:r>
            <w:r>
              <w:rPr>
                <w:noProof/>
                <w:webHidden/>
              </w:rPr>
              <w:fldChar w:fldCharType="separate"/>
            </w:r>
            <w:r w:rsidR="00EE6F17">
              <w:rPr>
                <w:noProof/>
                <w:webHidden/>
              </w:rPr>
              <w:t>37</w:t>
            </w:r>
            <w:r>
              <w:rPr>
                <w:noProof/>
                <w:webHidden/>
              </w:rPr>
              <w:fldChar w:fldCharType="end"/>
            </w:r>
          </w:hyperlink>
        </w:p>
        <w:p w14:paraId="0046236C" w14:textId="31DC3BB1" w:rsidR="00942891" w:rsidRDefault="00942891">
          <w:pPr>
            <w:pStyle w:val="Sumrio1"/>
            <w:rPr>
              <w:noProof/>
              <w:kern w:val="2"/>
              <w:sz w:val="24"/>
              <w:szCs w:val="24"/>
              <w14:ligatures w14:val="standardContextual"/>
            </w:rPr>
          </w:pPr>
          <w:hyperlink w:anchor="_Toc184926702" w:history="1">
            <w:r w:rsidRPr="00CA1A20">
              <w:rPr>
                <w:rStyle w:val="Hyperlink"/>
                <w:noProof/>
              </w:rPr>
              <w:t>33 – Resultado Financeiro Líquido</w:t>
            </w:r>
            <w:r>
              <w:rPr>
                <w:noProof/>
                <w:webHidden/>
              </w:rPr>
              <w:tab/>
            </w:r>
            <w:r>
              <w:rPr>
                <w:noProof/>
                <w:webHidden/>
              </w:rPr>
              <w:fldChar w:fldCharType="begin"/>
            </w:r>
            <w:r>
              <w:rPr>
                <w:noProof/>
                <w:webHidden/>
              </w:rPr>
              <w:instrText xml:space="preserve"> PAGEREF _Toc184926702 \h </w:instrText>
            </w:r>
            <w:r>
              <w:rPr>
                <w:noProof/>
                <w:webHidden/>
              </w:rPr>
            </w:r>
            <w:r>
              <w:rPr>
                <w:noProof/>
                <w:webHidden/>
              </w:rPr>
              <w:fldChar w:fldCharType="separate"/>
            </w:r>
            <w:r w:rsidR="00EE6F17">
              <w:rPr>
                <w:noProof/>
                <w:webHidden/>
              </w:rPr>
              <w:t>38</w:t>
            </w:r>
            <w:r>
              <w:rPr>
                <w:noProof/>
                <w:webHidden/>
              </w:rPr>
              <w:fldChar w:fldCharType="end"/>
            </w:r>
          </w:hyperlink>
        </w:p>
        <w:p w14:paraId="1DC988A1" w14:textId="11E017DA" w:rsidR="00942891" w:rsidRDefault="00942891">
          <w:pPr>
            <w:pStyle w:val="Sumrio1"/>
            <w:rPr>
              <w:noProof/>
              <w:kern w:val="2"/>
              <w:sz w:val="24"/>
              <w:szCs w:val="24"/>
              <w14:ligatures w14:val="standardContextual"/>
            </w:rPr>
          </w:pPr>
          <w:hyperlink w:anchor="_Toc184926703" w:history="1">
            <w:r w:rsidRPr="00CA1A20">
              <w:rPr>
                <w:rStyle w:val="Hyperlink"/>
                <w:noProof/>
              </w:rPr>
              <w:t>34 – Subvenção do Tesouro Nacional – Repasse para Custeio e Pessoal</w:t>
            </w:r>
            <w:r>
              <w:rPr>
                <w:noProof/>
                <w:webHidden/>
              </w:rPr>
              <w:tab/>
            </w:r>
            <w:r>
              <w:rPr>
                <w:noProof/>
                <w:webHidden/>
              </w:rPr>
              <w:fldChar w:fldCharType="begin"/>
            </w:r>
            <w:r>
              <w:rPr>
                <w:noProof/>
                <w:webHidden/>
              </w:rPr>
              <w:instrText xml:space="preserve"> PAGEREF _Toc184926703 \h </w:instrText>
            </w:r>
            <w:r>
              <w:rPr>
                <w:noProof/>
                <w:webHidden/>
              </w:rPr>
            </w:r>
            <w:r>
              <w:rPr>
                <w:noProof/>
                <w:webHidden/>
              </w:rPr>
              <w:fldChar w:fldCharType="separate"/>
            </w:r>
            <w:r w:rsidR="00EE6F17">
              <w:rPr>
                <w:noProof/>
                <w:webHidden/>
              </w:rPr>
              <w:t>38</w:t>
            </w:r>
            <w:r>
              <w:rPr>
                <w:noProof/>
                <w:webHidden/>
              </w:rPr>
              <w:fldChar w:fldCharType="end"/>
            </w:r>
          </w:hyperlink>
        </w:p>
        <w:p w14:paraId="578B4A47" w14:textId="57C54133" w:rsidR="00942891" w:rsidRDefault="00942891">
          <w:pPr>
            <w:pStyle w:val="Sumrio1"/>
            <w:rPr>
              <w:noProof/>
              <w:kern w:val="2"/>
              <w:sz w:val="24"/>
              <w:szCs w:val="24"/>
              <w14:ligatures w14:val="standardContextual"/>
            </w:rPr>
          </w:pPr>
          <w:hyperlink w:anchor="_Toc184926704" w:history="1">
            <w:r w:rsidRPr="00CA1A20">
              <w:rPr>
                <w:rStyle w:val="Hyperlink"/>
                <w:noProof/>
              </w:rPr>
              <w:t>35 – Tributos Sobre o Lucro</w:t>
            </w:r>
            <w:r>
              <w:rPr>
                <w:noProof/>
                <w:webHidden/>
              </w:rPr>
              <w:tab/>
            </w:r>
            <w:r>
              <w:rPr>
                <w:noProof/>
                <w:webHidden/>
              </w:rPr>
              <w:fldChar w:fldCharType="begin"/>
            </w:r>
            <w:r>
              <w:rPr>
                <w:noProof/>
                <w:webHidden/>
              </w:rPr>
              <w:instrText xml:space="preserve"> PAGEREF _Toc184926704 \h </w:instrText>
            </w:r>
            <w:r>
              <w:rPr>
                <w:noProof/>
                <w:webHidden/>
              </w:rPr>
            </w:r>
            <w:r>
              <w:rPr>
                <w:noProof/>
                <w:webHidden/>
              </w:rPr>
              <w:fldChar w:fldCharType="separate"/>
            </w:r>
            <w:r w:rsidR="00EE6F17">
              <w:rPr>
                <w:noProof/>
                <w:webHidden/>
              </w:rPr>
              <w:t>38</w:t>
            </w:r>
            <w:r>
              <w:rPr>
                <w:noProof/>
                <w:webHidden/>
              </w:rPr>
              <w:fldChar w:fldCharType="end"/>
            </w:r>
          </w:hyperlink>
        </w:p>
        <w:p w14:paraId="15AD5A17" w14:textId="09C9AC89" w:rsidR="00942891" w:rsidRDefault="00942891">
          <w:pPr>
            <w:pStyle w:val="Sumrio1"/>
            <w:rPr>
              <w:noProof/>
              <w:kern w:val="2"/>
              <w:sz w:val="24"/>
              <w:szCs w:val="24"/>
              <w14:ligatures w14:val="standardContextual"/>
            </w:rPr>
          </w:pPr>
          <w:hyperlink w:anchor="_Toc184926705" w:history="1">
            <w:r w:rsidRPr="00CA1A20">
              <w:rPr>
                <w:rStyle w:val="Hyperlink"/>
                <w:noProof/>
              </w:rPr>
              <w:t>36 – Resultado do Exercício</w:t>
            </w:r>
            <w:r>
              <w:rPr>
                <w:noProof/>
                <w:webHidden/>
              </w:rPr>
              <w:tab/>
            </w:r>
            <w:r>
              <w:rPr>
                <w:noProof/>
                <w:webHidden/>
              </w:rPr>
              <w:fldChar w:fldCharType="begin"/>
            </w:r>
            <w:r>
              <w:rPr>
                <w:noProof/>
                <w:webHidden/>
              </w:rPr>
              <w:instrText xml:space="preserve"> PAGEREF _Toc184926705 \h </w:instrText>
            </w:r>
            <w:r>
              <w:rPr>
                <w:noProof/>
                <w:webHidden/>
              </w:rPr>
            </w:r>
            <w:r>
              <w:rPr>
                <w:noProof/>
                <w:webHidden/>
              </w:rPr>
              <w:fldChar w:fldCharType="separate"/>
            </w:r>
            <w:r w:rsidR="00EE6F17">
              <w:rPr>
                <w:noProof/>
                <w:webHidden/>
              </w:rPr>
              <w:t>39</w:t>
            </w:r>
            <w:r>
              <w:rPr>
                <w:noProof/>
                <w:webHidden/>
              </w:rPr>
              <w:fldChar w:fldCharType="end"/>
            </w:r>
          </w:hyperlink>
        </w:p>
        <w:p w14:paraId="3665E518" w14:textId="4B72A6BE" w:rsidR="00942891" w:rsidRDefault="00942891">
          <w:pPr>
            <w:pStyle w:val="Sumrio1"/>
            <w:rPr>
              <w:noProof/>
              <w:kern w:val="2"/>
              <w:sz w:val="24"/>
              <w:szCs w:val="24"/>
              <w14:ligatures w14:val="standardContextual"/>
            </w:rPr>
          </w:pPr>
          <w:hyperlink w:anchor="_Toc184926706" w:history="1">
            <w:r w:rsidRPr="00CA1A20">
              <w:rPr>
                <w:rStyle w:val="Hyperlink"/>
                <w:noProof/>
              </w:rPr>
              <w:t>37 – Informações Adicionais ao Fluxo de Caixa</w:t>
            </w:r>
            <w:r>
              <w:rPr>
                <w:noProof/>
                <w:webHidden/>
              </w:rPr>
              <w:tab/>
            </w:r>
            <w:r>
              <w:rPr>
                <w:noProof/>
                <w:webHidden/>
              </w:rPr>
              <w:fldChar w:fldCharType="begin"/>
            </w:r>
            <w:r>
              <w:rPr>
                <w:noProof/>
                <w:webHidden/>
              </w:rPr>
              <w:instrText xml:space="preserve"> PAGEREF _Toc184926706 \h </w:instrText>
            </w:r>
            <w:r>
              <w:rPr>
                <w:noProof/>
                <w:webHidden/>
              </w:rPr>
            </w:r>
            <w:r>
              <w:rPr>
                <w:noProof/>
                <w:webHidden/>
              </w:rPr>
              <w:fldChar w:fldCharType="separate"/>
            </w:r>
            <w:r w:rsidR="00EE6F17">
              <w:rPr>
                <w:noProof/>
                <w:webHidden/>
              </w:rPr>
              <w:t>39</w:t>
            </w:r>
            <w:r>
              <w:rPr>
                <w:noProof/>
                <w:webHidden/>
              </w:rPr>
              <w:fldChar w:fldCharType="end"/>
            </w:r>
          </w:hyperlink>
        </w:p>
        <w:p w14:paraId="7E12A128" w14:textId="54B8C96F" w:rsidR="00942891" w:rsidRDefault="00942891">
          <w:pPr>
            <w:pStyle w:val="Sumrio1"/>
            <w:rPr>
              <w:noProof/>
              <w:kern w:val="2"/>
              <w:sz w:val="24"/>
              <w:szCs w:val="24"/>
              <w14:ligatures w14:val="standardContextual"/>
            </w:rPr>
          </w:pPr>
          <w:hyperlink w:anchor="_Toc184926707" w:history="1">
            <w:r w:rsidRPr="00CA1A20">
              <w:rPr>
                <w:rStyle w:val="Hyperlink"/>
                <w:noProof/>
              </w:rPr>
              <w:t>38 – Informações Complementares às Demonstrações Financeiras</w:t>
            </w:r>
            <w:r>
              <w:rPr>
                <w:noProof/>
                <w:webHidden/>
              </w:rPr>
              <w:tab/>
            </w:r>
            <w:r>
              <w:rPr>
                <w:noProof/>
                <w:webHidden/>
              </w:rPr>
              <w:fldChar w:fldCharType="begin"/>
            </w:r>
            <w:r>
              <w:rPr>
                <w:noProof/>
                <w:webHidden/>
              </w:rPr>
              <w:instrText xml:space="preserve"> PAGEREF _Toc184926707 \h </w:instrText>
            </w:r>
            <w:r>
              <w:rPr>
                <w:noProof/>
                <w:webHidden/>
              </w:rPr>
            </w:r>
            <w:r>
              <w:rPr>
                <w:noProof/>
                <w:webHidden/>
              </w:rPr>
              <w:fldChar w:fldCharType="separate"/>
            </w:r>
            <w:r w:rsidR="00EE6F17">
              <w:rPr>
                <w:noProof/>
                <w:webHidden/>
              </w:rPr>
              <w:t>39</w:t>
            </w:r>
            <w:r>
              <w:rPr>
                <w:noProof/>
                <w:webHidden/>
              </w:rPr>
              <w:fldChar w:fldCharType="end"/>
            </w:r>
          </w:hyperlink>
        </w:p>
        <w:p w14:paraId="2BBD7AC3" w14:textId="3E894FF9" w:rsidR="00942891" w:rsidRDefault="00942891">
          <w:pPr>
            <w:pStyle w:val="Sumrio2"/>
            <w:rPr>
              <w:noProof/>
              <w:kern w:val="2"/>
              <w:sz w:val="24"/>
              <w:szCs w:val="24"/>
              <w14:ligatures w14:val="standardContextual"/>
            </w:rPr>
          </w:pPr>
          <w:hyperlink w:anchor="_Toc184926708" w:history="1">
            <w:r w:rsidRPr="00CA1A20">
              <w:rPr>
                <w:rStyle w:val="Hyperlink"/>
                <w:noProof/>
              </w:rPr>
              <w:t>38.1 – Remuneração de Diretores, Empregados, Conselheiros e Comissionados</w:t>
            </w:r>
            <w:r>
              <w:rPr>
                <w:noProof/>
                <w:webHidden/>
              </w:rPr>
              <w:tab/>
            </w:r>
            <w:r>
              <w:rPr>
                <w:noProof/>
                <w:webHidden/>
              </w:rPr>
              <w:fldChar w:fldCharType="begin"/>
            </w:r>
            <w:r>
              <w:rPr>
                <w:noProof/>
                <w:webHidden/>
              </w:rPr>
              <w:instrText xml:space="preserve"> PAGEREF _Toc184926708 \h </w:instrText>
            </w:r>
            <w:r>
              <w:rPr>
                <w:noProof/>
                <w:webHidden/>
              </w:rPr>
            </w:r>
            <w:r>
              <w:rPr>
                <w:noProof/>
                <w:webHidden/>
              </w:rPr>
              <w:fldChar w:fldCharType="separate"/>
            </w:r>
            <w:r w:rsidR="00EE6F17">
              <w:rPr>
                <w:noProof/>
                <w:webHidden/>
              </w:rPr>
              <w:t>39</w:t>
            </w:r>
            <w:r>
              <w:rPr>
                <w:noProof/>
                <w:webHidden/>
              </w:rPr>
              <w:fldChar w:fldCharType="end"/>
            </w:r>
          </w:hyperlink>
        </w:p>
        <w:p w14:paraId="1F1B4ECD" w14:textId="570EB108" w:rsidR="00942891" w:rsidRDefault="00942891">
          <w:pPr>
            <w:pStyle w:val="Sumrio2"/>
            <w:rPr>
              <w:noProof/>
              <w:kern w:val="2"/>
              <w:sz w:val="24"/>
              <w:szCs w:val="24"/>
              <w14:ligatures w14:val="standardContextual"/>
            </w:rPr>
          </w:pPr>
          <w:hyperlink w:anchor="_Toc184926709" w:history="1">
            <w:r w:rsidRPr="00CA1A20">
              <w:rPr>
                <w:rStyle w:val="Hyperlink"/>
                <w:noProof/>
              </w:rPr>
              <w:t>38.2 – Recursos Recebidos para Pagamento de Investimento, Pessoal e Custeio</w:t>
            </w:r>
            <w:r>
              <w:rPr>
                <w:noProof/>
                <w:webHidden/>
              </w:rPr>
              <w:tab/>
            </w:r>
            <w:r>
              <w:rPr>
                <w:noProof/>
                <w:webHidden/>
              </w:rPr>
              <w:fldChar w:fldCharType="begin"/>
            </w:r>
            <w:r>
              <w:rPr>
                <w:noProof/>
                <w:webHidden/>
              </w:rPr>
              <w:instrText xml:space="preserve"> PAGEREF _Toc184926709 \h </w:instrText>
            </w:r>
            <w:r>
              <w:rPr>
                <w:noProof/>
                <w:webHidden/>
              </w:rPr>
            </w:r>
            <w:r>
              <w:rPr>
                <w:noProof/>
                <w:webHidden/>
              </w:rPr>
              <w:fldChar w:fldCharType="separate"/>
            </w:r>
            <w:r w:rsidR="00EE6F17">
              <w:rPr>
                <w:noProof/>
                <w:webHidden/>
              </w:rPr>
              <w:t>40</w:t>
            </w:r>
            <w:r>
              <w:rPr>
                <w:noProof/>
                <w:webHidden/>
              </w:rPr>
              <w:fldChar w:fldCharType="end"/>
            </w:r>
          </w:hyperlink>
        </w:p>
        <w:p w14:paraId="75AADEA5" w14:textId="4A8080AF" w:rsidR="00942891" w:rsidRDefault="00942891">
          <w:pPr>
            <w:pStyle w:val="Sumrio2"/>
            <w:rPr>
              <w:noProof/>
              <w:kern w:val="2"/>
              <w:sz w:val="24"/>
              <w:szCs w:val="24"/>
              <w14:ligatures w14:val="standardContextual"/>
            </w:rPr>
          </w:pPr>
          <w:hyperlink w:anchor="_Toc184926710" w:history="1">
            <w:r w:rsidRPr="00CA1A20">
              <w:rPr>
                <w:rStyle w:val="Hyperlink"/>
                <w:noProof/>
              </w:rPr>
              <w:t>38.3 – Execução Orçamentária</w:t>
            </w:r>
            <w:r>
              <w:rPr>
                <w:noProof/>
                <w:webHidden/>
              </w:rPr>
              <w:tab/>
            </w:r>
            <w:r>
              <w:rPr>
                <w:noProof/>
                <w:webHidden/>
              </w:rPr>
              <w:fldChar w:fldCharType="begin"/>
            </w:r>
            <w:r>
              <w:rPr>
                <w:noProof/>
                <w:webHidden/>
              </w:rPr>
              <w:instrText xml:space="preserve"> PAGEREF _Toc184926710 \h </w:instrText>
            </w:r>
            <w:r>
              <w:rPr>
                <w:noProof/>
                <w:webHidden/>
              </w:rPr>
            </w:r>
            <w:r>
              <w:rPr>
                <w:noProof/>
                <w:webHidden/>
              </w:rPr>
              <w:fldChar w:fldCharType="separate"/>
            </w:r>
            <w:r w:rsidR="00EE6F17">
              <w:rPr>
                <w:noProof/>
                <w:webHidden/>
              </w:rPr>
              <w:t>40</w:t>
            </w:r>
            <w:r>
              <w:rPr>
                <w:noProof/>
                <w:webHidden/>
              </w:rPr>
              <w:fldChar w:fldCharType="end"/>
            </w:r>
          </w:hyperlink>
        </w:p>
        <w:p w14:paraId="372C476B" w14:textId="2231BEEF" w:rsidR="00942891" w:rsidRDefault="00942891">
          <w:pPr>
            <w:pStyle w:val="Sumrio2"/>
            <w:rPr>
              <w:noProof/>
              <w:kern w:val="2"/>
              <w:sz w:val="24"/>
              <w:szCs w:val="24"/>
              <w14:ligatures w14:val="standardContextual"/>
            </w:rPr>
          </w:pPr>
          <w:hyperlink w:anchor="_Toc184926711" w:history="1">
            <w:r w:rsidRPr="00CA1A20">
              <w:rPr>
                <w:rStyle w:val="Hyperlink"/>
                <w:noProof/>
              </w:rPr>
              <w:t>38.4 – Partes Relacionadas</w:t>
            </w:r>
            <w:r>
              <w:rPr>
                <w:noProof/>
                <w:webHidden/>
              </w:rPr>
              <w:tab/>
            </w:r>
            <w:r>
              <w:rPr>
                <w:noProof/>
                <w:webHidden/>
              </w:rPr>
              <w:fldChar w:fldCharType="begin"/>
            </w:r>
            <w:r>
              <w:rPr>
                <w:noProof/>
                <w:webHidden/>
              </w:rPr>
              <w:instrText xml:space="preserve"> PAGEREF _Toc184926711 \h </w:instrText>
            </w:r>
            <w:r>
              <w:rPr>
                <w:noProof/>
                <w:webHidden/>
              </w:rPr>
            </w:r>
            <w:r>
              <w:rPr>
                <w:noProof/>
                <w:webHidden/>
              </w:rPr>
              <w:fldChar w:fldCharType="separate"/>
            </w:r>
            <w:r w:rsidR="00EE6F17">
              <w:rPr>
                <w:noProof/>
                <w:webHidden/>
              </w:rPr>
              <w:t>40</w:t>
            </w:r>
            <w:r>
              <w:rPr>
                <w:noProof/>
                <w:webHidden/>
              </w:rPr>
              <w:fldChar w:fldCharType="end"/>
            </w:r>
          </w:hyperlink>
        </w:p>
        <w:p w14:paraId="38BCA7DE" w14:textId="043CD6CB" w:rsidR="00942891" w:rsidRDefault="00942891">
          <w:pPr>
            <w:pStyle w:val="Sumrio2"/>
            <w:rPr>
              <w:noProof/>
              <w:kern w:val="2"/>
              <w:sz w:val="24"/>
              <w:szCs w:val="24"/>
              <w14:ligatures w14:val="standardContextual"/>
            </w:rPr>
          </w:pPr>
          <w:hyperlink w:anchor="_Toc184926712" w:history="1">
            <w:r w:rsidRPr="00CA1A20">
              <w:rPr>
                <w:rStyle w:val="Hyperlink"/>
                <w:noProof/>
              </w:rPr>
              <w:t>38.5 – Interesse Público</w:t>
            </w:r>
            <w:r>
              <w:rPr>
                <w:noProof/>
                <w:webHidden/>
              </w:rPr>
              <w:tab/>
            </w:r>
            <w:r>
              <w:rPr>
                <w:noProof/>
                <w:webHidden/>
              </w:rPr>
              <w:fldChar w:fldCharType="begin"/>
            </w:r>
            <w:r>
              <w:rPr>
                <w:noProof/>
                <w:webHidden/>
              </w:rPr>
              <w:instrText xml:space="preserve"> PAGEREF _Toc184926712 \h </w:instrText>
            </w:r>
            <w:r>
              <w:rPr>
                <w:noProof/>
                <w:webHidden/>
              </w:rPr>
            </w:r>
            <w:r>
              <w:rPr>
                <w:noProof/>
                <w:webHidden/>
              </w:rPr>
              <w:fldChar w:fldCharType="separate"/>
            </w:r>
            <w:r w:rsidR="00EE6F17">
              <w:rPr>
                <w:noProof/>
                <w:webHidden/>
              </w:rPr>
              <w:t>41</w:t>
            </w:r>
            <w:r>
              <w:rPr>
                <w:noProof/>
                <w:webHidden/>
              </w:rPr>
              <w:fldChar w:fldCharType="end"/>
            </w:r>
          </w:hyperlink>
        </w:p>
        <w:p w14:paraId="3880BAE1" w14:textId="49CDB1DA" w:rsidR="00942891" w:rsidRDefault="00942891">
          <w:pPr>
            <w:pStyle w:val="Sumrio1"/>
            <w:rPr>
              <w:noProof/>
              <w:kern w:val="2"/>
              <w:sz w:val="24"/>
              <w:szCs w:val="24"/>
              <w14:ligatures w14:val="standardContextual"/>
            </w:rPr>
          </w:pPr>
          <w:hyperlink w:anchor="_Toc184926713" w:history="1">
            <w:r w:rsidRPr="00CA1A20">
              <w:rPr>
                <w:rStyle w:val="Hyperlink"/>
                <w:noProof/>
              </w:rPr>
              <w:t>39 – Conciliação entre a Lei nº 6.404/1976 e a Lei nº 4.320/1964 (Nota Não Auditada)</w:t>
            </w:r>
            <w:r>
              <w:rPr>
                <w:noProof/>
                <w:webHidden/>
              </w:rPr>
              <w:tab/>
            </w:r>
            <w:r>
              <w:rPr>
                <w:noProof/>
                <w:webHidden/>
              </w:rPr>
              <w:fldChar w:fldCharType="begin"/>
            </w:r>
            <w:r>
              <w:rPr>
                <w:noProof/>
                <w:webHidden/>
              </w:rPr>
              <w:instrText xml:space="preserve"> PAGEREF _Toc184926713 \h </w:instrText>
            </w:r>
            <w:r>
              <w:rPr>
                <w:noProof/>
                <w:webHidden/>
              </w:rPr>
            </w:r>
            <w:r>
              <w:rPr>
                <w:noProof/>
                <w:webHidden/>
              </w:rPr>
              <w:fldChar w:fldCharType="separate"/>
            </w:r>
            <w:r w:rsidR="00EE6F17">
              <w:rPr>
                <w:noProof/>
                <w:webHidden/>
              </w:rPr>
              <w:t>41</w:t>
            </w:r>
            <w:r>
              <w:rPr>
                <w:noProof/>
                <w:webHidden/>
              </w:rPr>
              <w:fldChar w:fldCharType="end"/>
            </w:r>
          </w:hyperlink>
        </w:p>
        <w:p w14:paraId="3D8E0B4D" w14:textId="182C6455" w:rsidR="00942891" w:rsidRDefault="00942891">
          <w:pPr>
            <w:pStyle w:val="Sumrio1"/>
            <w:rPr>
              <w:noProof/>
              <w:kern w:val="2"/>
              <w:sz w:val="24"/>
              <w:szCs w:val="24"/>
              <w14:ligatures w14:val="standardContextual"/>
            </w:rPr>
          </w:pPr>
          <w:hyperlink w:anchor="_Toc184926714" w:history="1">
            <w:r w:rsidRPr="00CA1A20">
              <w:rPr>
                <w:rStyle w:val="Hyperlink"/>
                <w:noProof/>
              </w:rPr>
              <w:t>Anexo I</w:t>
            </w:r>
            <w:r>
              <w:rPr>
                <w:noProof/>
                <w:webHidden/>
              </w:rPr>
              <w:tab/>
            </w:r>
            <w:r>
              <w:rPr>
                <w:noProof/>
                <w:webHidden/>
              </w:rPr>
              <w:fldChar w:fldCharType="begin"/>
            </w:r>
            <w:r>
              <w:rPr>
                <w:noProof/>
                <w:webHidden/>
              </w:rPr>
              <w:instrText xml:space="preserve"> PAGEREF _Toc184926714 \h </w:instrText>
            </w:r>
            <w:r>
              <w:rPr>
                <w:noProof/>
                <w:webHidden/>
              </w:rPr>
            </w:r>
            <w:r>
              <w:rPr>
                <w:noProof/>
                <w:webHidden/>
              </w:rPr>
              <w:fldChar w:fldCharType="separate"/>
            </w:r>
            <w:r w:rsidR="00EE6F17">
              <w:rPr>
                <w:noProof/>
                <w:webHidden/>
              </w:rPr>
              <w:t>46</w:t>
            </w:r>
            <w:r>
              <w:rPr>
                <w:noProof/>
                <w:webHidden/>
              </w:rPr>
              <w:fldChar w:fldCharType="end"/>
            </w:r>
          </w:hyperlink>
        </w:p>
        <w:p w14:paraId="0D546058" w14:textId="1B18F585" w:rsidR="00942891" w:rsidRDefault="00942891">
          <w:pPr>
            <w:pStyle w:val="Sumrio2"/>
            <w:rPr>
              <w:noProof/>
              <w:kern w:val="2"/>
              <w:sz w:val="24"/>
              <w:szCs w:val="24"/>
              <w14:ligatures w14:val="standardContextual"/>
            </w:rPr>
          </w:pPr>
          <w:hyperlink w:anchor="_Toc184926715" w:history="1">
            <w:r w:rsidRPr="00CA1A20">
              <w:rPr>
                <w:rStyle w:val="Hyperlink"/>
                <w:noProof/>
              </w:rPr>
              <w:t>a)</w:t>
            </w:r>
            <w:r>
              <w:rPr>
                <w:noProof/>
                <w:kern w:val="2"/>
                <w:sz w:val="24"/>
                <w:szCs w:val="24"/>
                <w14:ligatures w14:val="standardContextual"/>
              </w:rPr>
              <w:tab/>
            </w:r>
            <w:r w:rsidRPr="00CA1A20">
              <w:rPr>
                <w:rStyle w:val="Hyperlink"/>
                <w:noProof/>
              </w:rPr>
              <w:t>Demonstração do Resultado do Exercício</w:t>
            </w:r>
            <w:r>
              <w:rPr>
                <w:noProof/>
                <w:webHidden/>
              </w:rPr>
              <w:tab/>
            </w:r>
            <w:r>
              <w:rPr>
                <w:noProof/>
                <w:webHidden/>
              </w:rPr>
              <w:fldChar w:fldCharType="begin"/>
            </w:r>
            <w:r>
              <w:rPr>
                <w:noProof/>
                <w:webHidden/>
              </w:rPr>
              <w:instrText xml:space="preserve"> PAGEREF _Toc184926715 \h </w:instrText>
            </w:r>
            <w:r>
              <w:rPr>
                <w:noProof/>
                <w:webHidden/>
              </w:rPr>
            </w:r>
            <w:r>
              <w:rPr>
                <w:noProof/>
                <w:webHidden/>
              </w:rPr>
              <w:fldChar w:fldCharType="separate"/>
            </w:r>
            <w:r w:rsidR="00EE6F17">
              <w:rPr>
                <w:noProof/>
                <w:webHidden/>
              </w:rPr>
              <w:t>46</w:t>
            </w:r>
            <w:r>
              <w:rPr>
                <w:noProof/>
                <w:webHidden/>
              </w:rPr>
              <w:fldChar w:fldCharType="end"/>
            </w:r>
          </w:hyperlink>
        </w:p>
        <w:p w14:paraId="49FC4506" w14:textId="7900BB80" w:rsidR="00F078A6" w:rsidRPr="00E25FCF" w:rsidRDefault="00105962" w:rsidP="00F078A6">
          <w:pPr>
            <w:rPr>
              <w:color w:val="FF0000"/>
              <w:sz w:val="16"/>
              <w:szCs w:val="16"/>
            </w:rPr>
          </w:pPr>
          <w:r w:rsidRPr="00D630E0">
            <w:rPr>
              <w:color w:val="FF0000"/>
              <w:sz w:val="16"/>
              <w:szCs w:val="16"/>
            </w:rPr>
            <w:fldChar w:fldCharType="end"/>
          </w:r>
        </w:p>
      </w:sdtContent>
    </w:sdt>
    <w:p w14:paraId="43C90E23" w14:textId="77777777" w:rsidR="00A0271B" w:rsidRDefault="00201852" w:rsidP="00D619A7">
      <w:pPr>
        <w:rPr>
          <w:color w:val="FF0000"/>
          <w:sz w:val="28"/>
          <w:szCs w:val="28"/>
        </w:rPr>
        <w:sectPr w:rsidR="00A0271B" w:rsidSect="00B907E2">
          <w:headerReference w:type="default" r:id="rId12"/>
          <w:footerReference w:type="default" r:id="rId13"/>
          <w:pgSz w:w="11907" w:h="16840" w:code="9"/>
          <w:pgMar w:top="720" w:right="0" w:bottom="720" w:left="720" w:header="680" w:footer="454"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pgNumType w:start="1"/>
          <w:cols w:space="708"/>
          <w:docGrid w:linePitch="360"/>
        </w:sectPr>
      </w:pPr>
      <w:r w:rsidRPr="00F269C4">
        <w:rPr>
          <w:color w:val="FF0000"/>
          <w:sz w:val="28"/>
          <w:szCs w:val="28"/>
        </w:rPr>
        <w:br w:type="page"/>
      </w:r>
    </w:p>
    <w:p w14:paraId="28ADC00C" w14:textId="5772544A" w:rsidR="00A21C08" w:rsidRPr="006D2B8D" w:rsidRDefault="662EE869" w:rsidP="00C241BA">
      <w:pPr>
        <w:pStyle w:val="Ttulo1"/>
        <w:spacing w:after="0"/>
        <w:rPr>
          <w:sz w:val="28"/>
        </w:rPr>
      </w:pPr>
      <w:bookmarkStart w:id="0" w:name="_Toc184926653"/>
      <w:r w:rsidRPr="006D2B8D">
        <w:rPr>
          <w:sz w:val="28"/>
        </w:rPr>
        <w:lastRenderedPageBreak/>
        <w:t xml:space="preserve">DEMONSTRAÇÕES </w:t>
      </w:r>
      <w:r w:rsidR="009C68C8" w:rsidRPr="006D2B8D">
        <w:rPr>
          <w:sz w:val="28"/>
        </w:rPr>
        <w:t>FINANCEIRAS</w:t>
      </w:r>
      <w:bookmarkEnd w:id="0"/>
    </w:p>
    <w:p w14:paraId="72B9DB0C" w14:textId="77777777" w:rsidR="00775736" w:rsidRPr="00970D56" w:rsidRDefault="00775736" w:rsidP="00970D56">
      <w:pPr>
        <w:spacing w:after="0"/>
        <w:rPr>
          <w:sz w:val="6"/>
          <w:szCs w:val="6"/>
        </w:rPr>
      </w:pPr>
    </w:p>
    <w:p w14:paraId="7C9C21A9" w14:textId="77777777" w:rsidR="00D50562" w:rsidRDefault="00775736" w:rsidP="00E13E23">
      <w:pPr>
        <w:pStyle w:val="Ttulo2"/>
        <w:spacing w:after="0"/>
      </w:pPr>
      <w:bookmarkStart w:id="1" w:name="_Toc184926654"/>
      <w:r w:rsidRPr="00D50562">
        <w:t>Balanço Patrimonial</w:t>
      </w:r>
      <w:bookmarkEnd w:id="1"/>
    </w:p>
    <w:p w14:paraId="15CE6E49" w14:textId="64F49EDD" w:rsidR="00775736" w:rsidRPr="00E06A3E" w:rsidRDefault="00775736" w:rsidP="00E13E23">
      <w:pPr>
        <w:rPr>
          <w:i/>
          <w:color w:val="2E74B5" w:themeColor="accent1" w:themeShade="BF"/>
          <w:sz w:val="16"/>
          <w:szCs w:val="16"/>
        </w:rPr>
      </w:pPr>
      <w:r w:rsidRPr="00E06A3E">
        <w:rPr>
          <w:color w:val="2E74B5" w:themeColor="accent1" w:themeShade="BF"/>
          <w:sz w:val="16"/>
          <w:szCs w:val="16"/>
        </w:rPr>
        <w:t>Em 3</w:t>
      </w:r>
      <w:r w:rsidR="002A0B60" w:rsidRPr="00E06A3E">
        <w:rPr>
          <w:color w:val="2E74B5" w:themeColor="accent1" w:themeShade="BF"/>
          <w:sz w:val="16"/>
          <w:szCs w:val="16"/>
        </w:rPr>
        <w:t>1</w:t>
      </w:r>
      <w:r w:rsidRPr="00E06A3E">
        <w:rPr>
          <w:color w:val="2E74B5" w:themeColor="accent1" w:themeShade="BF"/>
          <w:sz w:val="16"/>
          <w:szCs w:val="16"/>
        </w:rPr>
        <w:t xml:space="preserve"> de </w:t>
      </w:r>
      <w:r w:rsidR="0006072D" w:rsidRPr="00E06A3E">
        <w:rPr>
          <w:color w:val="2E74B5" w:themeColor="accent1" w:themeShade="BF"/>
          <w:sz w:val="16"/>
          <w:szCs w:val="16"/>
        </w:rPr>
        <w:t>março</w:t>
      </w:r>
      <w:r w:rsidRPr="00E06A3E">
        <w:rPr>
          <w:color w:val="2E74B5" w:themeColor="accent1" w:themeShade="BF"/>
          <w:sz w:val="16"/>
          <w:szCs w:val="16"/>
        </w:rPr>
        <w:t xml:space="preserve"> de 202</w:t>
      </w:r>
      <w:r w:rsidR="0006072D" w:rsidRPr="00E06A3E">
        <w:rPr>
          <w:color w:val="2E74B5" w:themeColor="accent1" w:themeShade="BF"/>
          <w:sz w:val="16"/>
          <w:szCs w:val="16"/>
        </w:rPr>
        <w:t>4</w:t>
      </w:r>
      <w:r w:rsidRPr="00E06A3E">
        <w:rPr>
          <w:color w:val="2E74B5" w:themeColor="accent1" w:themeShade="BF"/>
          <w:sz w:val="16"/>
          <w:szCs w:val="16"/>
        </w:rPr>
        <w:t xml:space="preserve"> e 3</w:t>
      </w:r>
      <w:r w:rsidR="00B25B50" w:rsidRPr="00E06A3E">
        <w:rPr>
          <w:color w:val="2E74B5" w:themeColor="accent1" w:themeShade="BF"/>
          <w:sz w:val="16"/>
          <w:szCs w:val="16"/>
        </w:rPr>
        <w:t>1</w:t>
      </w:r>
      <w:r w:rsidRPr="00E06A3E">
        <w:rPr>
          <w:color w:val="2E74B5" w:themeColor="accent1" w:themeShade="BF"/>
          <w:sz w:val="16"/>
          <w:szCs w:val="16"/>
        </w:rPr>
        <w:t xml:space="preserve"> de </w:t>
      </w:r>
      <w:r w:rsidR="00B25B50" w:rsidRPr="00E06A3E">
        <w:rPr>
          <w:color w:val="2E74B5" w:themeColor="accent1" w:themeShade="BF"/>
          <w:sz w:val="16"/>
          <w:szCs w:val="16"/>
        </w:rPr>
        <w:t>dezembro de</w:t>
      </w:r>
      <w:r w:rsidRPr="00E06A3E">
        <w:rPr>
          <w:color w:val="2E74B5" w:themeColor="accent1" w:themeShade="BF"/>
          <w:sz w:val="16"/>
          <w:szCs w:val="16"/>
        </w:rPr>
        <w:t xml:space="preserve"> 202</w:t>
      </w:r>
      <w:r w:rsidR="0006072D" w:rsidRPr="00E06A3E">
        <w:rPr>
          <w:color w:val="2E74B5" w:themeColor="accent1" w:themeShade="BF"/>
          <w:sz w:val="16"/>
          <w:szCs w:val="16"/>
        </w:rPr>
        <w:t>3</w:t>
      </w:r>
      <w:r w:rsidRPr="00E06A3E">
        <w:rPr>
          <w:color w:val="2E74B5" w:themeColor="accent1" w:themeShade="BF"/>
          <w:sz w:val="16"/>
          <w:szCs w:val="16"/>
        </w:rPr>
        <w:br/>
      </w:r>
      <w:r w:rsidRPr="00E06A3E">
        <w:rPr>
          <w:i/>
          <w:color w:val="2E74B5" w:themeColor="accent1" w:themeShade="BF"/>
          <w:sz w:val="16"/>
          <w:szCs w:val="16"/>
        </w:rPr>
        <w:t>(Valores expressos em reais)</w:t>
      </w:r>
    </w:p>
    <w:p w14:paraId="39C86AD1" w14:textId="77777777" w:rsidR="00C241BA" w:rsidRDefault="00C241BA" w:rsidP="00C241BA">
      <w:pPr>
        <w:spacing w:after="0" w:line="240" w:lineRule="auto"/>
        <w:rPr>
          <w:rFonts w:ascii="Calibri" w:eastAsia="Times New Roman" w:hAnsi="Calibri" w:cs="Calibri"/>
          <w:i/>
          <w:iCs/>
          <w:color w:val="2F75B5"/>
          <w:sz w:val="16"/>
          <w:szCs w:val="16"/>
        </w:rPr>
      </w:pPr>
    </w:p>
    <w:tbl>
      <w:tblPr>
        <w:tblW w:w="5009" w:type="pct"/>
        <w:tblLayout w:type="fixed"/>
        <w:tblCellMar>
          <w:left w:w="70" w:type="dxa"/>
          <w:right w:w="70" w:type="dxa"/>
        </w:tblCellMar>
        <w:tblLook w:val="04A0" w:firstRow="1" w:lastRow="0" w:firstColumn="1" w:lastColumn="0" w:noHBand="0" w:noVBand="1"/>
      </w:tblPr>
      <w:tblGrid>
        <w:gridCol w:w="161"/>
        <w:gridCol w:w="161"/>
        <w:gridCol w:w="3660"/>
        <w:gridCol w:w="774"/>
        <w:gridCol w:w="1426"/>
        <w:gridCol w:w="1530"/>
        <w:gridCol w:w="225"/>
        <w:gridCol w:w="194"/>
        <w:gridCol w:w="176"/>
        <w:gridCol w:w="3533"/>
        <w:gridCol w:w="774"/>
        <w:gridCol w:w="1413"/>
        <w:gridCol w:w="1401"/>
      </w:tblGrid>
      <w:tr w:rsidR="00B72483" w:rsidRPr="00B72483" w14:paraId="5A875CE5" w14:textId="77777777" w:rsidTr="00143F6B">
        <w:trPr>
          <w:trHeight w:val="227"/>
        </w:trPr>
        <w:tc>
          <w:tcPr>
            <w:tcW w:w="1289" w:type="pct"/>
            <w:gridSpan w:val="3"/>
            <w:tcBorders>
              <w:top w:val="nil"/>
              <w:left w:val="nil"/>
              <w:bottom w:val="single" w:sz="4" w:space="0" w:color="156082"/>
              <w:right w:val="nil"/>
            </w:tcBorders>
            <w:shd w:val="clear" w:color="auto" w:fill="auto"/>
            <w:noWrap/>
            <w:vAlign w:val="bottom"/>
            <w:hideMark/>
          </w:tcPr>
          <w:p w14:paraId="07ADE360"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ATIVO</w:t>
            </w:r>
          </w:p>
        </w:tc>
        <w:tc>
          <w:tcPr>
            <w:tcW w:w="251" w:type="pct"/>
            <w:tcBorders>
              <w:top w:val="nil"/>
              <w:left w:val="nil"/>
              <w:bottom w:val="single" w:sz="4" w:space="0" w:color="156082"/>
              <w:right w:val="nil"/>
            </w:tcBorders>
            <w:shd w:val="clear" w:color="auto" w:fill="auto"/>
            <w:noWrap/>
            <w:vAlign w:val="bottom"/>
            <w:hideMark/>
          </w:tcPr>
          <w:p w14:paraId="34F8906C" w14:textId="77777777" w:rsidR="00B72483" w:rsidRPr="00B72483" w:rsidRDefault="00B72483" w:rsidP="00B72483">
            <w:pPr>
              <w:spacing w:after="0" w:line="240" w:lineRule="auto"/>
              <w:jc w:val="center"/>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Nota</w:t>
            </w:r>
          </w:p>
        </w:tc>
        <w:tc>
          <w:tcPr>
            <w:tcW w:w="462" w:type="pct"/>
            <w:tcBorders>
              <w:top w:val="nil"/>
              <w:left w:val="nil"/>
              <w:bottom w:val="single" w:sz="4" w:space="0" w:color="156082"/>
              <w:right w:val="nil"/>
            </w:tcBorders>
            <w:shd w:val="clear" w:color="auto" w:fill="auto"/>
            <w:noWrap/>
            <w:vAlign w:val="bottom"/>
            <w:hideMark/>
          </w:tcPr>
          <w:p w14:paraId="3EC96211"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31/03/2024</w:t>
            </w:r>
          </w:p>
        </w:tc>
        <w:tc>
          <w:tcPr>
            <w:tcW w:w="496" w:type="pct"/>
            <w:tcBorders>
              <w:top w:val="nil"/>
              <w:left w:val="nil"/>
              <w:bottom w:val="single" w:sz="4" w:space="0" w:color="156082"/>
              <w:right w:val="nil"/>
            </w:tcBorders>
            <w:shd w:val="clear" w:color="auto" w:fill="auto"/>
            <w:noWrap/>
            <w:vAlign w:val="bottom"/>
            <w:hideMark/>
          </w:tcPr>
          <w:p w14:paraId="4EC3F00E"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31/12/2023</w:t>
            </w:r>
          </w:p>
        </w:tc>
        <w:tc>
          <w:tcPr>
            <w:tcW w:w="73" w:type="pct"/>
            <w:tcBorders>
              <w:top w:val="nil"/>
              <w:left w:val="nil"/>
              <w:bottom w:val="single" w:sz="4" w:space="0" w:color="156082"/>
              <w:right w:val="nil"/>
            </w:tcBorders>
            <w:shd w:val="clear" w:color="auto" w:fill="auto"/>
            <w:noWrap/>
            <w:vAlign w:val="center"/>
            <w:hideMark/>
          </w:tcPr>
          <w:p w14:paraId="4DDD26A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63" w:type="pct"/>
            <w:tcBorders>
              <w:top w:val="nil"/>
              <w:left w:val="nil"/>
              <w:bottom w:val="single" w:sz="4" w:space="0" w:color="156082"/>
              <w:right w:val="nil"/>
            </w:tcBorders>
            <w:shd w:val="clear" w:color="auto" w:fill="auto"/>
            <w:noWrap/>
            <w:vAlign w:val="center"/>
            <w:hideMark/>
          </w:tcPr>
          <w:p w14:paraId="3821694E"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202" w:type="pct"/>
            <w:gridSpan w:val="2"/>
            <w:tcBorders>
              <w:top w:val="nil"/>
              <w:left w:val="nil"/>
              <w:bottom w:val="single" w:sz="4" w:space="0" w:color="156082"/>
              <w:right w:val="nil"/>
            </w:tcBorders>
            <w:shd w:val="clear" w:color="auto" w:fill="auto"/>
            <w:noWrap/>
            <w:vAlign w:val="bottom"/>
            <w:hideMark/>
          </w:tcPr>
          <w:p w14:paraId="74D1A07C"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PASSIVO E PATRIMÔNIO LÍQUIDO</w:t>
            </w:r>
          </w:p>
        </w:tc>
        <w:tc>
          <w:tcPr>
            <w:tcW w:w="251" w:type="pct"/>
            <w:tcBorders>
              <w:top w:val="nil"/>
              <w:left w:val="nil"/>
              <w:bottom w:val="single" w:sz="4" w:space="0" w:color="156082"/>
              <w:right w:val="nil"/>
            </w:tcBorders>
            <w:shd w:val="clear" w:color="auto" w:fill="auto"/>
            <w:noWrap/>
            <w:vAlign w:val="bottom"/>
            <w:hideMark/>
          </w:tcPr>
          <w:p w14:paraId="2906BC5E" w14:textId="77777777" w:rsidR="00B72483" w:rsidRPr="00B72483" w:rsidRDefault="00B72483" w:rsidP="00B72483">
            <w:pPr>
              <w:spacing w:after="0" w:line="240" w:lineRule="auto"/>
              <w:jc w:val="center"/>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Nota</w:t>
            </w:r>
          </w:p>
        </w:tc>
        <w:tc>
          <w:tcPr>
            <w:tcW w:w="458" w:type="pct"/>
            <w:tcBorders>
              <w:top w:val="nil"/>
              <w:left w:val="nil"/>
              <w:bottom w:val="single" w:sz="4" w:space="0" w:color="156082"/>
              <w:right w:val="nil"/>
            </w:tcBorders>
            <w:shd w:val="clear" w:color="auto" w:fill="auto"/>
            <w:noWrap/>
            <w:vAlign w:val="bottom"/>
            <w:hideMark/>
          </w:tcPr>
          <w:p w14:paraId="02753DCA"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31/03/2024</w:t>
            </w:r>
          </w:p>
        </w:tc>
        <w:tc>
          <w:tcPr>
            <w:tcW w:w="454" w:type="pct"/>
            <w:tcBorders>
              <w:top w:val="nil"/>
              <w:left w:val="nil"/>
              <w:bottom w:val="single" w:sz="4" w:space="0" w:color="156082"/>
              <w:right w:val="nil"/>
            </w:tcBorders>
            <w:shd w:val="clear" w:color="auto" w:fill="auto"/>
            <w:noWrap/>
            <w:vAlign w:val="bottom"/>
            <w:hideMark/>
          </w:tcPr>
          <w:p w14:paraId="66D0277A"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31/12/2023</w:t>
            </w:r>
          </w:p>
        </w:tc>
      </w:tr>
      <w:tr w:rsidR="00B72483" w:rsidRPr="00B72483" w14:paraId="6324968F" w14:textId="77777777" w:rsidTr="00143F6B">
        <w:trPr>
          <w:trHeight w:val="227"/>
        </w:trPr>
        <w:tc>
          <w:tcPr>
            <w:tcW w:w="52" w:type="pct"/>
            <w:tcBorders>
              <w:top w:val="nil"/>
              <w:left w:val="nil"/>
              <w:bottom w:val="nil"/>
              <w:right w:val="nil"/>
            </w:tcBorders>
            <w:shd w:val="clear" w:color="auto" w:fill="auto"/>
            <w:noWrap/>
            <w:vAlign w:val="bottom"/>
            <w:hideMark/>
          </w:tcPr>
          <w:p w14:paraId="1603AB6A"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52" w:type="pct"/>
            <w:tcBorders>
              <w:top w:val="nil"/>
              <w:left w:val="nil"/>
              <w:bottom w:val="nil"/>
              <w:right w:val="nil"/>
            </w:tcBorders>
            <w:shd w:val="clear" w:color="auto" w:fill="auto"/>
            <w:noWrap/>
            <w:vAlign w:val="bottom"/>
            <w:hideMark/>
          </w:tcPr>
          <w:p w14:paraId="25D3BC67"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46EF8C6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center"/>
            <w:hideMark/>
          </w:tcPr>
          <w:p w14:paraId="6EEAA5E8"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62" w:type="pct"/>
            <w:tcBorders>
              <w:top w:val="nil"/>
              <w:left w:val="nil"/>
              <w:bottom w:val="nil"/>
              <w:right w:val="nil"/>
            </w:tcBorders>
            <w:shd w:val="clear" w:color="auto" w:fill="auto"/>
            <w:noWrap/>
            <w:vAlign w:val="center"/>
            <w:hideMark/>
          </w:tcPr>
          <w:p w14:paraId="3AEBA899"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96" w:type="pct"/>
            <w:tcBorders>
              <w:top w:val="nil"/>
              <w:left w:val="nil"/>
              <w:bottom w:val="nil"/>
              <w:right w:val="nil"/>
            </w:tcBorders>
            <w:shd w:val="clear" w:color="auto" w:fill="auto"/>
            <w:noWrap/>
            <w:vAlign w:val="center"/>
            <w:hideMark/>
          </w:tcPr>
          <w:p w14:paraId="7DAFBE09"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73" w:type="pct"/>
            <w:tcBorders>
              <w:top w:val="nil"/>
              <w:left w:val="nil"/>
              <w:bottom w:val="nil"/>
              <w:right w:val="nil"/>
            </w:tcBorders>
            <w:shd w:val="clear" w:color="auto" w:fill="auto"/>
            <w:noWrap/>
            <w:vAlign w:val="center"/>
            <w:hideMark/>
          </w:tcPr>
          <w:p w14:paraId="5A1A51E9"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63" w:type="pct"/>
            <w:tcBorders>
              <w:top w:val="nil"/>
              <w:left w:val="single" w:sz="4" w:space="0" w:color="156082"/>
              <w:bottom w:val="nil"/>
              <w:right w:val="nil"/>
            </w:tcBorders>
            <w:shd w:val="clear" w:color="auto" w:fill="auto"/>
            <w:noWrap/>
            <w:vAlign w:val="center"/>
            <w:hideMark/>
          </w:tcPr>
          <w:p w14:paraId="3EC52E3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D89B96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145" w:type="pct"/>
            <w:tcBorders>
              <w:top w:val="nil"/>
              <w:left w:val="nil"/>
              <w:bottom w:val="nil"/>
              <w:right w:val="nil"/>
            </w:tcBorders>
            <w:shd w:val="clear" w:color="auto" w:fill="auto"/>
            <w:noWrap/>
            <w:vAlign w:val="bottom"/>
            <w:hideMark/>
          </w:tcPr>
          <w:p w14:paraId="179AC00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251" w:type="pct"/>
            <w:tcBorders>
              <w:top w:val="nil"/>
              <w:left w:val="nil"/>
              <w:bottom w:val="nil"/>
              <w:right w:val="nil"/>
            </w:tcBorders>
            <w:shd w:val="clear" w:color="auto" w:fill="auto"/>
            <w:noWrap/>
            <w:vAlign w:val="center"/>
            <w:hideMark/>
          </w:tcPr>
          <w:p w14:paraId="26C64A1A"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58" w:type="pct"/>
            <w:tcBorders>
              <w:top w:val="nil"/>
              <w:left w:val="nil"/>
              <w:bottom w:val="nil"/>
              <w:right w:val="nil"/>
            </w:tcBorders>
            <w:shd w:val="clear" w:color="auto" w:fill="auto"/>
            <w:noWrap/>
            <w:vAlign w:val="center"/>
            <w:hideMark/>
          </w:tcPr>
          <w:p w14:paraId="201594B3"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center"/>
            <w:hideMark/>
          </w:tcPr>
          <w:p w14:paraId="76F654EA" w14:textId="77777777" w:rsidR="00B72483" w:rsidRPr="00B72483" w:rsidRDefault="00B72483" w:rsidP="00B72483">
            <w:pPr>
              <w:spacing w:after="0" w:line="240" w:lineRule="auto"/>
              <w:rPr>
                <w:rFonts w:ascii="Times New Roman" w:eastAsia="Times New Roman" w:hAnsi="Times New Roman" w:cs="Times New Roman"/>
                <w:sz w:val="20"/>
                <w:szCs w:val="20"/>
              </w:rPr>
            </w:pPr>
          </w:p>
        </w:tc>
      </w:tr>
      <w:tr w:rsidR="00B72483" w:rsidRPr="00B72483" w14:paraId="33D796E0" w14:textId="77777777" w:rsidTr="00143F6B">
        <w:trPr>
          <w:trHeight w:val="227"/>
        </w:trPr>
        <w:tc>
          <w:tcPr>
            <w:tcW w:w="1289" w:type="pct"/>
            <w:gridSpan w:val="3"/>
            <w:tcBorders>
              <w:top w:val="nil"/>
              <w:left w:val="nil"/>
              <w:bottom w:val="nil"/>
              <w:right w:val="nil"/>
            </w:tcBorders>
            <w:shd w:val="clear" w:color="auto" w:fill="auto"/>
            <w:noWrap/>
            <w:vAlign w:val="bottom"/>
            <w:hideMark/>
          </w:tcPr>
          <w:p w14:paraId="0DB0C80A"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ATIVO CIRCULANTE</w:t>
            </w:r>
          </w:p>
        </w:tc>
        <w:tc>
          <w:tcPr>
            <w:tcW w:w="251" w:type="pct"/>
            <w:tcBorders>
              <w:top w:val="nil"/>
              <w:left w:val="nil"/>
              <w:bottom w:val="nil"/>
              <w:right w:val="nil"/>
            </w:tcBorders>
            <w:shd w:val="clear" w:color="auto" w:fill="auto"/>
            <w:noWrap/>
            <w:vAlign w:val="bottom"/>
            <w:hideMark/>
          </w:tcPr>
          <w:p w14:paraId="51F6E42D"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62" w:type="pct"/>
            <w:tcBorders>
              <w:top w:val="nil"/>
              <w:left w:val="nil"/>
              <w:bottom w:val="nil"/>
              <w:right w:val="nil"/>
            </w:tcBorders>
            <w:shd w:val="clear" w:color="auto" w:fill="auto"/>
            <w:noWrap/>
            <w:vAlign w:val="center"/>
            <w:hideMark/>
          </w:tcPr>
          <w:p w14:paraId="079C6333" w14:textId="319C1B08"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203.808.67</w:t>
            </w:r>
            <w:r w:rsidR="00E60E22">
              <w:rPr>
                <w:rFonts w:ascii="Calibri" w:eastAsia="Times New Roman" w:hAnsi="Calibri" w:cs="Calibri"/>
                <w:b/>
                <w:bCs/>
                <w:color w:val="000000"/>
                <w:sz w:val="16"/>
                <w:szCs w:val="16"/>
              </w:rPr>
              <w:t>0</w:t>
            </w:r>
            <w:r w:rsidRPr="00B72483">
              <w:rPr>
                <w:rFonts w:ascii="Calibri" w:eastAsia="Times New Roman" w:hAnsi="Calibri" w:cs="Calibri"/>
                <w:b/>
                <w:bCs/>
                <w:color w:val="000000"/>
                <w:sz w:val="16"/>
                <w:szCs w:val="16"/>
              </w:rPr>
              <w:t xml:space="preserve"> </w:t>
            </w:r>
          </w:p>
        </w:tc>
        <w:tc>
          <w:tcPr>
            <w:tcW w:w="496" w:type="pct"/>
            <w:tcBorders>
              <w:top w:val="nil"/>
              <w:left w:val="nil"/>
              <w:bottom w:val="nil"/>
              <w:right w:val="nil"/>
            </w:tcBorders>
            <w:shd w:val="clear" w:color="auto" w:fill="auto"/>
            <w:noWrap/>
            <w:vAlign w:val="center"/>
            <w:hideMark/>
          </w:tcPr>
          <w:p w14:paraId="15964EA2" w14:textId="0762E158"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188.144.768 </w:t>
            </w:r>
          </w:p>
        </w:tc>
        <w:tc>
          <w:tcPr>
            <w:tcW w:w="73" w:type="pct"/>
            <w:tcBorders>
              <w:top w:val="nil"/>
              <w:left w:val="nil"/>
              <w:bottom w:val="nil"/>
              <w:right w:val="nil"/>
            </w:tcBorders>
            <w:shd w:val="clear" w:color="auto" w:fill="auto"/>
            <w:noWrap/>
            <w:vAlign w:val="center"/>
            <w:hideMark/>
          </w:tcPr>
          <w:p w14:paraId="42534BAF"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108B4035"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202" w:type="pct"/>
            <w:gridSpan w:val="2"/>
            <w:tcBorders>
              <w:top w:val="nil"/>
              <w:left w:val="nil"/>
              <w:bottom w:val="nil"/>
              <w:right w:val="nil"/>
            </w:tcBorders>
            <w:shd w:val="clear" w:color="auto" w:fill="auto"/>
            <w:noWrap/>
            <w:vAlign w:val="bottom"/>
            <w:hideMark/>
          </w:tcPr>
          <w:p w14:paraId="492AFD9B"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PASSIVO CIRCULANTE</w:t>
            </w:r>
          </w:p>
        </w:tc>
        <w:tc>
          <w:tcPr>
            <w:tcW w:w="251" w:type="pct"/>
            <w:tcBorders>
              <w:top w:val="nil"/>
              <w:left w:val="nil"/>
              <w:bottom w:val="nil"/>
              <w:right w:val="nil"/>
            </w:tcBorders>
            <w:shd w:val="clear" w:color="auto" w:fill="auto"/>
            <w:noWrap/>
            <w:vAlign w:val="center"/>
            <w:hideMark/>
          </w:tcPr>
          <w:p w14:paraId="115000AC"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58" w:type="pct"/>
            <w:tcBorders>
              <w:top w:val="nil"/>
              <w:left w:val="nil"/>
              <w:bottom w:val="nil"/>
              <w:right w:val="nil"/>
            </w:tcBorders>
            <w:shd w:val="clear" w:color="auto" w:fill="auto"/>
            <w:noWrap/>
            <w:vAlign w:val="center"/>
            <w:hideMark/>
          </w:tcPr>
          <w:p w14:paraId="45368666" w14:textId="1C9562FD"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171.781.11</w:t>
            </w:r>
            <w:r w:rsidR="00237CA9">
              <w:rPr>
                <w:rFonts w:ascii="Calibri" w:eastAsia="Times New Roman" w:hAnsi="Calibri" w:cs="Calibri"/>
                <w:b/>
                <w:bCs/>
                <w:color w:val="000000"/>
                <w:sz w:val="16"/>
                <w:szCs w:val="16"/>
              </w:rPr>
              <w:t>8</w:t>
            </w:r>
            <w:r w:rsidRPr="00B72483">
              <w:rPr>
                <w:rFonts w:ascii="Calibri" w:eastAsia="Times New Roman" w:hAnsi="Calibri" w:cs="Calibri"/>
                <w:b/>
                <w:bCs/>
                <w:color w:val="000000"/>
                <w:sz w:val="16"/>
                <w:szCs w:val="16"/>
              </w:rPr>
              <w:t xml:space="preserve"> </w:t>
            </w:r>
          </w:p>
        </w:tc>
        <w:tc>
          <w:tcPr>
            <w:tcW w:w="454" w:type="pct"/>
            <w:tcBorders>
              <w:top w:val="nil"/>
              <w:left w:val="nil"/>
              <w:bottom w:val="nil"/>
              <w:right w:val="nil"/>
            </w:tcBorders>
            <w:shd w:val="clear" w:color="auto" w:fill="auto"/>
            <w:noWrap/>
            <w:vAlign w:val="center"/>
            <w:hideMark/>
          </w:tcPr>
          <w:p w14:paraId="57CECE92" w14:textId="5670576F"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173.259.102 </w:t>
            </w:r>
          </w:p>
        </w:tc>
      </w:tr>
      <w:tr w:rsidR="00B72483" w:rsidRPr="00B72483" w14:paraId="6A27B459" w14:textId="77777777" w:rsidTr="00143F6B">
        <w:trPr>
          <w:trHeight w:val="227"/>
        </w:trPr>
        <w:tc>
          <w:tcPr>
            <w:tcW w:w="52" w:type="pct"/>
            <w:tcBorders>
              <w:top w:val="nil"/>
              <w:left w:val="nil"/>
              <w:bottom w:val="nil"/>
              <w:right w:val="nil"/>
            </w:tcBorders>
            <w:shd w:val="clear" w:color="auto" w:fill="auto"/>
            <w:noWrap/>
            <w:vAlign w:val="bottom"/>
            <w:hideMark/>
          </w:tcPr>
          <w:p w14:paraId="70C3CF10"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52" w:type="pct"/>
            <w:tcBorders>
              <w:top w:val="nil"/>
              <w:left w:val="nil"/>
              <w:bottom w:val="nil"/>
              <w:right w:val="nil"/>
            </w:tcBorders>
            <w:shd w:val="clear" w:color="auto" w:fill="auto"/>
            <w:noWrap/>
            <w:vAlign w:val="bottom"/>
            <w:hideMark/>
          </w:tcPr>
          <w:p w14:paraId="22EB81C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3FDEE84B"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Caixa e Equivalentes de Caixa</w:t>
            </w:r>
          </w:p>
        </w:tc>
        <w:tc>
          <w:tcPr>
            <w:tcW w:w="251" w:type="pct"/>
            <w:tcBorders>
              <w:top w:val="nil"/>
              <w:left w:val="nil"/>
              <w:bottom w:val="nil"/>
              <w:right w:val="nil"/>
            </w:tcBorders>
            <w:shd w:val="clear" w:color="auto" w:fill="auto"/>
            <w:noWrap/>
            <w:vAlign w:val="bottom"/>
            <w:hideMark/>
          </w:tcPr>
          <w:p w14:paraId="65824AC7"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3 </w:t>
            </w:r>
          </w:p>
        </w:tc>
        <w:tc>
          <w:tcPr>
            <w:tcW w:w="462" w:type="pct"/>
            <w:tcBorders>
              <w:top w:val="nil"/>
              <w:left w:val="nil"/>
              <w:bottom w:val="nil"/>
              <w:right w:val="nil"/>
            </w:tcBorders>
            <w:shd w:val="clear" w:color="auto" w:fill="auto"/>
            <w:noWrap/>
            <w:vAlign w:val="bottom"/>
            <w:hideMark/>
          </w:tcPr>
          <w:p w14:paraId="527BA3B6" w14:textId="4D54683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130.290.917 </w:t>
            </w:r>
          </w:p>
        </w:tc>
        <w:tc>
          <w:tcPr>
            <w:tcW w:w="496" w:type="pct"/>
            <w:tcBorders>
              <w:top w:val="nil"/>
              <w:left w:val="nil"/>
              <w:bottom w:val="nil"/>
              <w:right w:val="nil"/>
            </w:tcBorders>
            <w:shd w:val="clear" w:color="auto" w:fill="auto"/>
            <w:noWrap/>
            <w:vAlign w:val="bottom"/>
            <w:hideMark/>
          </w:tcPr>
          <w:p w14:paraId="6C445AC6" w14:textId="7E326229"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125.377.874 </w:t>
            </w:r>
          </w:p>
        </w:tc>
        <w:tc>
          <w:tcPr>
            <w:tcW w:w="73" w:type="pct"/>
            <w:tcBorders>
              <w:top w:val="nil"/>
              <w:left w:val="nil"/>
              <w:bottom w:val="nil"/>
              <w:right w:val="nil"/>
            </w:tcBorders>
            <w:shd w:val="clear" w:color="auto" w:fill="auto"/>
            <w:noWrap/>
            <w:vAlign w:val="center"/>
            <w:hideMark/>
          </w:tcPr>
          <w:p w14:paraId="155B6015"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6D81CCB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7983099"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148D316E"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Fornecedores</w:t>
            </w:r>
          </w:p>
        </w:tc>
        <w:tc>
          <w:tcPr>
            <w:tcW w:w="251" w:type="pct"/>
            <w:tcBorders>
              <w:top w:val="nil"/>
              <w:left w:val="nil"/>
              <w:bottom w:val="nil"/>
              <w:right w:val="nil"/>
            </w:tcBorders>
            <w:shd w:val="clear" w:color="auto" w:fill="auto"/>
            <w:noWrap/>
            <w:vAlign w:val="bottom"/>
            <w:hideMark/>
          </w:tcPr>
          <w:p w14:paraId="07AE0642"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15 </w:t>
            </w:r>
          </w:p>
        </w:tc>
        <w:tc>
          <w:tcPr>
            <w:tcW w:w="458" w:type="pct"/>
            <w:tcBorders>
              <w:top w:val="nil"/>
              <w:left w:val="nil"/>
              <w:bottom w:val="nil"/>
              <w:right w:val="nil"/>
            </w:tcBorders>
            <w:shd w:val="clear" w:color="auto" w:fill="auto"/>
            <w:noWrap/>
            <w:vAlign w:val="bottom"/>
            <w:hideMark/>
          </w:tcPr>
          <w:p w14:paraId="3A32B56B" w14:textId="4D32B8B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1.265.795 </w:t>
            </w:r>
          </w:p>
        </w:tc>
        <w:tc>
          <w:tcPr>
            <w:tcW w:w="454" w:type="pct"/>
            <w:tcBorders>
              <w:top w:val="nil"/>
              <w:left w:val="nil"/>
              <w:bottom w:val="nil"/>
              <w:right w:val="nil"/>
            </w:tcBorders>
            <w:shd w:val="clear" w:color="auto" w:fill="auto"/>
            <w:noWrap/>
            <w:vAlign w:val="bottom"/>
            <w:hideMark/>
          </w:tcPr>
          <w:p w14:paraId="4666A07D" w14:textId="4B7F98A4"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62.283 </w:t>
            </w:r>
          </w:p>
        </w:tc>
      </w:tr>
      <w:tr w:rsidR="00B72483" w:rsidRPr="00B72483" w14:paraId="3A660F99" w14:textId="77777777" w:rsidTr="00143F6B">
        <w:trPr>
          <w:trHeight w:val="227"/>
        </w:trPr>
        <w:tc>
          <w:tcPr>
            <w:tcW w:w="52" w:type="pct"/>
            <w:tcBorders>
              <w:top w:val="nil"/>
              <w:left w:val="nil"/>
              <w:bottom w:val="nil"/>
              <w:right w:val="nil"/>
            </w:tcBorders>
            <w:shd w:val="clear" w:color="auto" w:fill="auto"/>
            <w:noWrap/>
            <w:vAlign w:val="bottom"/>
            <w:hideMark/>
          </w:tcPr>
          <w:p w14:paraId="103EAB7A"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4F45256F"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2ABA036B"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Permissões para Uso de Pátios</w:t>
            </w:r>
          </w:p>
        </w:tc>
        <w:tc>
          <w:tcPr>
            <w:tcW w:w="251" w:type="pct"/>
            <w:tcBorders>
              <w:top w:val="nil"/>
              <w:left w:val="nil"/>
              <w:bottom w:val="nil"/>
              <w:right w:val="nil"/>
            </w:tcBorders>
            <w:shd w:val="clear" w:color="auto" w:fill="auto"/>
            <w:noWrap/>
            <w:vAlign w:val="bottom"/>
            <w:hideMark/>
          </w:tcPr>
          <w:p w14:paraId="3D21EF85"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4 </w:t>
            </w:r>
          </w:p>
        </w:tc>
        <w:tc>
          <w:tcPr>
            <w:tcW w:w="462" w:type="pct"/>
            <w:tcBorders>
              <w:top w:val="nil"/>
              <w:left w:val="nil"/>
              <w:bottom w:val="nil"/>
              <w:right w:val="nil"/>
            </w:tcBorders>
            <w:shd w:val="clear" w:color="auto" w:fill="auto"/>
            <w:noWrap/>
            <w:vAlign w:val="bottom"/>
            <w:hideMark/>
          </w:tcPr>
          <w:p w14:paraId="59EE9E60" w14:textId="580906B5"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4.448.226 </w:t>
            </w:r>
          </w:p>
        </w:tc>
        <w:tc>
          <w:tcPr>
            <w:tcW w:w="496" w:type="pct"/>
            <w:tcBorders>
              <w:top w:val="nil"/>
              <w:left w:val="nil"/>
              <w:bottom w:val="nil"/>
              <w:right w:val="nil"/>
            </w:tcBorders>
            <w:shd w:val="clear" w:color="auto" w:fill="auto"/>
            <w:noWrap/>
            <w:vAlign w:val="bottom"/>
            <w:hideMark/>
          </w:tcPr>
          <w:p w14:paraId="323EB9A5" w14:textId="3A84D8E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4.458.081 </w:t>
            </w:r>
          </w:p>
        </w:tc>
        <w:tc>
          <w:tcPr>
            <w:tcW w:w="73" w:type="pct"/>
            <w:tcBorders>
              <w:top w:val="nil"/>
              <w:left w:val="nil"/>
              <w:bottom w:val="nil"/>
              <w:right w:val="nil"/>
            </w:tcBorders>
            <w:shd w:val="clear" w:color="auto" w:fill="auto"/>
            <w:noWrap/>
            <w:vAlign w:val="center"/>
            <w:hideMark/>
          </w:tcPr>
          <w:p w14:paraId="2B64B095"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50D6FC1A"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62923F38"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1F90360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Obrigações com Pessoal</w:t>
            </w:r>
          </w:p>
        </w:tc>
        <w:tc>
          <w:tcPr>
            <w:tcW w:w="251" w:type="pct"/>
            <w:tcBorders>
              <w:top w:val="nil"/>
              <w:left w:val="nil"/>
              <w:bottom w:val="nil"/>
              <w:right w:val="nil"/>
            </w:tcBorders>
            <w:shd w:val="clear" w:color="auto" w:fill="auto"/>
            <w:noWrap/>
            <w:vAlign w:val="bottom"/>
            <w:hideMark/>
          </w:tcPr>
          <w:p w14:paraId="7A74F5CA"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16 </w:t>
            </w:r>
          </w:p>
        </w:tc>
        <w:tc>
          <w:tcPr>
            <w:tcW w:w="458" w:type="pct"/>
            <w:tcBorders>
              <w:top w:val="nil"/>
              <w:left w:val="nil"/>
              <w:bottom w:val="nil"/>
              <w:right w:val="nil"/>
            </w:tcBorders>
            <w:shd w:val="clear" w:color="auto" w:fill="auto"/>
            <w:noWrap/>
            <w:vAlign w:val="bottom"/>
            <w:hideMark/>
          </w:tcPr>
          <w:p w14:paraId="74064B61" w14:textId="187B7463"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24.023.373 </w:t>
            </w:r>
          </w:p>
        </w:tc>
        <w:tc>
          <w:tcPr>
            <w:tcW w:w="454" w:type="pct"/>
            <w:tcBorders>
              <w:top w:val="nil"/>
              <w:left w:val="nil"/>
              <w:bottom w:val="nil"/>
              <w:right w:val="nil"/>
            </w:tcBorders>
            <w:shd w:val="clear" w:color="auto" w:fill="auto"/>
            <w:noWrap/>
            <w:vAlign w:val="bottom"/>
            <w:hideMark/>
          </w:tcPr>
          <w:p w14:paraId="3086B1F7" w14:textId="468689FF"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22.222.632 </w:t>
            </w:r>
          </w:p>
        </w:tc>
      </w:tr>
      <w:tr w:rsidR="00B72483" w:rsidRPr="00B72483" w14:paraId="765C4850" w14:textId="77777777" w:rsidTr="00143F6B">
        <w:trPr>
          <w:trHeight w:val="227"/>
        </w:trPr>
        <w:tc>
          <w:tcPr>
            <w:tcW w:w="52" w:type="pct"/>
            <w:tcBorders>
              <w:top w:val="nil"/>
              <w:left w:val="nil"/>
              <w:bottom w:val="nil"/>
              <w:right w:val="nil"/>
            </w:tcBorders>
            <w:shd w:val="clear" w:color="auto" w:fill="auto"/>
            <w:noWrap/>
            <w:vAlign w:val="bottom"/>
            <w:hideMark/>
          </w:tcPr>
          <w:p w14:paraId="78712344"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2762DADF"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1673578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Adiantamentos Concedidos</w:t>
            </w:r>
          </w:p>
        </w:tc>
        <w:tc>
          <w:tcPr>
            <w:tcW w:w="251" w:type="pct"/>
            <w:tcBorders>
              <w:top w:val="nil"/>
              <w:left w:val="nil"/>
              <w:bottom w:val="nil"/>
              <w:right w:val="nil"/>
            </w:tcBorders>
            <w:shd w:val="clear" w:color="auto" w:fill="auto"/>
            <w:noWrap/>
            <w:vAlign w:val="bottom"/>
            <w:hideMark/>
          </w:tcPr>
          <w:p w14:paraId="61F1D0EC"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5 </w:t>
            </w:r>
          </w:p>
        </w:tc>
        <w:tc>
          <w:tcPr>
            <w:tcW w:w="462" w:type="pct"/>
            <w:tcBorders>
              <w:top w:val="nil"/>
              <w:left w:val="nil"/>
              <w:bottom w:val="nil"/>
              <w:right w:val="nil"/>
            </w:tcBorders>
            <w:shd w:val="clear" w:color="auto" w:fill="auto"/>
            <w:noWrap/>
            <w:vAlign w:val="bottom"/>
            <w:hideMark/>
          </w:tcPr>
          <w:p w14:paraId="14E8E9BE" w14:textId="3FFE065D"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1.383.</w:t>
            </w:r>
            <w:r w:rsidR="00E60E22">
              <w:rPr>
                <w:rFonts w:ascii="Calibri" w:eastAsia="Times New Roman" w:hAnsi="Calibri" w:cs="Calibri"/>
                <w:color w:val="000000"/>
                <w:sz w:val="16"/>
                <w:szCs w:val="16"/>
              </w:rPr>
              <w:t>979</w:t>
            </w:r>
            <w:r w:rsidRPr="00B72483">
              <w:rPr>
                <w:rFonts w:ascii="Calibri" w:eastAsia="Times New Roman" w:hAnsi="Calibri" w:cs="Calibri"/>
                <w:color w:val="000000"/>
                <w:sz w:val="16"/>
                <w:szCs w:val="16"/>
              </w:rPr>
              <w:t xml:space="preserve"> </w:t>
            </w:r>
          </w:p>
        </w:tc>
        <w:tc>
          <w:tcPr>
            <w:tcW w:w="496" w:type="pct"/>
            <w:tcBorders>
              <w:top w:val="nil"/>
              <w:left w:val="nil"/>
              <w:bottom w:val="nil"/>
              <w:right w:val="nil"/>
            </w:tcBorders>
            <w:shd w:val="clear" w:color="auto" w:fill="auto"/>
            <w:noWrap/>
            <w:vAlign w:val="bottom"/>
            <w:hideMark/>
          </w:tcPr>
          <w:p w14:paraId="465BE91A" w14:textId="72BEE41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913.149 </w:t>
            </w:r>
          </w:p>
        </w:tc>
        <w:tc>
          <w:tcPr>
            <w:tcW w:w="73" w:type="pct"/>
            <w:tcBorders>
              <w:top w:val="nil"/>
              <w:left w:val="nil"/>
              <w:bottom w:val="nil"/>
              <w:right w:val="nil"/>
            </w:tcBorders>
            <w:shd w:val="clear" w:color="auto" w:fill="auto"/>
            <w:noWrap/>
            <w:vAlign w:val="center"/>
            <w:hideMark/>
          </w:tcPr>
          <w:p w14:paraId="4F0A646F"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5CBBD5EE"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D0B02F9"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1A7DD96F"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Tributos a Recolher</w:t>
            </w:r>
          </w:p>
        </w:tc>
        <w:tc>
          <w:tcPr>
            <w:tcW w:w="251" w:type="pct"/>
            <w:tcBorders>
              <w:top w:val="nil"/>
              <w:left w:val="nil"/>
              <w:bottom w:val="nil"/>
              <w:right w:val="nil"/>
            </w:tcBorders>
            <w:shd w:val="clear" w:color="auto" w:fill="auto"/>
            <w:noWrap/>
            <w:vAlign w:val="bottom"/>
            <w:hideMark/>
          </w:tcPr>
          <w:p w14:paraId="690B3C08"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17 </w:t>
            </w:r>
          </w:p>
        </w:tc>
        <w:tc>
          <w:tcPr>
            <w:tcW w:w="458" w:type="pct"/>
            <w:tcBorders>
              <w:top w:val="nil"/>
              <w:left w:val="nil"/>
              <w:bottom w:val="nil"/>
              <w:right w:val="nil"/>
            </w:tcBorders>
            <w:shd w:val="clear" w:color="auto" w:fill="auto"/>
            <w:noWrap/>
            <w:vAlign w:val="bottom"/>
            <w:hideMark/>
          </w:tcPr>
          <w:p w14:paraId="6F0AEE66" w14:textId="36A5A138"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3.777.536 </w:t>
            </w:r>
          </w:p>
        </w:tc>
        <w:tc>
          <w:tcPr>
            <w:tcW w:w="454" w:type="pct"/>
            <w:tcBorders>
              <w:top w:val="nil"/>
              <w:left w:val="nil"/>
              <w:bottom w:val="nil"/>
              <w:right w:val="nil"/>
            </w:tcBorders>
            <w:shd w:val="clear" w:color="auto" w:fill="auto"/>
            <w:noWrap/>
            <w:vAlign w:val="bottom"/>
            <w:hideMark/>
          </w:tcPr>
          <w:p w14:paraId="1168A3B0" w14:textId="7607D47F"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5.435.312 </w:t>
            </w:r>
          </w:p>
        </w:tc>
      </w:tr>
      <w:tr w:rsidR="00B72483" w:rsidRPr="00B72483" w14:paraId="6545CCA2" w14:textId="77777777" w:rsidTr="00143F6B">
        <w:trPr>
          <w:trHeight w:val="227"/>
        </w:trPr>
        <w:tc>
          <w:tcPr>
            <w:tcW w:w="52" w:type="pct"/>
            <w:tcBorders>
              <w:top w:val="nil"/>
              <w:left w:val="nil"/>
              <w:bottom w:val="nil"/>
              <w:right w:val="nil"/>
            </w:tcBorders>
            <w:shd w:val="clear" w:color="auto" w:fill="auto"/>
            <w:noWrap/>
            <w:vAlign w:val="bottom"/>
            <w:hideMark/>
          </w:tcPr>
          <w:p w14:paraId="4D4F19CD"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6E9DA74F"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312879B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Créditos Tributários a Compensar</w:t>
            </w:r>
          </w:p>
        </w:tc>
        <w:tc>
          <w:tcPr>
            <w:tcW w:w="251" w:type="pct"/>
            <w:tcBorders>
              <w:top w:val="nil"/>
              <w:left w:val="nil"/>
              <w:bottom w:val="nil"/>
              <w:right w:val="nil"/>
            </w:tcBorders>
            <w:shd w:val="clear" w:color="auto" w:fill="auto"/>
            <w:noWrap/>
            <w:vAlign w:val="bottom"/>
            <w:hideMark/>
          </w:tcPr>
          <w:p w14:paraId="78D2FAD5"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6 </w:t>
            </w:r>
          </w:p>
        </w:tc>
        <w:tc>
          <w:tcPr>
            <w:tcW w:w="462" w:type="pct"/>
            <w:tcBorders>
              <w:top w:val="nil"/>
              <w:left w:val="nil"/>
              <w:bottom w:val="nil"/>
              <w:right w:val="nil"/>
            </w:tcBorders>
            <w:shd w:val="clear" w:color="auto" w:fill="auto"/>
            <w:noWrap/>
            <w:vAlign w:val="bottom"/>
            <w:hideMark/>
          </w:tcPr>
          <w:p w14:paraId="50EDBFE7" w14:textId="0AAC49D6"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72.070 </w:t>
            </w:r>
          </w:p>
        </w:tc>
        <w:tc>
          <w:tcPr>
            <w:tcW w:w="496" w:type="pct"/>
            <w:tcBorders>
              <w:top w:val="nil"/>
              <w:left w:val="nil"/>
              <w:bottom w:val="nil"/>
              <w:right w:val="nil"/>
            </w:tcBorders>
            <w:shd w:val="clear" w:color="auto" w:fill="auto"/>
            <w:noWrap/>
            <w:vAlign w:val="bottom"/>
            <w:hideMark/>
          </w:tcPr>
          <w:p w14:paraId="4BE7EAF1" w14:textId="7B039725"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111.845 </w:t>
            </w:r>
          </w:p>
        </w:tc>
        <w:tc>
          <w:tcPr>
            <w:tcW w:w="73" w:type="pct"/>
            <w:tcBorders>
              <w:top w:val="nil"/>
              <w:left w:val="nil"/>
              <w:bottom w:val="nil"/>
              <w:right w:val="nil"/>
            </w:tcBorders>
            <w:shd w:val="clear" w:color="auto" w:fill="auto"/>
            <w:noWrap/>
            <w:vAlign w:val="center"/>
            <w:hideMark/>
          </w:tcPr>
          <w:p w14:paraId="1B2CFA37"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2787E19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2E5BD30"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6297ACC8"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Receita a Diferir – Pátios e Terminais</w:t>
            </w:r>
          </w:p>
        </w:tc>
        <w:tc>
          <w:tcPr>
            <w:tcW w:w="251" w:type="pct"/>
            <w:tcBorders>
              <w:top w:val="nil"/>
              <w:left w:val="nil"/>
              <w:bottom w:val="nil"/>
              <w:right w:val="nil"/>
            </w:tcBorders>
            <w:shd w:val="clear" w:color="auto" w:fill="auto"/>
            <w:noWrap/>
            <w:vAlign w:val="bottom"/>
            <w:hideMark/>
          </w:tcPr>
          <w:p w14:paraId="6FCC6665"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18 </w:t>
            </w:r>
          </w:p>
        </w:tc>
        <w:tc>
          <w:tcPr>
            <w:tcW w:w="458" w:type="pct"/>
            <w:tcBorders>
              <w:top w:val="nil"/>
              <w:left w:val="nil"/>
              <w:bottom w:val="nil"/>
              <w:right w:val="nil"/>
            </w:tcBorders>
            <w:shd w:val="clear" w:color="auto" w:fill="auto"/>
            <w:noWrap/>
            <w:vAlign w:val="bottom"/>
            <w:hideMark/>
          </w:tcPr>
          <w:p w14:paraId="0F81268F" w14:textId="6A0728E2"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4.284.558 </w:t>
            </w:r>
          </w:p>
        </w:tc>
        <w:tc>
          <w:tcPr>
            <w:tcW w:w="454" w:type="pct"/>
            <w:tcBorders>
              <w:top w:val="nil"/>
              <w:left w:val="nil"/>
              <w:bottom w:val="nil"/>
              <w:right w:val="nil"/>
            </w:tcBorders>
            <w:shd w:val="clear" w:color="auto" w:fill="auto"/>
            <w:noWrap/>
            <w:vAlign w:val="bottom"/>
            <w:hideMark/>
          </w:tcPr>
          <w:p w14:paraId="68B0E4C8" w14:textId="199F451C"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4.119.960 </w:t>
            </w:r>
          </w:p>
        </w:tc>
      </w:tr>
      <w:tr w:rsidR="00B72483" w:rsidRPr="00B72483" w14:paraId="5C62AA21" w14:textId="77777777" w:rsidTr="00143F6B">
        <w:trPr>
          <w:trHeight w:val="227"/>
        </w:trPr>
        <w:tc>
          <w:tcPr>
            <w:tcW w:w="52" w:type="pct"/>
            <w:tcBorders>
              <w:top w:val="nil"/>
              <w:left w:val="nil"/>
              <w:bottom w:val="nil"/>
              <w:right w:val="nil"/>
            </w:tcBorders>
            <w:shd w:val="clear" w:color="auto" w:fill="auto"/>
            <w:noWrap/>
            <w:vAlign w:val="bottom"/>
            <w:hideMark/>
          </w:tcPr>
          <w:p w14:paraId="41C845FB"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3B3193F0"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78052B4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TEDs e Acordos</w:t>
            </w:r>
          </w:p>
        </w:tc>
        <w:tc>
          <w:tcPr>
            <w:tcW w:w="251" w:type="pct"/>
            <w:tcBorders>
              <w:top w:val="nil"/>
              <w:left w:val="nil"/>
              <w:bottom w:val="nil"/>
              <w:right w:val="nil"/>
            </w:tcBorders>
            <w:shd w:val="clear" w:color="auto" w:fill="auto"/>
            <w:noWrap/>
            <w:vAlign w:val="bottom"/>
            <w:hideMark/>
          </w:tcPr>
          <w:p w14:paraId="795A8C32"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7 </w:t>
            </w:r>
          </w:p>
        </w:tc>
        <w:tc>
          <w:tcPr>
            <w:tcW w:w="462" w:type="pct"/>
            <w:tcBorders>
              <w:top w:val="nil"/>
              <w:left w:val="nil"/>
              <w:bottom w:val="nil"/>
              <w:right w:val="nil"/>
            </w:tcBorders>
            <w:shd w:val="clear" w:color="auto" w:fill="auto"/>
            <w:noWrap/>
            <w:vAlign w:val="bottom"/>
            <w:hideMark/>
          </w:tcPr>
          <w:p w14:paraId="21C163F6" w14:textId="7D6FAF69"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65.676.539 </w:t>
            </w:r>
          </w:p>
        </w:tc>
        <w:tc>
          <w:tcPr>
            <w:tcW w:w="496" w:type="pct"/>
            <w:tcBorders>
              <w:top w:val="nil"/>
              <w:left w:val="nil"/>
              <w:bottom w:val="nil"/>
              <w:right w:val="nil"/>
            </w:tcBorders>
            <w:shd w:val="clear" w:color="auto" w:fill="auto"/>
            <w:noWrap/>
            <w:vAlign w:val="bottom"/>
            <w:hideMark/>
          </w:tcPr>
          <w:p w14:paraId="13248958" w14:textId="324BC023"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54.997.524 </w:t>
            </w:r>
          </w:p>
        </w:tc>
        <w:tc>
          <w:tcPr>
            <w:tcW w:w="73" w:type="pct"/>
            <w:tcBorders>
              <w:top w:val="nil"/>
              <w:left w:val="nil"/>
              <w:bottom w:val="nil"/>
              <w:right w:val="nil"/>
            </w:tcBorders>
            <w:shd w:val="clear" w:color="auto" w:fill="auto"/>
            <w:noWrap/>
            <w:vAlign w:val="center"/>
            <w:hideMark/>
          </w:tcPr>
          <w:p w14:paraId="7BB5B88D"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0575F34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1902E6F4"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1F62D14B"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Receita a Diferir – Subconcessão FIOL</w:t>
            </w:r>
          </w:p>
        </w:tc>
        <w:tc>
          <w:tcPr>
            <w:tcW w:w="251" w:type="pct"/>
            <w:tcBorders>
              <w:top w:val="nil"/>
              <w:left w:val="nil"/>
              <w:bottom w:val="nil"/>
              <w:right w:val="nil"/>
            </w:tcBorders>
            <w:shd w:val="clear" w:color="auto" w:fill="auto"/>
            <w:noWrap/>
            <w:vAlign w:val="bottom"/>
            <w:hideMark/>
          </w:tcPr>
          <w:p w14:paraId="2D03FBFF"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19 </w:t>
            </w:r>
          </w:p>
        </w:tc>
        <w:tc>
          <w:tcPr>
            <w:tcW w:w="458" w:type="pct"/>
            <w:tcBorders>
              <w:top w:val="nil"/>
              <w:left w:val="nil"/>
              <w:bottom w:val="nil"/>
              <w:right w:val="nil"/>
            </w:tcBorders>
            <w:shd w:val="clear" w:color="auto" w:fill="auto"/>
            <w:noWrap/>
            <w:vAlign w:val="bottom"/>
            <w:hideMark/>
          </w:tcPr>
          <w:p w14:paraId="0CE71FA2" w14:textId="411CCC3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935.143 </w:t>
            </w:r>
          </w:p>
        </w:tc>
        <w:tc>
          <w:tcPr>
            <w:tcW w:w="454" w:type="pct"/>
            <w:tcBorders>
              <w:top w:val="nil"/>
              <w:left w:val="nil"/>
              <w:bottom w:val="nil"/>
              <w:right w:val="nil"/>
            </w:tcBorders>
            <w:shd w:val="clear" w:color="auto" w:fill="auto"/>
            <w:noWrap/>
            <w:vAlign w:val="bottom"/>
            <w:hideMark/>
          </w:tcPr>
          <w:p w14:paraId="19B553F5" w14:textId="60097E22"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935.143 </w:t>
            </w:r>
          </w:p>
        </w:tc>
      </w:tr>
      <w:tr w:rsidR="00B72483" w:rsidRPr="00B72483" w14:paraId="17305915" w14:textId="77777777" w:rsidTr="00143F6B">
        <w:trPr>
          <w:trHeight w:val="227"/>
        </w:trPr>
        <w:tc>
          <w:tcPr>
            <w:tcW w:w="52" w:type="pct"/>
            <w:tcBorders>
              <w:top w:val="nil"/>
              <w:left w:val="nil"/>
              <w:bottom w:val="nil"/>
              <w:right w:val="nil"/>
            </w:tcBorders>
            <w:shd w:val="clear" w:color="auto" w:fill="auto"/>
            <w:noWrap/>
            <w:vAlign w:val="bottom"/>
            <w:hideMark/>
          </w:tcPr>
          <w:p w14:paraId="5025A2CE"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4EE3AB7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0F363DB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Demais Créditos e Valores </w:t>
            </w:r>
          </w:p>
        </w:tc>
        <w:tc>
          <w:tcPr>
            <w:tcW w:w="251" w:type="pct"/>
            <w:tcBorders>
              <w:top w:val="nil"/>
              <w:left w:val="nil"/>
              <w:bottom w:val="nil"/>
              <w:right w:val="nil"/>
            </w:tcBorders>
            <w:shd w:val="clear" w:color="auto" w:fill="auto"/>
            <w:noWrap/>
            <w:vAlign w:val="bottom"/>
            <w:hideMark/>
          </w:tcPr>
          <w:p w14:paraId="2EEA5984"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8 </w:t>
            </w:r>
          </w:p>
        </w:tc>
        <w:tc>
          <w:tcPr>
            <w:tcW w:w="462" w:type="pct"/>
            <w:tcBorders>
              <w:top w:val="nil"/>
              <w:left w:val="nil"/>
              <w:bottom w:val="nil"/>
              <w:right w:val="nil"/>
            </w:tcBorders>
            <w:shd w:val="clear" w:color="auto" w:fill="auto"/>
            <w:noWrap/>
            <w:vAlign w:val="bottom"/>
            <w:hideMark/>
          </w:tcPr>
          <w:p w14:paraId="6F78F418" w14:textId="4F53268E"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1.936.939 </w:t>
            </w:r>
          </w:p>
        </w:tc>
        <w:tc>
          <w:tcPr>
            <w:tcW w:w="496" w:type="pct"/>
            <w:tcBorders>
              <w:top w:val="nil"/>
              <w:left w:val="nil"/>
              <w:bottom w:val="nil"/>
              <w:right w:val="nil"/>
            </w:tcBorders>
            <w:shd w:val="clear" w:color="auto" w:fill="auto"/>
            <w:noWrap/>
            <w:vAlign w:val="bottom"/>
            <w:hideMark/>
          </w:tcPr>
          <w:p w14:paraId="0E392014" w14:textId="5F9120C2"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2.286.295 </w:t>
            </w:r>
          </w:p>
        </w:tc>
        <w:tc>
          <w:tcPr>
            <w:tcW w:w="73" w:type="pct"/>
            <w:tcBorders>
              <w:top w:val="nil"/>
              <w:left w:val="nil"/>
              <w:bottom w:val="nil"/>
              <w:right w:val="nil"/>
            </w:tcBorders>
            <w:shd w:val="clear" w:color="auto" w:fill="auto"/>
            <w:noWrap/>
            <w:vAlign w:val="center"/>
            <w:hideMark/>
          </w:tcPr>
          <w:p w14:paraId="40904D59"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7AF41E01"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023001EE"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06C6BACA"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TEDs e Convênios</w:t>
            </w:r>
          </w:p>
        </w:tc>
        <w:tc>
          <w:tcPr>
            <w:tcW w:w="251" w:type="pct"/>
            <w:tcBorders>
              <w:top w:val="nil"/>
              <w:left w:val="nil"/>
              <w:bottom w:val="nil"/>
              <w:right w:val="nil"/>
            </w:tcBorders>
            <w:shd w:val="clear" w:color="auto" w:fill="auto"/>
            <w:noWrap/>
            <w:vAlign w:val="bottom"/>
            <w:hideMark/>
          </w:tcPr>
          <w:p w14:paraId="10F89B20"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20 </w:t>
            </w:r>
          </w:p>
        </w:tc>
        <w:tc>
          <w:tcPr>
            <w:tcW w:w="458" w:type="pct"/>
            <w:tcBorders>
              <w:top w:val="nil"/>
              <w:left w:val="nil"/>
              <w:bottom w:val="nil"/>
              <w:right w:val="nil"/>
            </w:tcBorders>
            <w:shd w:val="clear" w:color="auto" w:fill="auto"/>
            <w:noWrap/>
            <w:vAlign w:val="bottom"/>
            <w:hideMark/>
          </w:tcPr>
          <w:p w14:paraId="2C63C686" w14:textId="5034F0C4"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22.658.898 </w:t>
            </w:r>
          </w:p>
        </w:tc>
        <w:tc>
          <w:tcPr>
            <w:tcW w:w="454" w:type="pct"/>
            <w:tcBorders>
              <w:top w:val="nil"/>
              <w:left w:val="nil"/>
              <w:bottom w:val="nil"/>
              <w:right w:val="nil"/>
            </w:tcBorders>
            <w:shd w:val="clear" w:color="auto" w:fill="auto"/>
            <w:noWrap/>
            <w:vAlign w:val="bottom"/>
            <w:hideMark/>
          </w:tcPr>
          <w:p w14:paraId="0AC3DE35" w14:textId="6C0D1E75"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22.658.898 </w:t>
            </w:r>
          </w:p>
        </w:tc>
      </w:tr>
      <w:tr w:rsidR="00B72483" w:rsidRPr="00B72483" w14:paraId="6FE5C92F" w14:textId="77777777" w:rsidTr="00143F6B">
        <w:trPr>
          <w:trHeight w:val="227"/>
        </w:trPr>
        <w:tc>
          <w:tcPr>
            <w:tcW w:w="52" w:type="pct"/>
            <w:tcBorders>
              <w:top w:val="nil"/>
              <w:left w:val="nil"/>
              <w:bottom w:val="nil"/>
              <w:right w:val="nil"/>
            </w:tcBorders>
            <w:shd w:val="clear" w:color="auto" w:fill="auto"/>
            <w:noWrap/>
            <w:vAlign w:val="bottom"/>
            <w:hideMark/>
          </w:tcPr>
          <w:p w14:paraId="34D630D7"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181C7EC3"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1837C816"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2F03A988"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62" w:type="pct"/>
            <w:tcBorders>
              <w:top w:val="nil"/>
              <w:left w:val="nil"/>
              <w:bottom w:val="nil"/>
              <w:right w:val="nil"/>
            </w:tcBorders>
            <w:shd w:val="clear" w:color="auto" w:fill="auto"/>
            <w:noWrap/>
            <w:vAlign w:val="bottom"/>
            <w:hideMark/>
          </w:tcPr>
          <w:p w14:paraId="3A8B84B6" w14:textId="4E564D96"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496" w:type="pct"/>
            <w:tcBorders>
              <w:top w:val="nil"/>
              <w:left w:val="nil"/>
              <w:bottom w:val="nil"/>
              <w:right w:val="nil"/>
            </w:tcBorders>
            <w:shd w:val="clear" w:color="auto" w:fill="auto"/>
            <w:noWrap/>
            <w:vAlign w:val="bottom"/>
            <w:hideMark/>
          </w:tcPr>
          <w:p w14:paraId="156F0217"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73" w:type="pct"/>
            <w:tcBorders>
              <w:top w:val="nil"/>
              <w:left w:val="nil"/>
              <w:bottom w:val="nil"/>
              <w:right w:val="nil"/>
            </w:tcBorders>
            <w:shd w:val="clear" w:color="auto" w:fill="auto"/>
            <w:noWrap/>
            <w:vAlign w:val="center"/>
            <w:hideMark/>
          </w:tcPr>
          <w:p w14:paraId="5EAFDE8E"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63" w:type="pct"/>
            <w:tcBorders>
              <w:top w:val="nil"/>
              <w:left w:val="single" w:sz="4" w:space="0" w:color="156082"/>
              <w:bottom w:val="nil"/>
              <w:right w:val="nil"/>
            </w:tcBorders>
            <w:shd w:val="clear" w:color="auto" w:fill="auto"/>
            <w:noWrap/>
            <w:vAlign w:val="center"/>
            <w:hideMark/>
          </w:tcPr>
          <w:p w14:paraId="1BF9E24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5C6983F8"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56F8AF5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Arrendamentos de Ativos de Direito de Uso</w:t>
            </w:r>
          </w:p>
        </w:tc>
        <w:tc>
          <w:tcPr>
            <w:tcW w:w="251" w:type="pct"/>
            <w:tcBorders>
              <w:top w:val="nil"/>
              <w:left w:val="nil"/>
              <w:bottom w:val="nil"/>
              <w:right w:val="nil"/>
            </w:tcBorders>
            <w:shd w:val="clear" w:color="auto" w:fill="auto"/>
            <w:noWrap/>
            <w:vAlign w:val="bottom"/>
            <w:hideMark/>
          </w:tcPr>
          <w:p w14:paraId="1D6A7152"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21 </w:t>
            </w:r>
          </w:p>
        </w:tc>
        <w:tc>
          <w:tcPr>
            <w:tcW w:w="458" w:type="pct"/>
            <w:tcBorders>
              <w:top w:val="nil"/>
              <w:left w:val="nil"/>
              <w:bottom w:val="nil"/>
              <w:right w:val="nil"/>
            </w:tcBorders>
            <w:shd w:val="clear" w:color="auto" w:fill="auto"/>
            <w:noWrap/>
            <w:vAlign w:val="bottom"/>
            <w:hideMark/>
          </w:tcPr>
          <w:p w14:paraId="178A27CA" w14:textId="1CD8A1D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4.146.204 </w:t>
            </w:r>
          </w:p>
        </w:tc>
        <w:tc>
          <w:tcPr>
            <w:tcW w:w="454" w:type="pct"/>
            <w:tcBorders>
              <w:top w:val="nil"/>
              <w:left w:val="nil"/>
              <w:bottom w:val="nil"/>
              <w:right w:val="nil"/>
            </w:tcBorders>
            <w:shd w:val="clear" w:color="auto" w:fill="auto"/>
            <w:noWrap/>
            <w:vAlign w:val="bottom"/>
            <w:hideMark/>
          </w:tcPr>
          <w:p w14:paraId="2A25316C" w14:textId="6D41396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4.050.045 </w:t>
            </w:r>
          </w:p>
        </w:tc>
      </w:tr>
      <w:tr w:rsidR="00B72483" w:rsidRPr="00B72483" w14:paraId="57A3B4AE" w14:textId="77777777" w:rsidTr="00143F6B">
        <w:trPr>
          <w:trHeight w:val="227"/>
        </w:trPr>
        <w:tc>
          <w:tcPr>
            <w:tcW w:w="1289" w:type="pct"/>
            <w:gridSpan w:val="3"/>
            <w:tcBorders>
              <w:top w:val="nil"/>
              <w:left w:val="nil"/>
              <w:bottom w:val="nil"/>
              <w:right w:val="nil"/>
            </w:tcBorders>
            <w:shd w:val="clear" w:color="auto" w:fill="auto"/>
            <w:noWrap/>
            <w:vAlign w:val="bottom"/>
            <w:hideMark/>
          </w:tcPr>
          <w:p w14:paraId="5D63FED1"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ATIVO NÃO CIRCULANTE</w:t>
            </w:r>
          </w:p>
        </w:tc>
        <w:tc>
          <w:tcPr>
            <w:tcW w:w="251" w:type="pct"/>
            <w:tcBorders>
              <w:top w:val="nil"/>
              <w:left w:val="nil"/>
              <w:bottom w:val="nil"/>
              <w:right w:val="nil"/>
            </w:tcBorders>
            <w:shd w:val="clear" w:color="auto" w:fill="auto"/>
            <w:noWrap/>
            <w:vAlign w:val="bottom"/>
            <w:hideMark/>
          </w:tcPr>
          <w:p w14:paraId="603383BF"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62" w:type="pct"/>
            <w:tcBorders>
              <w:top w:val="nil"/>
              <w:left w:val="nil"/>
              <w:bottom w:val="nil"/>
              <w:right w:val="nil"/>
            </w:tcBorders>
            <w:shd w:val="clear" w:color="auto" w:fill="auto"/>
            <w:noWrap/>
            <w:vAlign w:val="center"/>
            <w:hideMark/>
          </w:tcPr>
          <w:p w14:paraId="33521ED6" w14:textId="567AE71B"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6.154.367.492 </w:t>
            </w:r>
          </w:p>
        </w:tc>
        <w:tc>
          <w:tcPr>
            <w:tcW w:w="496" w:type="pct"/>
            <w:tcBorders>
              <w:top w:val="nil"/>
              <w:left w:val="nil"/>
              <w:bottom w:val="nil"/>
              <w:right w:val="nil"/>
            </w:tcBorders>
            <w:shd w:val="clear" w:color="auto" w:fill="auto"/>
            <w:noWrap/>
            <w:vAlign w:val="center"/>
            <w:hideMark/>
          </w:tcPr>
          <w:p w14:paraId="7075D985" w14:textId="09B42C0E"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5.967.073.287 </w:t>
            </w:r>
          </w:p>
        </w:tc>
        <w:tc>
          <w:tcPr>
            <w:tcW w:w="73" w:type="pct"/>
            <w:tcBorders>
              <w:top w:val="nil"/>
              <w:left w:val="nil"/>
              <w:bottom w:val="nil"/>
              <w:right w:val="nil"/>
            </w:tcBorders>
            <w:shd w:val="clear" w:color="auto" w:fill="auto"/>
            <w:noWrap/>
            <w:vAlign w:val="center"/>
            <w:hideMark/>
          </w:tcPr>
          <w:p w14:paraId="7426C517"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0E63F44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B9EF114"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0B936955"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Provisões para Contingências Judiciais</w:t>
            </w:r>
          </w:p>
        </w:tc>
        <w:tc>
          <w:tcPr>
            <w:tcW w:w="251" w:type="pct"/>
            <w:tcBorders>
              <w:top w:val="nil"/>
              <w:left w:val="nil"/>
              <w:bottom w:val="nil"/>
              <w:right w:val="nil"/>
            </w:tcBorders>
            <w:shd w:val="clear" w:color="auto" w:fill="auto"/>
            <w:noWrap/>
            <w:vAlign w:val="bottom"/>
            <w:hideMark/>
          </w:tcPr>
          <w:p w14:paraId="313C85EC" w14:textId="45E5AEC0" w:rsidR="00B72483" w:rsidRPr="00B72483" w:rsidRDefault="00250C81" w:rsidP="00B72483">
            <w:pPr>
              <w:spacing w:after="0" w:line="240" w:lineRule="auto"/>
              <w:jc w:val="center"/>
              <w:rPr>
                <w:rFonts w:ascii="Calibri" w:eastAsia="Times New Roman" w:hAnsi="Calibri" w:cs="Calibri"/>
                <w:color w:val="156082"/>
                <w:sz w:val="16"/>
                <w:szCs w:val="16"/>
              </w:rPr>
            </w:pPr>
            <w:r>
              <w:rPr>
                <w:rFonts w:ascii="Calibri" w:eastAsia="Times New Roman" w:hAnsi="Calibri" w:cs="Calibri"/>
                <w:color w:val="156082"/>
                <w:sz w:val="16"/>
                <w:szCs w:val="16"/>
              </w:rPr>
              <w:t xml:space="preserve"> </w:t>
            </w:r>
            <w:r w:rsidR="00B72483" w:rsidRPr="00B72483">
              <w:rPr>
                <w:rFonts w:ascii="Calibri" w:eastAsia="Times New Roman" w:hAnsi="Calibri" w:cs="Calibri"/>
                <w:color w:val="156082"/>
                <w:sz w:val="16"/>
                <w:szCs w:val="16"/>
              </w:rPr>
              <w:t>22</w:t>
            </w:r>
          </w:p>
        </w:tc>
        <w:tc>
          <w:tcPr>
            <w:tcW w:w="458" w:type="pct"/>
            <w:tcBorders>
              <w:top w:val="nil"/>
              <w:left w:val="nil"/>
              <w:bottom w:val="nil"/>
              <w:right w:val="nil"/>
            </w:tcBorders>
            <w:shd w:val="clear" w:color="auto" w:fill="auto"/>
            <w:noWrap/>
            <w:vAlign w:val="bottom"/>
            <w:hideMark/>
          </w:tcPr>
          <w:p w14:paraId="79EA705E" w14:textId="531087CD"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110.689.611 </w:t>
            </w:r>
          </w:p>
        </w:tc>
        <w:tc>
          <w:tcPr>
            <w:tcW w:w="454" w:type="pct"/>
            <w:tcBorders>
              <w:top w:val="nil"/>
              <w:left w:val="nil"/>
              <w:bottom w:val="nil"/>
              <w:right w:val="nil"/>
            </w:tcBorders>
            <w:shd w:val="clear" w:color="auto" w:fill="auto"/>
            <w:noWrap/>
            <w:vAlign w:val="bottom"/>
            <w:hideMark/>
          </w:tcPr>
          <w:p w14:paraId="31E5CAD9" w14:textId="31369EB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113.774.829 </w:t>
            </w:r>
          </w:p>
        </w:tc>
      </w:tr>
      <w:tr w:rsidR="00B72483" w:rsidRPr="00B72483" w14:paraId="1C59CA3F" w14:textId="77777777" w:rsidTr="00143F6B">
        <w:trPr>
          <w:trHeight w:val="227"/>
        </w:trPr>
        <w:tc>
          <w:tcPr>
            <w:tcW w:w="1289" w:type="pct"/>
            <w:gridSpan w:val="3"/>
            <w:tcBorders>
              <w:top w:val="nil"/>
              <w:left w:val="nil"/>
              <w:bottom w:val="nil"/>
              <w:right w:val="nil"/>
            </w:tcBorders>
            <w:shd w:val="clear" w:color="auto" w:fill="auto"/>
            <w:noWrap/>
            <w:vAlign w:val="bottom"/>
            <w:hideMark/>
          </w:tcPr>
          <w:p w14:paraId="3E576CD9" w14:textId="526CE53F"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Realizável a Longo Prazo</w:t>
            </w:r>
          </w:p>
        </w:tc>
        <w:tc>
          <w:tcPr>
            <w:tcW w:w="251" w:type="pct"/>
            <w:tcBorders>
              <w:top w:val="nil"/>
              <w:left w:val="nil"/>
              <w:bottom w:val="nil"/>
              <w:right w:val="nil"/>
            </w:tcBorders>
            <w:shd w:val="clear" w:color="auto" w:fill="auto"/>
            <w:noWrap/>
            <w:vAlign w:val="bottom"/>
            <w:hideMark/>
          </w:tcPr>
          <w:p w14:paraId="3AF7A16A"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62" w:type="pct"/>
            <w:tcBorders>
              <w:top w:val="nil"/>
              <w:left w:val="nil"/>
              <w:bottom w:val="nil"/>
              <w:right w:val="nil"/>
            </w:tcBorders>
            <w:shd w:val="clear" w:color="auto" w:fill="auto"/>
            <w:noWrap/>
            <w:vAlign w:val="bottom"/>
            <w:hideMark/>
          </w:tcPr>
          <w:p w14:paraId="48F83E84" w14:textId="53354EBD"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174.854.286 </w:t>
            </w:r>
          </w:p>
        </w:tc>
        <w:tc>
          <w:tcPr>
            <w:tcW w:w="496" w:type="pct"/>
            <w:tcBorders>
              <w:top w:val="nil"/>
              <w:left w:val="nil"/>
              <w:bottom w:val="nil"/>
              <w:right w:val="nil"/>
            </w:tcBorders>
            <w:shd w:val="clear" w:color="auto" w:fill="auto"/>
            <w:noWrap/>
            <w:vAlign w:val="bottom"/>
            <w:hideMark/>
          </w:tcPr>
          <w:p w14:paraId="76833414" w14:textId="0898AA75"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172.755.399 </w:t>
            </w:r>
          </w:p>
        </w:tc>
        <w:tc>
          <w:tcPr>
            <w:tcW w:w="73" w:type="pct"/>
            <w:tcBorders>
              <w:top w:val="nil"/>
              <w:left w:val="nil"/>
              <w:bottom w:val="nil"/>
              <w:right w:val="nil"/>
            </w:tcBorders>
            <w:shd w:val="clear" w:color="auto" w:fill="auto"/>
            <w:noWrap/>
            <w:vAlign w:val="center"/>
            <w:hideMark/>
          </w:tcPr>
          <w:p w14:paraId="2271D336"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03C0807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0B0DBB90"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28E144B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65165D00"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58" w:type="pct"/>
            <w:tcBorders>
              <w:top w:val="nil"/>
              <w:left w:val="nil"/>
              <w:bottom w:val="nil"/>
              <w:right w:val="nil"/>
            </w:tcBorders>
            <w:shd w:val="clear" w:color="auto" w:fill="auto"/>
            <w:noWrap/>
            <w:vAlign w:val="bottom"/>
            <w:hideMark/>
          </w:tcPr>
          <w:p w14:paraId="25FAA324"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center"/>
            <w:hideMark/>
          </w:tcPr>
          <w:p w14:paraId="1B516343"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6A151A5D" w14:textId="77777777" w:rsidTr="00143F6B">
        <w:trPr>
          <w:trHeight w:val="227"/>
        </w:trPr>
        <w:tc>
          <w:tcPr>
            <w:tcW w:w="52" w:type="pct"/>
            <w:tcBorders>
              <w:top w:val="nil"/>
              <w:left w:val="nil"/>
              <w:bottom w:val="nil"/>
              <w:right w:val="nil"/>
            </w:tcBorders>
            <w:shd w:val="clear" w:color="auto" w:fill="auto"/>
            <w:noWrap/>
            <w:vAlign w:val="bottom"/>
            <w:hideMark/>
          </w:tcPr>
          <w:p w14:paraId="3BB0A29C"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52" w:type="pct"/>
            <w:tcBorders>
              <w:top w:val="nil"/>
              <w:left w:val="nil"/>
              <w:bottom w:val="nil"/>
              <w:right w:val="nil"/>
            </w:tcBorders>
            <w:shd w:val="clear" w:color="auto" w:fill="auto"/>
            <w:noWrap/>
            <w:vAlign w:val="bottom"/>
            <w:hideMark/>
          </w:tcPr>
          <w:p w14:paraId="025B1EB5"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7CB5A5A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Depósitos Judiciais</w:t>
            </w:r>
          </w:p>
        </w:tc>
        <w:tc>
          <w:tcPr>
            <w:tcW w:w="251" w:type="pct"/>
            <w:tcBorders>
              <w:top w:val="nil"/>
              <w:left w:val="nil"/>
              <w:bottom w:val="nil"/>
              <w:right w:val="nil"/>
            </w:tcBorders>
            <w:shd w:val="clear" w:color="auto" w:fill="auto"/>
            <w:noWrap/>
            <w:vAlign w:val="bottom"/>
            <w:hideMark/>
          </w:tcPr>
          <w:p w14:paraId="5FA19FDC"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9 </w:t>
            </w:r>
          </w:p>
        </w:tc>
        <w:tc>
          <w:tcPr>
            <w:tcW w:w="462" w:type="pct"/>
            <w:tcBorders>
              <w:top w:val="nil"/>
              <w:left w:val="nil"/>
              <w:bottom w:val="nil"/>
              <w:right w:val="nil"/>
            </w:tcBorders>
            <w:shd w:val="clear" w:color="auto" w:fill="auto"/>
            <w:noWrap/>
            <w:vAlign w:val="bottom"/>
            <w:hideMark/>
          </w:tcPr>
          <w:p w14:paraId="567EACBD" w14:textId="6BB3E99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108.727.164 </w:t>
            </w:r>
          </w:p>
        </w:tc>
        <w:tc>
          <w:tcPr>
            <w:tcW w:w="496" w:type="pct"/>
            <w:tcBorders>
              <w:top w:val="nil"/>
              <w:left w:val="nil"/>
              <w:bottom w:val="nil"/>
              <w:right w:val="nil"/>
            </w:tcBorders>
            <w:shd w:val="clear" w:color="auto" w:fill="auto"/>
            <w:noWrap/>
            <w:vAlign w:val="bottom"/>
            <w:hideMark/>
          </w:tcPr>
          <w:p w14:paraId="54B5A520" w14:textId="17709A86"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108.779.622 </w:t>
            </w:r>
          </w:p>
        </w:tc>
        <w:tc>
          <w:tcPr>
            <w:tcW w:w="73" w:type="pct"/>
            <w:tcBorders>
              <w:top w:val="nil"/>
              <w:left w:val="nil"/>
              <w:bottom w:val="nil"/>
              <w:right w:val="nil"/>
            </w:tcBorders>
            <w:shd w:val="clear" w:color="auto" w:fill="auto"/>
            <w:noWrap/>
            <w:vAlign w:val="center"/>
            <w:hideMark/>
          </w:tcPr>
          <w:p w14:paraId="578CADFE"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4AFBBC4B"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202" w:type="pct"/>
            <w:gridSpan w:val="2"/>
            <w:tcBorders>
              <w:top w:val="nil"/>
              <w:left w:val="nil"/>
              <w:bottom w:val="nil"/>
              <w:right w:val="nil"/>
            </w:tcBorders>
            <w:shd w:val="clear" w:color="auto" w:fill="auto"/>
            <w:noWrap/>
            <w:vAlign w:val="bottom"/>
            <w:hideMark/>
          </w:tcPr>
          <w:p w14:paraId="36736CFA"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PASSIVO NÃO CIRCULANTE</w:t>
            </w:r>
          </w:p>
        </w:tc>
        <w:tc>
          <w:tcPr>
            <w:tcW w:w="251" w:type="pct"/>
            <w:tcBorders>
              <w:top w:val="nil"/>
              <w:left w:val="nil"/>
              <w:bottom w:val="nil"/>
              <w:right w:val="nil"/>
            </w:tcBorders>
            <w:shd w:val="clear" w:color="auto" w:fill="auto"/>
            <w:noWrap/>
            <w:vAlign w:val="bottom"/>
            <w:hideMark/>
          </w:tcPr>
          <w:p w14:paraId="05288399"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58" w:type="pct"/>
            <w:tcBorders>
              <w:top w:val="nil"/>
              <w:left w:val="nil"/>
              <w:bottom w:val="nil"/>
              <w:right w:val="nil"/>
            </w:tcBorders>
            <w:shd w:val="clear" w:color="auto" w:fill="auto"/>
            <w:noWrap/>
            <w:vAlign w:val="center"/>
            <w:hideMark/>
          </w:tcPr>
          <w:p w14:paraId="7E4D30B6" w14:textId="5CFFAE21"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3.492.396.11</w:t>
            </w:r>
            <w:r w:rsidR="00237CA9">
              <w:rPr>
                <w:rFonts w:ascii="Calibri" w:eastAsia="Times New Roman" w:hAnsi="Calibri" w:cs="Calibri"/>
                <w:b/>
                <w:bCs/>
                <w:color w:val="000000"/>
                <w:sz w:val="16"/>
                <w:szCs w:val="16"/>
              </w:rPr>
              <w:t>3</w:t>
            </w:r>
            <w:r w:rsidRPr="00B72483">
              <w:rPr>
                <w:rFonts w:ascii="Calibri" w:eastAsia="Times New Roman" w:hAnsi="Calibri" w:cs="Calibri"/>
                <w:b/>
                <w:bCs/>
                <w:color w:val="000000"/>
                <w:sz w:val="16"/>
                <w:szCs w:val="16"/>
              </w:rPr>
              <w:t xml:space="preserve"> </w:t>
            </w:r>
          </w:p>
        </w:tc>
        <w:tc>
          <w:tcPr>
            <w:tcW w:w="454" w:type="pct"/>
            <w:tcBorders>
              <w:top w:val="nil"/>
              <w:left w:val="nil"/>
              <w:bottom w:val="nil"/>
              <w:right w:val="nil"/>
            </w:tcBorders>
            <w:shd w:val="clear" w:color="auto" w:fill="auto"/>
            <w:noWrap/>
            <w:vAlign w:val="center"/>
            <w:hideMark/>
          </w:tcPr>
          <w:p w14:paraId="7252B5CB" w14:textId="2ADE805E"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3.351.300.948 </w:t>
            </w:r>
          </w:p>
        </w:tc>
      </w:tr>
      <w:tr w:rsidR="00B72483" w:rsidRPr="00B72483" w14:paraId="42C4166D" w14:textId="77777777" w:rsidTr="00143F6B">
        <w:trPr>
          <w:trHeight w:val="227"/>
        </w:trPr>
        <w:tc>
          <w:tcPr>
            <w:tcW w:w="52" w:type="pct"/>
            <w:tcBorders>
              <w:top w:val="nil"/>
              <w:left w:val="nil"/>
              <w:bottom w:val="nil"/>
              <w:right w:val="nil"/>
            </w:tcBorders>
            <w:shd w:val="clear" w:color="auto" w:fill="auto"/>
            <w:noWrap/>
            <w:vAlign w:val="bottom"/>
            <w:hideMark/>
          </w:tcPr>
          <w:p w14:paraId="46A15819"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52" w:type="pct"/>
            <w:tcBorders>
              <w:top w:val="nil"/>
              <w:left w:val="nil"/>
              <w:bottom w:val="nil"/>
              <w:right w:val="nil"/>
            </w:tcBorders>
            <w:shd w:val="clear" w:color="auto" w:fill="auto"/>
            <w:noWrap/>
            <w:vAlign w:val="bottom"/>
            <w:hideMark/>
          </w:tcPr>
          <w:p w14:paraId="36BD89A7"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2056ABF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Permissões para Uso de Pátios</w:t>
            </w:r>
          </w:p>
        </w:tc>
        <w:tc>
          <w:tcPr>
            <w:tcW w:w="251" w:type="pct"/>
            <w:tcBorders>
              <w:top w:val="nil"/>
              <w:left w:val="nil"/>
              <w:bottom w:val="nil"/>
              <w:right w:val="nil"/>
            </w:tcBorders>
            <w:shd w:val="clear" w:color="auto" w:fill="auto"/>
            <w:noWrap/>
            <w:vAlign w:val="bottom"/>
            <w:hideMark/>
          </w:tcPr>
          <w:p w14:paraId="380F72C7"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4 </w:t>
            </w:r>
          </w:p>
        </w:tc>
        <w:tc>
          <w:tcPr>
            <w:tcW w:w="462" w:type="pct"/>
            <w:tcBorders>
              <w:top w:val="nil"/>
              <w:left w:val="nil"/>
              <w:bottom w:val="nil"/>
              <w:right w:val="nil"/>
            </w:tcBorders>
            <w:shd w:val="clear" w:color="auto" w:fill="auto"/>
            <w:noWrap/>
            <w:vAlign w:val="bottom"/>
            <w:hideMark/>
          </w:tcPr>
          <w:p w14:paraId="43B30C8B" w14:textId="67D1C64D"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64.565.436 </w:t>
            </w:r>
          </w:p>
        </w:tc>
        <w:tc>
          <w:tcPr>
            <w:tcW w:w="496" w:type="pct"/>
            <w:tcBorders>
              <w:top w:val="nil"/>
              <w:left w:val="nil"/>
              <w:bottom w:val="nil"/>
              <w:right w:val="nil"/>
            </w:tcBorders>
            <w:shd w:val="clear" w:color="auto" w:fill="auto"/>
            <w:noWrap/>
            <w:vAlign w:val="bottom"/>
            <w:hideMark/>
          </w:tcPr>
          <w:p w14:paraId="46F4F894" w14:textId="3DA73E88"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62.224.386 </w:t>
            </w:r>
          </w:p>
        </w:tc>
        <w:tc>
          <w:tcPr>
            <w:tcW w:w="73" w:type="pct"/>
            <w:tcBorders>
              <w:top w:val="nil"/>
              <w:left w:val="nil"/>
              <w:bottom w:val="nil"/>
              <w:right w:val="nil"/>
            </w:tcBorders>
            <w:shd w:val="clear" w:color="auto" w:fill="auto"/>
            <w:noWrap/>
            <w:vAlign w:val="center"/>
            <w:hideMark/>
          </w:tcPr>
          <w:p w14:paraId="3EF11591"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41D5204F"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8455F3A"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0862F67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Fornecedores</w:t>
            </w:r>
          </w:p>
        </w:tc>
        <w:tc>
          <w:tcPr>
            <w:tcW w:w="251" w:type="pct"/>
            <w:tcBorders>
              <w:top w:val="nil"/>
              <w:left w:val="nil"/>
              <w:bottom w:val="nil"/>
              <w:right w:val="nil"/>
            </w:tcBorders>
            <w:shd w:val="clear" w:color="auto" w:fill="auto"/>
            <w:noWrap/>
            <w:vAlign w:val="bottom"/>
            <w:hideMark/>
          </w:tcPr>
          <w:p w14:paraId="5795BDCB" w14:textId="52A61B59" w:rsidR="00B72483" w:rsidRPr="00B72483" w:rsidRDefault="00A11E9E" w:rsidP="00A11E9E">
            <w:pPr>
              <w:spacing w:after="0" w:line="240" w:lineRule="auto"/>
              <w:jc w:val="center"/>
              <w:rPr>
                <w:rFonts w:ascii="Calibri" w:eastAsia="Times New Roman" w:hAnsi="Calibri" w:cs="Calibri"/>
                <w:color w:val="000000"/>
                <w:sz w:val="16"/>
                <w:szCs w:val="16"/>
              </w:rPr>
            </w:pPr>
            <w:r w:rsidRPr="00B72483">
              <w:rPr>
                <w:rFonts w:ascii="Calibri" w:eastAsia="Times New Roman" w:hAnsi="Calibri" w:cs="Calibri"/>
                <w:color w:val="156082"/>
                <w:sz w:val="16"/>
                <w:szCs w:val="16"/>
              </w:rPr>
              <w:t>15</w:t>
            </w:r>
          </w:p>
        </w:tc>
        <w:tc>
          <w:tcPr>
            <w:tcW w:w="458" w:type="pct"/>
            <w:tcBorders>
              <w:top w:val="nil"/>
              <w:left w:val="nil"/>
              <w:bottom w:val="nil"/>
              <w:right w:val="nil"/>
            </w:tcBorders>
            <w:shd w:val="clear" w:color="auto" w:fill="auto"/>
            <w:noWrap/>
            <w:vAlign w:val="bottom"/>
            <w:hideMark/>
          </w:tcPr>
          <w:p w14:paraId="269F060A" w14:textId="44563A9D"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3.077.45</w:t>
            </w:r>
            <w:r w:rsidR="00E928C2">
              <w:rPr>
                <w:rFonts w:ascii="Calibri" w:eastAsia="Times New Roman" w:hAnsi="Calibri" w:cs="Calibri"/>
                <w:color w:val="000000"/>
                <w:sz w:val="16"/>
                <w:szCs w:val="16"/>
              </w:rPr>
              <w:t>1</w:t>
            </w:r>
            <w:r w:rsidRPr="00B72483">
              <w:rPr>
                <w:rFonts w:ascii="Calibri" w:eastAsia="Times New Roman" w:hAnsi="Calibri" w:cs="Calibri"/>
                <w:color w:val="000000"/>
                <w:sz w:val="16"/>
                <w:szCs w:val="16"/>
              </w:rPr>
              <w:t xml:space="preserve"> </w:t>
            </w:r>
          </w:p>
        </w:tc>
        <w:tc>
          <w:tcPr>
            <w:tcW w:w="454" w:type="pct"/>
            <w:tcBorders>
              <w:top w:val="nil"/>
              <w:left w:val="nil"/>
              <w:bottom w:val="nil"/>
              <w:right w:val="nil"/>
            </w:tcBorders>
            <w:shd w:val="clear" w:color="auto" w:fill="auto"/>
            <w:noWrap/>
            <w:vAlign w:val="bottom"/>
            <w:hideMark/>
          </w:tcPr>
          <w:p w14:paraId="3DB779AF" w14:textId="1C0F5B15"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3.077.45</w:t>
            </w:r>
            <w:r w:rsidR="00C520A3">
              <w:rPr>
                <w:rFonts w:ascii="Calibri" w:eastAsia="Times New Roman" w:hAnsi="Calibri" w:cs="Calibri"/>
                <w:color w:val="000000"/>
                <w:sz w:val="16"/>
                <w:szCs w:val="16"/>
              </w:rPr>
              <w:t>1</w:t>
            </w:r>
            <w:r w:rsidRPr="00B72483">
              <w:rPr>
                <w:rFonts w:ascii="Calibri" w:eastAsia="Times New Roman" w:hAnsi="Calibri" w:cs="Calibri"/>
                <w:color w:val="000000"/>
                <w:sz w:val="16"/>
                <w:szCs w:val="16"/>
              </w:rPr>
              <w:t xml:space="preserve"> </w:t>
            </w:r>
          </w:p>
        </w:tc>
      </w:tr>
      <w:tr w:rsidR="00B72483" w:rsidRPr="00B72483" w14:paraId="0984002C" w14:textId="77777777" w:rsidTr="00143F6B">
        <w:trPr>
          <w:trHeight w:val="227"/>
        </w:trPr>
        <w:tc>
          <w:tcPr>
            <w:tcW w:w="52" w:type="pct"/>
            <w:tcBorders>
              <w:top w:val="nil"/>
              <w:left w:val="nil"/>
              <w:bottom w:val="nil"/>
              <w:right w:val="nil"/>
            </w:tcBorders>
            <w:shd w:val="clear" w:color="auto" w:fill="auto"/>
            <w:noWrap/>
            <w:vAlign w:val="bottom"/>
            <w:hideMark/>
          </w:tcPr>
          <w:p w14:paraId="779D23FE"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627AC3A7"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1AB0CB9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Despesas Antecipadas</w:t>
            </w:r>
          </w:p>
        </w:tc>
        <w:tc>
          <w:tcPr>
            <w:tcW w:w="251" w:type="pct"/>
            <w:tcBorders>
              <w:top w:val="nil"/>
              <w:left w:val="nil"/>
              <w:bottom w:val="nil"/>
              <w:right w:val="nil"/>
            </w:tcBorders>
            <w:shd w:val="clear" w:color="auto" w:fill="auto"/>
            <w:noWrap/>
            <w:vAlign w:val="bottom"/>
            <w:hideMark/>
          </w:tcPr>
          <w:p w14:paraId="0B7F253E"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8 </w:t>
            </w:r>
          </w:p>
        </w:tc>
        <w:tc>
          <w:tcPr>
            <w:tcW w:w="462" w:type="pct"/>
            <w:tcBorders>
              <w:top w:val="nil"/>
              <w:left w:val="nil"/>
              <w:bottom w:val="nil"/>
              <w:right w:val="nil"/>
            </w:tcBorders>
            <w:shd w:val="clear" w:color="auto" w:fill="auto"/>
            <w:noWrap/>
            <w:vAlign w:val="bottom"/>
            <w:hideMark/>
          </w:tcPr>
          <w:p w14:paraId="27C476A5" w14:textId="62F02893"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1.066.46</w:t>
            </w:r>
            <w:r w:rsidR="00D34F1C">
              <w:rPr>
                <w:rFonts w:ascii="Calibri" w:eastAsia="Times New Roman" w:hAnsi="Calibri" w:cs="Calibri"/>
                <w:color w:val="000000"/>
                <w:sz w:val="16"/>
                <w:szCs w:val="16"/>
              </w:rPr>
              <w:t>7</w:t>
            </w:r>
            <w:r w:rsidRPr="00B72483">
              <w:rPr>
                <w:rFonts w:ascii="Calibri" w:eastAsia="Times New Roman" w:hAnsi="Calibri" w:cs="Calibri"/>
                <w:color w:val="000000"/>
                <w:sz w:val="16"/>
                <w:szCs w:val="16"/>
              </w:rPr>
              <w:t xml:space="preserve"> </w:t>
            </w:r>
          </w:p>
        </w:tc>
        <w:tc>
          <w:tcPr>
            <w:tcW w:w="496" w:type="pct"/>
            <w:tcBorders>
              <w:top w:val="nil"/>
              <w:left w:val="nil"/>
              <w:bottom w:val="nil"/>
              <w:right w:val="nil"/>
            </w:tcBorders>
            <w:shd w:val="clear" w:color="auto" w:fill="auto"/>
            <w:noWrap/>
            <w:vAlign w:val="bottom"/>
            <w:hideMark/>
          </w:tcPr>
          <w:p w14:paraId="3708577B" w14:textId="0379C114"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1.254.666 </w:t>
            </w:r>
          </w:p>
        </w:tc>
        <w:tc>
          <w:tcPr>
            <w:tcW w:w="73" w:type="pct"/>
            <w:tcBorders>
              <w:top w:val="nil"/>
              <w:left w:val="nil"/>
              <w:bottom w:val="nil"/>
              <w:right w:val="nil"/>
            </w:tcBorders>
            <w:shd w:val="clear" w:color="auto" w:fill="auto"/>
            <w:noWrap/>
            <w:vAlign w:val="center"/>
            <w:hideMark/>
          </w:tcPr>
          <w:p w14:paraId="5610E4B8"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61235B48"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2471BD56"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3A79607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Depósitos Retidos Sobre Fornecedores</w:t>
            </w:r>
          </w:p>
        </w:tc>
        <w:tc>
          <w:tcPr>
            <w:tcW w:w="251" w:type="pct"/>
            <w:tcBorders>
              <w:top w:val="nil"/>
              <w:left w:val="nil"/>
              <w:bottom w:val="nil"/>
              <w:right w:val="nil"/>
            </w:tcBorders>
            <w:shd w:val="clear" w:color="auto" w:fill="auto"/>
            <w:noWrap/>
            <w:vAlign w:val="bottom"/>
            <w:hideMark/>
          </w:tcPr>
          <w:p w14:paraId="5D766F00"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23 </w:t>
            </w:r>
          </w:p>
        </w:tc>
        <w:tc>
          <w:tcPr>
            <w:tcW w:w="458" w:type="pct"/>
            <w:tcBorders>
              <w:top w:val="nil"/>
              <w:left w:val="nil"/>
              <w:bottom w:val="nil"/>
              <w:right w:val="nil"/>
            </w:tcBorders>
            <w:shd w:val="clear" w:color="auto" w:fill="auto"/>
            <w:noWrap/>
            <w:vAlign w:val="bottom"/>
            <w:hideMark/>
          </w:tcPr>
          <w:p w14:paraId="238D2E90" w14:textId="74056EB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27.655.54</w:t>
            </w:r>
            <w:r w:rsidR="00E928C2">
              <w:rPr>
                <w:rFonts w:ascii="Calibri" w:eastAsia="Times New Roman" w:hAnsi="Calibri" w:cs="Calibri"/>
                <w:color w:val="000000"/>
                <w:sz w:val="16"/>
                <w:szCs w:val="16"/>
              </w:rPr>
              <w:t>3</w:t>
            </w:r>
            <w:r w:rsidRPr="00B72483">
              <w:rPr>
                <w:rFonts w:ascii="Calibri" w:eastAsia="Times New Roman" w:hAnsi="Calibri" w:cs="Calibri"/>
                <w:color w:val="000000"/>
                <w:sz w:val="16"/>
                <w:szCs w:val="16"/>
              </w:rPr>
              <w:t xml:space="preserve"> </w:t>
            </w:r>
          </w:p>
        </w:tc>
        <w:tc>
          <w:tcPr>
            <w:tcW w:w="454" w:type="pct"/>
            <w:tcBorders>
              <w:top w:val="nil"/>
              <w:left w:val="nil"/>
              <w:bottom w:val="nil"/>
              <w:right w:val="nil"/>
            </w:tcBorders>
            <w:shd w:val="clear" w:color="auto" w:fill="auto"/>
            <w:noWrap/>
            <w:vAlign w:val="bottom"/>
            <w:hideMark/>
          </w:tcPr>
          <w:p w14:paraId="7A4022CD" w14:textId="0CD32AA8"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27.544.83</w:t>
            </w:r>
            <w:r w:rsidR="00C520A3">
              <w:rPr>
                <w:rFonts w:ascii="Calibri" w:eastAsia="Times New Roman" w:hAnsi="Calibri" w:cs="Calibri"/>
                <w:color w:val="000000"/>
                <w:sz w:val="16"/>
                <w:szCs w:val="16"/>
              </w:rPr>
              <w:t>8</w:t>
            </w:r>
            <w:r w:rsidRPr="00B72483">
              <w:rPr>
                <w:rFonts w:ascii="Calibri" w:eastAsia="Times New Roman" w:hAnsi="Calibri" w:cs="Calibri"/>
                <w:color w:val="000000"/>
                <w:sz w:val="16"/>
                <w:szCs w:val="16"/>
              </w:rPr>
              <w:t xml:space="preserve"> </w:t>
            </w:r>
          </w:p>
        </w:tc>
      </w:tr>
      <w:tr w:rsidR="00B72483" w:rsidRPr="00B72483" w14:paraId="51815536" w14:textId="77777777" w:rsidTr="00143F6B">
        <w:trPr>
          <w:trHeight w:val="227"/>
        </w:trPr>
        <w:tc>
          <w:tcPr>
            <w:tcW w:w="52" w:type="pct"/>
            <w:tcBorders>
              <w:top w:val="nil"/>
              <w:left w:val="nil"/>
              <w:bottom w:val="nil"/>
              <w:right w:val="nil"/>
            </w:tcBorders>
            <w:shd w:val="clear" w:color="auto" w:fill="auto"/>
            <w:noWrap/>
            <w:vAlign w:val="bottom"/>
            <w:hideMark/>
          </w:tcPr>
          <w:p w14:paraId="28074877"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3A73C4B6"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064E5EE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Depósitos de Cauções</w:t>
            </w:r>
          </w:p>
        </w:tc>
        <w:tc>
          <w:tcPr>
            <w:tcW w:w="251" w:type="pct"/>
            <w:tcBorders>
              <w:top w:val="nil"/>
              <w:left w:val="nil"/>
              <w:bottom w:val="nil"/>
              <w:right w:val="nil"/>
            </w:tcBorders>
            <w:shd w:val="clear" w:color="auto" w:fill="auto"/>
            <w:noWrap/>
            <w:vAlign w:val="bottom"/>
            <w:hideMark/>
          </w:tcPr>
          <w:p w14:paraId="079B5CCC"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10 </w:t>
            </w:r>
          </w:p>
        </w:tc>
        <w:tc>
          <w:tcPr>
            <w:tcW w:w="462" w:type="pct"/>
            <w:tcBorders>
              <w:top w:val="nil"/>
              <w:left w:val="nil"/>
              <w:bottom w:val="nil"/>
              <w:right w:val="nil"/>
            </w:tcBorders>
            <w:shd w:val="clear" w:color="auto" w:fill="auto"/>
            <w:noWrap/>
            <w:vAlign w:val="bottom"/>
            <w:hideMark/>
          </w:tcPr>
          <w:p w14:paraId="6E43BD45" w14:textId="332D974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481.453 </w:t>
            </w:r>
          </w:p>
        </w:tc>
        <w:tc>
          <w:tcPr>
            <w:tcW w:w="496" w:type="pct"/>
            <w:tcBorders>
              <w:top w:val="nil"/>
              <w:left w:val="nil"/>
              <w:bottom w:val="nil"/>
              <w:right w:val="nil"/>
            </w:tcBorders>
            <w:shd w:val="clear" w:color="auto" w:fill="auto"/>
            <w:noWrap/>
            <w:vAlign w:val="bottom"/>
            <w:hideMark/>
          </w:tcPr>
          <w:p w14:paraId="37C104FD" w14:textId="3C2C1470"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480.583 </w:t>
            </w:r>
          </w:p>
        </w:tc>
        <w:tc>
          <w:tcPr>
            <w:tcW w:w="73" w:type="pct"/>
            <w:tcBorders>
              <w:top w:val="nil"/>
              <w:left w:val="nil"/>
              <w:bottom w:val="nil"/>
              <w:right w:val="nil"/>
            </w:tcBorders>
            <w:shd w:val="clear" w:color="auto" w:fill="auto"/>
            <w:noWrap/>
            <w:vAlign w:val="center"/>
            <w:hideMark/>
          </w:tcPr>
          <w:p w14:paraId="02E940BF"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center"/>
            <w:hideMark/>
          </w:tcPr>
          <w:p w14:paraId="496582E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565BB581"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174F01B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Provisões para Contingências Judiciais</w:t>
            </w:r>
          </w:p>
        </w:tc>
        <w:tc>
          <w:tcPr>
            <w:tcW w:w="251" w:type="pct"/>
            <w:tcBorders>
              <w:top w:val="nil"/>
              <w:left w:val="nil"/>
              <w:bottom w:val="nil"/>
              <w:right w:val="nil"/>
            </w:tcBorders>
            <w:shd w:val="clear" w:color="auto" w:fill="auto"/>
            <w:noWrap/>
            <w:vAlign w:val="bottom"/>
            <w:hideMark/>
          </w:tcPr>
          <w:p w14:paraId="4D007F06"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22 </w:t>
            </w:r>
          </w:p>
        </w:tc>
        <w:tc>
          <w:tcPr>
            <w:tcW w:w="458" w:type="pct"/>
            <w:tcBorders>
              <w:top w:val="nil"/>
              <w:left w:val="nil"/>
              <w:bottom w:val="nil"/>
              <w:right w:val="nil"/>
            </w:tcBorders>
            <w:shd w:val="clear" w:color="auto" w:fill="auto"/>
            <w:noWrap/>
            <w:vAlign w:val="bottom"/>
            <w:hideMark/>
          </w:tcPr>
          <w:p w14:paraId="2715EAF7" w14:textId="6A273E8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1.927.661.923 </w:t>
            </w:r>
          </w:p>
        </w:tc>
        <w:tc>
          <w:tcPr>
            <w:tcW w:w="454" w:type="pct"/>
            <w:tcBorders>
              <w:top w:val="nil"/>
              <w:left w:val="nil"/>
              <w:bottom w:val="nil"/>
              <w:right w:val="nil"/>
            </w:tcBorders>
            <w:shd w:val="clear" w:color="auto" w:fill="auto"/>
            <w:noWrap/>
            <w:vAlign w:val="bottom"/>
            <w:hideMark/>
          </w:tcPr>
          <w:p w14:paraId="0EE3BAC8" w14:textId="0090682D"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1.950.942.066 </w:t>
            </w:r>
          </w:p>
        </w:tc>
      </w:tr>
      <w:tr w:rsidR="00B72483" w:rsidRPr="00B72483" w14:paraId="62F67199" w14:textId="77777777" w:rsidTr="00143F6B">
        <w:trPr>
          <w:trHeight w:val="227"/>
        </w:trPr>
        <w:tc>
          <w:tcPr>
            <w:tcW w:w="52" w:type="pct"/>
            <w:tcBorders>
              <w:top w:val="nil"/>
              <w:left w:val="nil"/>
              <w:bottom w:val="nil"/>
              <w:right w:val="nil"/>
            </w:tcBorders>
            <w:shd w:val="clear" w:color="auto" w:fill="auto"/>
            <w:noWrap/>
            <w:vAlign w:val="bottom"/>
            <w:hideMark/>
          </w:tcPr>
          <w:p w14:paraId="69AEC830"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7142D5E4"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2C1480B8"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Valores a Receber</w:t>
            </w:r>
          </w:p>
        </w:tc>
        <w:tc>
          <w:tcPr>
            <w:tcW w:w="251" w:type="pct"/>
            <w:tcBorders>
              <w:top w:val="nil"/>
              <w:left w:val="nil"/>
              <w:bottom w:val="nil"/>
              <w:right w:val="nil"/>
            </w:tcBorders>
            <w:shd w:val="clear" w:color="auto" w:fill="auto"/>
            <w:noWrap/>
            <w:vAlign w:val="bottom"/>
            <w:hideMark/>
          </w:tcPr>
          <w:p w14:paraId="299AD41C"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11 </w:t>
            </w:r>
          </w:p>
        </w:tc>
        <w:tc>
          <w:tcPr>
            <w:tcW w:w="462" w:type="pct"/>
            <w:tcBorders>
              <w:top w:val="nil"/>
              <w:left w:val="nil"/>
              <w:bottom w:val="nil"/>
              <w:right w:val="nil"/>
            </w:tcBorders>
            <w:shd w:val="clear" w:color="auto" w:fill="auto"/>
            <w:noWrap/>
            <w:vAlign w:val="bottom"/>
            <w:hideMark/>
          </w:tcPr>
          <w:p w14:paraId="33C7F1AA" w14:textId="176E3F30"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13.766 </w:t>
            </w:r>
          </w:p>
        </w:tc>
        <w:tc>
          <w:tcPr>
            <w:tcW w:w="496" w:type="pct"/>
            <w:tcBorders>
              <w:top w:val="nil"/>
              <w:left w:val="nil"/>
              <w:bottom w:val="nil"/>
              <w:right w:val="nil"/>
            </w:tcBorders>
            <w:shd w:val="clear" w:color="auto" w:fill="auto"/>
            <w:noWrap/>
            <w:vAlign w:val="bottom"/>
            <w:hideMark/>
          </w:tcPr>
          <w:p w14:paraId="188EE924" w14:textId="52262C10"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16.141 </w:t>
            </w:r>
          </w:p>
        </w:tc>
        <w:tc>
          <w:tcPr>
            <w:tcW w:w="73" w:type="pct"/>
            <w:tcBorders>
              <w:top w:val="nil"/>
              <w:left w:val="nil"/>
              <w:bottom w:val="nil"/>
              <w:right w:val="nil"/>
            </w:tcBorders>
            <w:shd w:val="clear" w:color="auto" w:fill="auto"/>
            <w:noWrap/>
            <w:vAlign w:val="center"/>
            <w:hideMark/>
          </w:tcPr>
          <w:p w14:paraId="3D92D083"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4456018A"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3285DDB4"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549722AC"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Depósitos de Cauções</w:t>
            </w:r>
          </w:p>
        </w:tc>
        <w:tc>
          <w:tcPr>
            <w:tcW w:w="251" w:type="pct"/>
            <w:tcBorders>
              <w:top w:val="nil"/>
              <w:left w:val="nil"/>
              <w:bottom w:val="nil"/>
              <w:right w:val="nil"/>
            </w:tcBorders>
            <w:shd w:val="clear" w:color="auto" w:fill="auto"/>
            <w:noWrap/>
            <w:vAlign w:val="bottom"/>
            <w:hideMark/>
          </w:tcPr>
          <w:p w14:paraId="451A09FC"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10 </w:t>
            </w:r>
          </w:p>
        </w:tc>
        <w:tc>
          <w:tcPr>
            <w:tcW w:w="458" w:type="pct"/>
            <w:tcBorders>
              <w:top w:val="nil"/>
              <w:left w:val="nil"/>
              <w:bottom w:val="nil"/>
              <w:right w:val="nil"/>
            </w:tcBorders>
            <w:shd w:val="clear" w:color="auto" w:fill="auto"/>
            <w:noWrap/>
            <w:vAlign w:val="bottom"/>
            <w:hideMark/>
          </w:tcPr>
          <w:p w14:paraId="12FDD8CC" w14:textId="0AC7A47C"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481.453 </w:t>
            </w:r>
          </w:p>
        </w:tc>
        <w:tc>
          <w:tcPr>
            <w:tcW w:w="454" w:type="pct"/>
            <w:tcBorders>
              <w:top w:val="nil"/>
              <w:left w:val="nil"/>
              <w:bottom w:val="nil"/>
              <w:right w:val="nil"/>
            </w:tcBorders>
            <w:shd w:val="clear" w:color="auto" w:fill="auto"/>
            <w:noWrap/>
            <w:vAlign w:val="bottom"/>
            <w:hideMark/>
          </w:tcPr>
          <w:p w14:paraId="2F72D231" w14:textId="1F6FA647"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480.583 </w:t>
            </w:r>
          </w:p>
        </w:tc>
      </w:tr>
      <w:tr w:rsidR="00143F6B" w:rsidRPr="00B72483" w14:paraId="3C09EF69" w14:textId="77777777" w:rsidTr="00143F6B">
        <w:trPr>
          <w:trHeight w:val="227"/>
        </w:trPr>
        <w:tc>
          <w:tcPr>
            <w:tcW w:w="1289" w:type="pct"/>
            <w:gridSpan w:val="3"/>
            <w:tcBorders>
              <w:top w:val="nil"/>
              <w:left w:val="nil"/>
              <w:bottom w:val="nil"/>
              <w:right w:val="nil"/>
            </w:tcBorders>
            <w:shd w:val="clear" w:color="auto" w:fill="auto"/>
            <w:noWrap/>
            <w:vAlign w:val="bottom"/>
          </w:tcPr>
          <w:p w14:paraId="10B0C25D" w14:textId="5E16438E" w:rsidR="00143F6B" w:rsidRPr="00B72483" w:rsidRDefault="00143F6B"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b/>
                <w:bCs/>
                <w:color w:val="000000"/>
                <w:sz w:val="16"/>
                <w:szCs w:val="16"/>
              </w:rPr>
              <w:t>Investimentos</w:t>
            </w:r>
          </w:p>
        </w:tc>
        <w:tc>
          <w:tcPr>
            <w:tcW w:w="251" w:type="pct"/>
            <w:tcBorders>
              <w:top w:val="nil"/>
              <w:left w:val="nil"/>
              <w:bottom w:val="nil"/>
              <w:right w:val="nil"/>
            </w:tcBorders>
            <w:shd w:val="clear" w:color="auto" w:fill="auto"/>
            <w:noWrap/>
            <w:vAlign w:val="bottom"/>
          </w:tcPr>
          <w:p w14:paraId="681D11F2" w14:textId="6574A582" w:rsidR="00143F6B" w:rsidRPr="00B72483" w:rsidRDefault="00143F6B"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12</w:t>
            </w:r>
          </w:p>
        </w:tc>
        <w:tc>
          <w:tcPr>
            <w:tcW w:w="462" w:type="pct"/>
            <w:tcBorders>
              <w:top w:val="nil"/>
              <w:left w:val="nil"/>
              <w:bottom w:val="nil"/>
              <w:right w:val="nil"/>
            </w:tcBorders>
            <w:shd w:val="clear" w:color="auto" w:fill="auto"/>
            <w:noWrap/>
            <w:vAlign w:val="bottom"/>
          </w:tcPr>
          <w:p w14:paraId="3E46588A" w14:textId="52C2D020" w:rsidR="00143F6B" w:rsidRPr="00B72483" w:rsidRDefault="00143F6B"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b/>
                <w:bCs/>
                <w:color w:val="000000"/>
                <w:sz w:val="16"/>
                <w:szCs w:val="16"/>
              </w:rPr>
              <w:t>876.346.402</w:t>
            </w:r>
          </w:p>
        </w:tc>
        <w:tc>
          <w:tcPr>
            <w:tcW w:w="496" w:type="pct"/>
            <w:tcBorders>
              <w:top w:val="nil"/>
              <w:left w:val="nil"/>
              <w:bottom w:val="nil"/>
              <w:right w:val="nil"/>
            </w:tcBorders>
            <w:shd w:val="clear" w:color="auto" w:fill="auto"/>
            <w:noWrap/>
            <w:vAlign w:val="bottom"/>
          </w:tcPr>
          <w:p w14:paraId="2BBF87FE" w14:textId="6C34746A" w:rsidR="00143F6B" w:rsidRPr="00B72483" w:rsidRDefault="00143F6B"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b/>
                <w:bCs/>
                <w:color w:val="000000"/>
                <w:sz w:val="16"/>
                <w:szCs w:val="16"/>
              </w:rPr>
              <w:t>881.391.29</w:t>
            </w:r>
            <w:r>
              <w:rPr>
                <w:rFonts w:ascii="Calibri" w:eastAsia="Times New Roman" w:hAnsi="Calibri" w:cs="Calibri"/>
                <w:b/>
                <w:bCs/>
                <w:color w:val="000000"/>
                <w:sz w:val="16"/>
                <w:szCs w:val="16"/>
              </w:rPr>
              <w:t>8</w:t>
            </w:r>
          </w:p>
        </w:tc>
        <w:tc>
          <w:tcPr>
            <w:tcW w:w="73" w:type="pct"/>
            <w:tcBorders>
              <w:top w:val="nil"/>
              <w:left w:val="nil"/>
              <w:bottom w:val="nil"/>
              <w:right w:val="nil"/>
            </w:tcBorders>
            <w:shd w:val="clear" w:color="auto" w:fill="auto"/>
            <w:noWrap/>
            <w:vAlign w:val="center"/>
          </w:tcPr>
          <w:p w14:paraId="6DD0D74A" w14:textId="77777777" w:rsidR="00143F6B" w:rsidRPr="00B72483" w:rsidRDefault="00143F6B"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tcPr>
          <w:p w14:paraId="7FE01EAD" w14:textId="77777777" w:rsidR="00143F6B" w:rsidRPr="00B72483" w:rsidRDefault="00143F6B" w:rsidP="00B72483">
            <w:pPr>
              <w:spacing w:after="0" w:line="240" w:lineRule="auto"/>
              <w:rPr>
                <w:rFonts w:ascii="Calibri" w:eastAsia="Times New Roman" w:hAnsi="Calibri" w:cs="Calibri"/>
                <w:color w:val="000000"/>
                <w:sz w:val="16"/>
                <w:szCs w:val="16"/>
              </w:rPr>
            </w:pPr>
          </w:p>
        </w:tc>
        <w:tc>
          <w:tcPr>
            <w:tcW w:w="57" w:type="pct"/>
            <w:tcBorders>
              <w:top w:val="nil"/>
              <w:left w:val="nil"/>
              <w:bottom w:val="nil"/>
              <w:right w:val="nil"/>
            </w:tcBorders>
            <w:shd w:val="clear" w:color="auto" w:fill="auto"/>
            <w:noWrap/>
            <w:vAlign w:val="bottom"/>
          </w:tcPr>
          <w:p w14:paraId="5405C929" w14:textId="77777777" w:rsidR="00143F6B" w:rsidRPr="00B72483" w:rsidRDefault="00143F6B"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tcPr>
          <w:p w14:paraId="7D02FC89" w14:textId="0DBB4CE9" w:rsidR="00143F6B" w:rsidRPr="00B72483" w:rsidRDefault="00143F6B"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Receita a Diferir – Pátios e Terminais</w:t>
            </w:r>
          </w:p>
        </w:tc>
        <w:tc>
          <w:tcPr>
            <w:tcW w:w="251" w:type="pct"/>
            <w:tcBorders>
              <w:top w:val="nil"/>
              <w:left w:val="nil"/>
              <w:bottom w:val="nil"/>
              <w:right w:val="nil"/>
            </w:tcBorders>
            <w:shd w:val="clear" w:color="auto" w:fill="auto"/>
            <w:noWrap/>
            <w:vAlign w:val="bottom"/>
          </w:tcPr>
          <w:p w14:paraId="769F2162" w14:textId="7326DE55" w:rsidR="00143F6B" w:rsidRPr="00B72483" w:rsidRDefault="00143F6B"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18</w:t>
            </w:r>
          </w:p>
        </w:tc>
        <w:tc>
          <w:tcPr>
            <w:tcW w:w="458" w:type="pct"/>
            <w:tcBorders>
              <w:top w:val="nil"/>
              <w:left w:val="nil"/>
              <w:bottom w:val="nil"/>
              <w:right w:val="nil"/>
            </w:tcBorders>
            <w:shd w:val="clear" w:color="auto" w:fill="auto"/>
            <w:noWrap/>
            <w:vAlign w:val="bottom"/>
          </w:tcPr>
          <w:p w14:paraId="51D09221" w14:textId="24E4B895" w:rsidR="00143F6B" w:rsidRPr="00B72483" w:rsidRDefault="00143F6B"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46.558.71</w:t>
            </w:r>
            <w:r>
              <w:rPr>
                <w:rFonts w:ascii="Calibri" w:eastAsia="Times New Roman" w:hAnsi="Calibri" w:cs="Calibri"/>
                <w:color w:val="000000"/>
                <w:sz w:val="16"/>
                <w:szCs w:val="16"/>
              </w:rPr>
              <w:t>5</w:t>
            </w:r>
          </w:p>
        </w:tc>
        <w:tc>
          <w:tcPr>
            <w:tcW w:w="454" w:type="pct"/>
            <w:tcBorders>
              <w:top w:val="nil"/>
              <w:left w:val="nil"/>
              <w:bottom w:val="nil"/>
              <w:right w:val="nil"/>
            </w:tcBorders>
            <w:shd w:val="clear" w:color="auto" w:fill="auto"/>
            <w:noWrap/>
            <w:vAlign w:val="bottom"/>
          </w:tcPr>
          <w:p w14:paraId="4982DA9F" w14:textId="12842E86" w:rsidR="00143F6B" w:rsidRPr="00B72483" w:rsidRDefault="00143F6B"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45.415.969</w:t>
            </w:r>
          </w:p>
        </w:tc>
      </w:tr>
      <w:tr w:rsidR="00B72483" w:rsidRPr="00B72483" w14:paraId="14E4E653" w14:textId="77777777" w:rsidTr="00143F6B">
        <w:trPr>
          <w:trHeight w:val="227"/>
        </w:trPr>
        <w:tc>
          <w:tcPr>
            <w:tcW w:w="1289" w:type="pct"/>
            <w:gridSpan w:val="3"/>
            <w:tcBorders>
              <w:top w:val="nil"/>
              <w:left w:val="nil"/>
              <w:bottom w:val="nil"/>
              <w:right w:val="nil"/>
            </w:tcBorders>
            <w:shd w:val="clear" w:color="auto" w:fill="auto"/>
            <w:noWrap/>
            <w:vAlign w:val="bottom"/>
            <w:hideMark/>
          </w:tcPr>
          <w:p w14:paraId="58921639"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Imobilizado</w:t>
            </w:r>
          </w:p>
        </w:tc>
        <w:tc>
          <w:tcPr>
            <w:tcW w:w="251" w:type="pct"/>
            <w:tcBorders>
              <w:top w:val="nil"/>
              <w:left w:val="nil"/>
              <w:bottom w:val="nil"/>
              <w:right w:val="nil"/>
            </w:tcBorders>
            <w:shd w:val="clear" w:color="auto" w:fill="auto"/>
            <w:noWrap/>
            <w:vAlign w:val="bottom"/>
            <w:hideMark/>
          </w:tcPr>
          <w:p w14:paraId="776B7D38" w14:textId="0526914C"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13 </w:t>
            </w:r>
          </w:p>
        </w:tc>
        <w:tc>
          <w:tcPr>
            <w:tcW w:w="462" w:type="pct"/>
            <w:tcBorders>
              <w:top w:val="nil"/>
              <w:left w:val="nil"/>
              <w:bottom w:val="nil"/>
              <w:right w:val="nil"/>
            </w:tcBorders>
            <w:shd w:val="clear" w:color="auto" w:fill="auto"/>
            <w:noWrap/>
            <w:vAlign w:val="center"/>
            <w:hideMark/>
          </w:tcPr>
          <w:p w14:paraId="71AFB87D" w14:textId="569E3012"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4.968.810.864 </w:t>
            </w:r>
          </w:p>
        </w:tc>
        <w:tc>
          <w:tcPr>
            <w:tcW w:w="496" w:type="pct"/>
            <w:tcBorders>
              <w:top w:val="nil"/>
              <w:left w:val="nil"/>
              <w:bottom w:val="nil"/>
              <w:right w:val="nil"/>
            </w:tcBorders>
            <w:shd w:val="clear" w:color="auto" w:fill="auto"/>
            <w:noWrap/>
            <w:vAlign w:val="center"/>
            <w:hideMark/>
          </w:tcPr>
          <w:p w14:paraId="7D458A05" w14:textId="546F896E"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4.782.532.43</w:t>
            </w:r>
            <w:r w:rsidR="00455354">
              <w:rPr>
                <w:rFonts w:ascii="Calibri" w:eastAsia="Times New Roman" w:hAnsi="Calibri" w:cs="Calibri"/>
                <w:b/>
                <w:bCs/>
                <w:color w:val="000000"/>
                <w:sz w:val="16"/>
                <w:szCs w:val="16"/>
              </w:rPr>
              <w:t>3</w:t>
            </w:r>
            <w:r w:rsidRPr="00B72483">
              <w:rPr>
                <w:rFonts w:ascii="Calibri" w:eastAsia="Times New Roman" w:hAnsi="Calibri" w:cs="Calibri"/>
                <w:b/>
                <w:bCs/>
                <w:color w:val="000000"/>
                <w:sz w:val="16"/>
                <w:szCs w:val="16"/>
              </w:rPr>
              <w:t xml:space="preserve"> </w:t>
            </w:r>
          </w:p>
        </w:tc>
        <w:tc>
          <w:tcPr>
            <w:tcW w:w="73" w:type="pct"/>
            <w:tcBorders>
              <w:top w:val="nil"/>
              <w:left w:val="nil"/>
              <w:bottom w:val="nil"/>
              <w:right w:val="nil"/>
            </w:tcBorders>
            <w:shd w:val="clear" w:color="auto" w:fill="auto"/>
            <w:noWrap/>
            <w:vAlign w:val="bottom"/>
            <w:hideMark/>
          </w:tcPr>
          <w:p w14:paraId="6FCCD055"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1F614A1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7263F58C"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7FCFE79A"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Receita a Diferir – Subconcessão FIOL</w:t>
            </w:r>
          </w:p>
        </w:tc>
        <w:tc>
          <w:tcPr>
            <w:tcW w:w="251" w:type="pct"/>
            <w:tcBorders>
              <w:top w:val="nil"/>
              <w:left w:val="nil"/>
              <w:bottom w:val="nil"/>
              <w:right w:val="nil"/>
            </w:tcBorders>
            <w:shd w:val="clear" w:color="auto" w:fill="auto"/>
            <w:noWrap/>
            <w:vAlign w:val="bottom"/>
            <w:hideMark/>
          </w:tcPr>
          <w:p w14:paraId="65F506F0" w14:textId="176DE075"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19 </w:t>
            </w:r>
          </w:p>
        </w:tc>
        <w:tc>
          <w:tcPr>
            <w:tcW w:w="458" w:type="pct"/>
            <w:tcBorders>
              <w:top w:val="nil"/>
              <w:left w:val="nil"/>
              <w:bottom w:val="nil"/>
              <w:right w:val="nil"/>
            </w:tcBorders>
            <w:shd w:val="clear" w:color="auto" w:fill="auto"/>
            <w:noWrap/>
            <w:vAlign w:val="bottom"/>
            <w:hideMark/>
          </w:tcPr>
          <w:p w14:paraId="0418191B" w14:textId="04AAF0F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29.457.000 </w:t>
            </w:r>
          </w:p>
        </w:tc>
        <w:tc>
          <w:tcPr>
            <w:tcW w:w="454" w:type="pct"/>
            <w:tcBorders>
              <w:top w:val="nil"/>
              <w:left w:val="nil"/>
              <w:bottom w:val="nil"/>
              <w:right w:val="nil"/>
            </w:tcBorders>
            <w:shd w:val="clear" w:color="auto" w:fill="auto"/>
            <w:noWrap/>
            <w:vAlign w:val="bottom"/>
            <w:hideMark/>
          </w:tcPr>
          <w:p w14:paraId="2B87D436" w14:textId="7B8A005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29.690.786 </w:t>
            </w:r>
          </w:p>
        </w:tc>
      </w:tr>
      <w:tr w:rsidR="00B72483" w:rsidRPr="00B72483" w14:paraId="52F09A05" w14:textId="77777777" w:rsidTr="00143F6B">
        <w:trPr>
          <w:trHeight w:val="227"/>
        </w:trPr>
        <w:tc>
          <w:tcPr>
            <w:tcW w:w="52" w:type="pct"/>
            <w:tcBorders>
              <w:top w:val="nil"/>
              <w:left w:val="nil"/>
              <w:bottom w:val="nil"/>
              <w:right w:val="nil"/>
            </w:tcBorders>
            <w:shd w:val="clear" w:color="auto" w:fill="auto"/>
            <w:noWrap/>
            <w:vAlign w:val="bottom"/>
            <w:hideMark/>
          </w:tcPr>
          <w:p w14:paraId="2C64B54D"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1237" w:type="pct"/>
            <w:gridSpan w:val="2"/>
            <w:tcBorders>
              <w:top w:val="nil"/>
              <w:left w:val="nil"/>
              <w:bottom w:val="nil"/>
              <w:right w:val="nil"/>
            </w:tcBorders>
            <w:shd w:val="clear" w:color="auto" w:fill="auto"/>
            <w:noWrap/>
            <w:vAlign w:val="bottom"/>
            <w:hideMark/>
          </w:tcPr>
          <w:p w14:paraId="2E8C18D3"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Bens Móveis</w:t>
            </w:r>
          </w:p>
        </w:tc>
        <w:tc>
          <w:tcPr>
            <w:tcW w:w="251" w:type="pct"/>
            <w:tcBorders>
              <w:top w:val="nil"/>
              <w:left w:val="nil"/>
              <w:bottom w:val="nil"/>
              <w:right w:val="nil"/>
            </w:tcBorders>
            <w:shd w:val="clear" w:color="auto" w:fill="auto"/>
            <w:noWrap/>
            <w:vAlign w:val="bottom"/>
            <w:hideMark/>
          </w:tcPr>
          <w:p w14:paraId="4FA125ED"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13.1</w:t>
            </w:r>
          </w:p>
        </w:tc>
        <w:tc>
          <w:tcPr>
            <w:tcW w:w="462" w:type="pct"/>
            <w:tcBorders>
              <w:top w:val="nil"/>
              <w:left w:val="nil"/>
              <w:bottom w:val="nil"/>
              <w:right w:val="nil"/>
            </w:tcBorders>
            <w:shd w:val="clear" w:color="auto" w:fill="auto"/>
            <w:noWrap/>
            <w:vAlign w:val="center"/>
            <w:hideMark/>
          </w:tcPr>
          <w:p w14:paraId="7438D5AD" w14:textId="1DE7FC43"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5.669.02</w:t>
            </w:r>
            <w:r w:rsidR="00700798">
              <w:rPr>
                <w:rFonts w:ascii="Calibri" w:eastAsia="Times New Roman" w:hAnsi="Calibri" w:cs="Calibri"/>
                <w:b/>
                <w:bCs/>
                <w:color w:val="000000"/>
                <w:sz w:val="16"/>
                <w:szCs w:val="16"/>
              </w:rPr>
              <w:t>7</w:t>
            </w:r>
            <w:r w:rsidRPr="00B72483">
              <w:rPr>
                <w:rFonts w:ascii="Calibri" w:eastAsia="Times New Roman" w:hAnsi="Calibri" w:cs="Calibri"/>
                <w:b/>
                <w:bCs/>
                <w:color w:val="000000"/>
                <w:sz w:val="16"/>
                <w:szCs w:val="16"/>
              </w:rPr>
              <w:t xml:space="preserve"> </w:t>
            </w:r>
          </w:p>
        </w:tc>
        <w:tc>
          <w:tcPr>
            <w:tcW w:w="496" w:type="pct"/>
            <w:tcBorders>
              <w:top w:val="nil"/>
              <w:left w:val="nil"/>
              <w:bottom w:val="nil"/>
              <w:right w:val="nil"/>
            </w:tcBorders>
            <w:shd w:val="clear" w:color="auto" w:fill="auto"/>
            <w:noWrap/>
            <w:vAlign w:val="center"/>
            <w:hideMark/>
          </w:tcPr>
          <w:p w14:paraId="436A5338" w14:textId="5F290225"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6.132.25</w:t>
            </w:r>
            <w:r w:rsidR="00CE7DDC">
              <w:rPr>
                <w:rFonts w:ascii="Calibri" w:eastAsia="Times New Roman" w:hAnsi="Calibri" w:cs="Calibri"/>
                <w:b/>
                <w:bCs/>
                <w:color w:val="000000"/>
                <w:sz w:val="16"/>
                <w:szCs w:val="16"/>
              </w:rPr>
              <w:t>2</w:t>
            </w:r>
            <w:r w:rsidRPr="00B72483">
              <w:rPr>
                <w:rFonts w:ascii="Calibri" w:eastAsia="Times New Roman" w:hAnsi="Calibri" w:cs="Calibri"/>
                <w:b/>
                <w:bCs/>
                <w:color w:val="000000"/>
                <w:sz w:val="16"/>
                <w:szCs w:val="16"/>
              </w:rPr>
              <w:t xml:space="preserve"> </w:t>
            </w:r>
          </w:p>
        </w:tc>
        <w:tc>
          <w:tcPr>
            <w:tcW w:w="73" w:type="pct"/>
            <w:tcBorders>
              <w:top w:val="nil"/>
              <w:left w:val="nil"/>
              <w:bottom w:val="nil"/>
              <w:right w:val="nil"/>
            </w:tcBorders>
            <w:shd w:val="clear" w:color="auto" w:fill="auto"/>
            <w:noWrap/>
            <w:vAlign w:val="bottom"/>
            <w:hideMark/>
          </w:tcPr>
          <w:p w14:paraId="61077178"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7598F88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088387D9"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38FF4ED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Investimento Cruzado</w:t>
            </w:r>
          </w:p>
        </w:tc>
        <w:tc>
          <w:tcPr>
            <w:tcW w:w="251" w:type="pct"/>
            <w:tcBorders>
              <w:top w:val="nil"/>
              <w:left w:val="nil"/>
              <w:bottom w:val="nil"/>
              <w:right w:val="nil"/>
            </w:tcBorders>
            <w:shd w:val="clear" w:color="auto" w:fill="auto"/>
            <w:noWrap/>
            <w:vAlign w:val="bottom"/>
            <w:hideMark/>
          </w:tcPr>
          <w:p w14:paraId="3580AB75" w14:textId="43ADFF43"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24 </w:t>
            </w:r>
          </w:p>
        </w:tc>
        <w:tc>
          <w:tcPr>
            <w:tcW w:w="458" w:type="pct"/>
            <w:tcBorders>
              <w:top w:val="nil"/>
              <w:left w:val="nil"/>
              <w:bottom w:val="nil"/>
              <w:right w:val="nil"/>
            </w:tcBorders>
            <w:shd w:val="clear" w:color="auto" w:fill="auto"/>
            <w:noWrap/>
            <w:vAlign w:val="bottom"/>
            <w:hideMark/>
          </w:tcPr>
          <w:p w14:paraId="243E6C11" w14:textId="19D04B6B"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1.451.284.722 </w:t>
            </w:r>
          </w:p>
        </w:tc>
        <w:tc>
          <w:tcPr>
            <w:tcW w:w="454" w:type="pct"/>
            <w:tcBorders>
              <w:top w:val="nil"/>
              <w:left w:val="nil"/>
              <w:bottom w:val="nil"/>
              <w:right w:val="nil"/>
            </w:tcBorders>
            <w:shd w:val="clear" w:color="auto" w:fill="auto"/>
            <w:noWrap/>
            <w:vAlign w:val="bottom"/>
            <w:hideMark/>
          </w:tcPr>
          <w:p w14:paraId="09C4835F" w14:textId="4CFDD78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1.287.061.676 </w:t>
            </w:r>
          </w:p>
        </w:tc>
      </w:tr>
      <w:tr w:rsidR="00B72483" w:rsidRPr="00B72483" w14:paraId="350F81EC" w14:textId="77777777" w:rsidTr="00143F6B">
        <w:trPr>
          <w:trHeight w:val="227"/>
        </w:trPr>
        <w:tc>
          <w:tcPr>
            <w:tcW w:w="52" w:type="pct"/>
            <w:tcBorders>
              <w:top w:val="nil"/>
              <w:left w:val="nil"/>
              <w:bottom w:val="nil"/>
              <w:right w:val="nil"/>
            </w:tcBorders>
            <w:shd w:val="clear" w:color="auto" w:fill="auto"/>
            <w:noWrap/>
            <w:vAlign w:val="bottom"/>
            <w:hideMark/>
          </w:tcPr>
          <w:p w14:paraId="735188BB"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19F762C0"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42941A1F" w14:textId="77777777" w:rsidR="00B72483" w:rsidRPr="004433FF" w:rsidRDefault="00B72483" w:rsidP="00B72483">
            <w:pPr>
              <w:spacing w:after="0" w:line="240" w:lineRule="auto"/>
              <w:rPr>
                <w:rFonts w:ascii="Calibri" w:eastAsia="Times New Roman" w:hAnsi="Calibri" w:cs="Calibri"/>
                <w:sz w:val="16"/>
                <w:szCs w:val="16"/>
              </w:rPr>
            </w:pPr>
            <w:r w:rsidRPr="004433FF">
              <w:rPr>
                <w:rFonts w:ascii="Calibri" w:eastAsia="Times New Roman" w:hAnsi="Calibri" w:cs="Calibri"/>
                <w:sz w:val="16"/>
                <w:szCs w:val="16"/>
              </w:rPr>
              <w:t>Bens Móveis</w:t>
            </w:r>
          </w:p>
        </w:tc>
        <w:tc>
          <w:tcPr>
            <w:tcW w:w="251" w:type="pct"/>
            <w:tcBorders>
              <w:top w:val="nil"/>
              <w:left w:val="nil"/>
              <w:bottom w:val="nil"/>
              <w:right w:val="nil"/>
            </w:tcBorders>
            <w:shd w:val="clear" w:color="auto" w:fill="auto"/>
            <w:noWrap/>
            <w:vAlign w:val="bottom"/>
            <w:hideMark/>
          </w:tcPr>
          <w:p w14:paraId="46BADDD8" w14:textId="77777777" w:rsidR="00B72483" w:rsidRPr="004433FF" w:rsidRDefault="00B72483" w:rsidP="00B72483">
            <w:pPr>
              <w:spacing w:after="0" w:line="240" w:lineRule="auto"/>
              <w:rPr>
                <w:rFonts w:ascii="Calibri" w:eastAsia="Times New Roman" w:hAnsi="Calibri" w:cs="Calibri"/>
                <w:sz w:val="16"/>
                <w:szCs w:val="16"/>
              </w:rPr>
            </w:pPr>
          </w:p>
        </w:tc>
        <w:tc>
          <w:tcPr>
            <w:tcW w:w="462" w:type="pct"/>
            <w:tcBorders>
              <w:top w:val="nil"/>
              <w:left w:val="nil"/>
              <w:bottom w:val="nil"/>
              <w:right w:val="nil"/>
            </w:tcBorders>
            <w:shd w:val="clear" w:color="auto" w:fill="auto"/>
            <w:noWrap/>
            <w:vAlign w:val="bottom"/>
            <w:hideMark/>
          </w:tcPr>
          <w:p w14:paraId="09DD855C" w14:textId="01BFA99C" w:rsidR="00B72483" w:rsidRPr="004433FF" w:rsidRDefault="00B72483" w:rsidP="00B72483">
            <w:pPr>
              <w:spacing w:after="0" w:line="240" w:lineRule="auto"/>
              <w:jc w:val="right"/>
              <w:rPr>
                <w:rFonts w:ascii="Calibri" w:eastAsia="Times New Roman" w:hAnsi="Calibri" w:cs="Calibri"/>
                <w:sz w:val="16"/>
                <w:szCs w:val="16"/>
              </w:rPr>
            </w:pPr>
            <w:r w:rsidRPr="004433FF">
              <w:rPr>
                <w:rFonts w:ascii="Calibri" w:eastAsia="Times New Roman" w:hAnsi="Calibri" w:cs="Calibri"/>
                <w:sz w:val="16"/>
                <w:szCs w:val="16"/>
              </w:rPr>
              <w:t xml:space="preserve"> 49.853.710 </w:t>
            </w:r>
          </w:p>
        </w:tc>
        <w:tc>
          <w:tcPr>
            <w:tcW w:w="496" w:type="pct"/>
            <w:tcBorders>
              <w:top w:val="nil"/>
              <w:left w:val="nil"/>
              <w:bottom w:val="nil"/>
              <w:right w:val="nil"/>
            </w:tcBorders>
            <w:shd w:val="clear" w:color="auto" w:fill="auto"/>
            <w:noWrap/>
            <w:vAlign w:val="bottom"/>
            <w:hideMark/>
          </w:tcPr>
          <w:p w14:paraId="1251BE64" w14:textId="077288D8" w:rsidR="00B72483" w:rsidRPr="004433FF" w:rsidRDefault="00B72483" w:rsidP="00B72483">
            <w:pPr>
              <w:spacing w:after="0" w:line="240" w:lineRule="auto"/>
              <w:jc w:val="right"/>
              <w:rPr>
                <w:rFonts w:ascii="Calibri" w:eastAsia="Times New Roman" w:hAnsi="Calibri" w:cs="Calibri"/>
                <w:sz w:val="16"/>
                <w:szCs w:val="16"/>
              </w:rPr>
            </w:pPr>
            <w:r w:rsidRPr="004433FF">
              <w:rPr>
                <w:rFonts w:ascii="Calibri" w:eastAsia="Times New Roman" w:hAnsi="Calibri" w:cs="Calibri"/>
                <w:sz w:val="16"/>
                <w:szCs w:val="16"/>
              </w:rPr>
              <w:t xml:space="preserve">52.286.864 </w:t>
            </w:r>
          </w:p>
        </w:tc>
        <w:tc>
          <w:tcPr>
            <w:tcW w:w="73" w:type="pct"/>
            <w:tcBorders>
              <w:top w:val="nil"/>
              <w:left w:val="nil"/>
              <w:bottom w:val="nil"/>
              <w:right w:val="nil"/>
            </w:tcBorders>
            <w:shd w:val="clear" w:color="auto" w:fill="auto"/>
            <w:noWrap/>
            <w:vAlign w:val="bottom"/>
            <w:hideMark/>
          </w:tcPr>
          <w:p w14:paraId="6501BCFF"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0EBC651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6C7F171E"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62A6CC1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Arrendamentos de Ativos de Direito de Uso</w:t>
            </w:r>
          </w:p>
        </w:tc>
        <w:tc>
          <w:tcPr>
            <w:tcW w:w="251" w:type="pct"/>
            <w:tcBorders>
              <w:top w:val="nil"/>
              <w:left w:val="nil"/>
              <w:bottom w:val="nil"/>
              <w:right w:val="nil"/>
            </w:tcBorders>
            <w:shd w:val="clear" w:color="auto" w:fill="auto"/>
            <w:noWrap/>
            <w:vAlign w:val="bottom"/>
            <w:hideMark/>
          </w:tcPr>
          <w:p w14:paraId="33F0614D" w14:textId="771793C0"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21 </w:t>
            </w:r>
          </w:p>
        </w:tc>
        <w:tc>
          <w:tcPr>
            <w:tcW w:w="458" w:type="pct"/>
            <w:tcBorders>
              <w:top w:val="nil"/>
              <w:left w:val="nil"/>
              <w:bottom w:val="nil"/>
              <w:right w:val="nil"/>
            </w:tcBorders>
            <w:shd w:val="clear" w:color="auto" w:fill="auto"/>
            <w:noWrap/>
            <w:vAlign w:val="bottom"/>
            <w:hideMark/>
          </w:tcPr>
          <w:p w14:paraId="27D1A3BC" w14:textId="220A25A8"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6.219.306 </w:t>
            </w:r>
          </w:p>
        </w:tc>
        <w:tc>
          <w:tcPr>
            <w:tcW w:w="454" w:type="pct"/>
            <w:tcBorders>
              <w:top w:val="nil"/>
              <w:left w:val="nil"/>
              <w:bottom w:val="nil"/>
              <w:right w:val="nil"/>
            </w:tcBorders>
            <w:shd w:val="clear" w:color="auto" w:fill="auto"/>
            <w:noWrap/>
            <w:vAlign w:val="bottom"/>
            <w:hideMark/>
          </w:tcPr>
          <w:p w14:paraId="30833831" w14:textId="77152A8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7.087.579 </w:t>
            </w:r>
          </w:p>
        </w:tc>
      </w:tr>
      <w:tr w:rsidR="00B72483" w:rsidRPr="00B72483" w14:paraId="2F1AE544" w14:textId="77777777" w:rsidTr="00143F6B">
        <w:trPr>
          <w:trHeight w:val="227"/>
        </w:trPr>
        <w:tc>
          <w:tcPr>
            <w:tcW w:w="52" w:type="pct"/>
            <w:tcBorders>
              <w:top w:val="nil"/>
              <w:left w:val="nil"/>
              <w:bottom w:val="nil"/>
              <w:right w:val="nil"/>
            </w:tcBorders>
            <w:shd w:val="clear" w:color="auto" w:fill="auto"/>
            <w:noWrap/>
            <w:vAlign w:val="bottom"/>
            <w:hideMark/>
          </w:tcPr>
          <w:p w14:paraId="2EF81792"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7EAD17E6"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517AC6EB" w14:textId="77777777" w:rsidR="00B72483" w:rsidRPr="004433FF" w:rsidRDefault="00B72483" w:rsidP="00B72483">
            <w:pPr>
              <w:spacing w:after="0" w:line="240" w:lineRule="auto"/>
              <w:rPr>
                <w:rFonts w:ascii="Calibri" w:eastAsia="Times New Roman" w:hAnsi="Calibri" w:cs="Calibri"/>
                <w:sz w:val="16"/>
                <w:szCs w:val="16"/>
              </w:rPr>
            </w:pPr>
            <w:r w:rsidRPr="004433FF">
              <w:rPr>
                <w:rFonts w:ascii="Calibri" w:eastAsia="Times New Roman" w:hAnsi="Calibri" w:cs="Calibri"/>
                <w:sz w:val="16"/>
                <w:szCs w:val="16"/>
              </w:rPr>
              <w:t>(-) Depreciação Acumulada – Bens Móveis</w:t>
            </w:r>
          </w:p>
        </w:tc>
        <w:tc>
          <w:tcPr>
            <w:tcW w:w="251" w:type="pct"/>
            <w:tcBorders>
              <w:top w:val="nil"/>
              <w:left w:val="nil"/>
              <w:bottom w:val="nil"/>
              <w:right w:val="nil"/>
            </w:tcBorders>
            <w:shd w:val="clear" w:color="auto" w:fill="auto"/>
            <w:noWrap/>
            <w:vAlign w:val="bottom"/>
            <w:hideMark/>
          </w:tcPr>
          <w:p w14:paraId="6E2E02A8" w14:textId="77777777" w:rsidR="00B72483" w:rsidRPr="004433FF" w:rsidRDefault="00B72483" w:rsidP="00B72483">
            <w:pPr>
              <w:spacing w:after="0" w:line="240" w:lineRule="auto"/>
              <w:rPr>
                <w:rFonts w:ascii="Calibri" w:eastAsia="Times New Roman" w:hAnsi="Calibri" w:cs="Calibri"/>
                <w:sz w:val="16"/>
                <w:szCs w:val="16"/>
              </w:rPr>
            </w:pPr>
          </w:p>
        </w:tc>
        <w:tc>
          <w:tcPr>
            <w:tcW w:w="462" w:type="pct"/>
            <w:tcBorders>
              <w:top w:val="nil"/>
              <w:left w:val="nil"/>
              <w:bottom w:val="nil"/>
              <w:right w:val="nil"/>
            </w:tcBorders>
            <w:shd w:val="clear" w:color="auto" w:fill="auto"/>
            <w:noWrap/>
            <w:vAlign w:val="bottom"/>
            <w:hideMark/>
          </w:tcPr>
          <w:p w14:paraId="7628C656" w14:textId="559613CC" w:rsidR="00B72483" w:rsidRPr="004433FF" w:rsidRDefault="00B72483" w:rsidP="00B72483">
            <w:pPr>
              <w:spacing w:after="0" w:line="240" w:lineRule="auto"/>
              <w:jc w:val="right"/>
              <w:rPr>
                <w:rFonts w:ascii="Calibri" w:eastAsia="Times New Roman" w:hAnsi="Calibri" w:cs="Calibri"/>
                <w:sz w:val="16"/>
                <w:szCs w:val="16"/>
              </w:rPr>
            </w:pPr>
            <w:r w:rsidRPr="004433FF">
              <w:rPr>
                <w:rFonts w:ascii="Calibri" w:eastAsia="Times New Roman" w:hAnsi="Calibri" w:cs="Calibri"/>
                <w:sz w:val="16"/>
                <w:szCs w:val="16"/>
              </w:rPr>
              <w:t xml:space="preserve"> (44.166.</w:t>
            </w:r>
            <w:r w:rsidRPr="00260F5E">
              <w:rPr>
                <w:rFonts w:ascii="Calibri" w:eastAsia="Times New Roman" w:hAnsi="Calibri" w:cs="Calibri"/>
                <w:color w:val="000000" w:themeColor="text1"/>
                <w:sz w:val="16"/>
                <w:szCs w:val="16"/>
              </w:rPr>
              <w:t>18</w:t>
            </w:r>
            <w:r w:rsidR="00260F5E" w:rsidRPr="00260F5E">
              <w:rPr>
                <w:rFonts w:ascii="Calibri" w:eastAsia="Times New Roman" w:hAnsi="Calibri" w:cs="Calibri"/>
                <w:color w:val="000000" w:themeColor="text1"/>
                <w:sz w:val="16"/>
                <w:szCs w:val="16"/>
              </w:rPr>
              <w:t>0</w:t>
            </w:r>
            <w:r w:rsidRPr="004433FF">
              <w:rPr>
                <w:rFonts w:ascii="Calibri" w:eastAsia="Times New Roman" w:hAnsi="Calibri" w:cs="Calibri"/>
                <w:sz w:val="16"/>
                <w:szCs w:val="16"/>
              </w:rPr>
              <w:t>)</w:t>
            </w:r>
          </w:p>
        </w:tc>
        <w:tc>
          <w:tcPr>
            <w:tcW w:w="496" w:type="pct"/>
            <w:tcBorders>
              <w:top w:val="nil"/>
              <w:left w:val="nil"/>
              <w:bottom w:val="nil"/>
              <w:right w:val="nil"/>
            </w:tcBorders>
            <w:shd w:val="clear" w:color="auto" w:fill="auto"/>
            <w:noWrap/>
            <w:vAlign w:val="bottom"/>
            <w:hideMark/>
          </w:tcPr>
          <w:p w14:paraId="154DD33F" w14:textId="302A1C20" w:rsidR="00B72483" w:rsidRPr="004433FF" w:rsidRDefault="00B72483" w:rsidP="00B72483">
            <w:pPr>
              <w:spacing w:after="0" w:line="240" w:lineRule="auto"/>
              <w:jc w:val="right"/>
              <w:rPr>
                <w:rFonts w:ascii="Calibri" w:eastAsia="Times New Roman" w:hAnsi="Calibri" w:cs="Calibri"/>
                <w:sz w:val="16"/>
                <w:szCs w:val="16"/>
              </w:rPr>
            </w:pPr>
            <w:r w:rsidRPr="004433FF">
              <w:rPr>
                <w:rFonts w:ascii="Calibri" w:eastAsia="Times New Roman" w:hAnsi="Calibri" w:cs="Calibri"/>
                <w:sz w:val="16"/>
                <w:szCs w:val="16"/>
              </w:rPr>
              <w:t>(46.136.109)</w:t>
            </w:r>
          </w:p>
        </w:tc>
        <w:tc>
          <w:tcPr>
            <w:tcW w:w="73" w:type="pct"/>
            <w:tcBorders>
              <w:top w:val="nil"/>
              <w:left w:val="nil"/>
              <w:bottom w:val="nil"/>
              <w:right w:val="nil"/>
            </w:tcBorders>
            <w:shd w:val="clear" w:color="auto" w:fill="auto"/>
            <w:noWrap/>
            <w:vAlign w:val="bottom"/>
            <w:hideMark/>
          </w:tcPr>
          <w:p w14:paraId="65ADD10E"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5839F6A1"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42B75195"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0DC1ABD5"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59E9B0A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58" w:type="pct"/>
            <w:tcBorders>
              <w:top w:val="nil"/>
              <w:left w:val="nil"/>
              <w:bottom w:val="nil"/>
              <w:right w:val="nil"/>
            </w:tcBorders>
            <w:shd w:val="clear" w:color="auto" w:fill="auto"/>
            <w:noWrap/>
            <w:vAlign w:val="bottom"/>
            <w:hideMark/>
          </w:tcPr>
          <w:p w14:paraId="752B62FD"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bottom"/>
            <w:hideMark/>
          </w:tcPr>
          <w:p w14:paraId="1C818012"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0BB6356B" w14:textId="77777777" w:rsidTr="00143F6B">
        <w:trPr>
          <w:trHeight w:val="227"/>
        </w:trPr>
        <w:tc>
          <w:tcPr>
            <w:tcW w:w="52" w:type="pct"/>
            <w:tcBorders>
              <w:top w:val="nil"/>
              <w:left w:val="nil"/>
              <w:bottom w:val="nil"/>
              <w:right w:val="nil"/>
            </w:tcBorders>
            <w:shd w:val="clear" w:color="auto" w:fill="auto"/>
            <w:noWrap/>
            <w:vAlign w:val="bottom"/>
            <w:hideMark/>
          </w:tcPr>
          <w:p w14:paraId="35DA3A6B"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52" w:type="pct"/>
            <w:tcBorders>
              <w:top w:val="nil"/>
              <w:left w:val="nil"/>
              <w:bottom w:val="nil"/>
              <w:right w:val="nil"/>
            </w:tcBorders>
            <w:shd w:val="clear" w:color="auto" w:fill="auto"/>
            <w:noWrap/>
            <w:vAlign w:val="bottom"/>
            <w:hideMark/>
          </w:tcPr>
          <w:p w14:paraId="0FFFF71C"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69B7B7A6"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Redução ao Valor Recuperável – Bens Móveis</w:t>
            </w:r>
          </w:p>
        </w:tc>
        <w:tc>
          <w:tcPr>
            <w:tcW w:w="251" w:type="pct"/>
            <w:tcBorders>
              <w:top w:val="nil"/>
              <w:left w:val="nil"/>
              <w:bottom w:val="nil"/>
              <w:right w:val="nil"/>
            </w:tcBorders>
            <w:shd w:val="clear" w:color="auto" w:fill="auto"/>
            <w:noWrap/>
            <w:vAlign w:val="bottom"/>
            <w:hideMark/>
          </w:tcPr>
          <w:p w14:paraId="480D4A46"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40E739A5" w14:textId="6BE95F59"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(18.50</w:t>
            </w:r>
            <w:r w:rsidR="000D508A">
              <w:rPr>
                <w:rFonts w:ascii="Calibri" w:eastAsia="Times New Roman" w:hAnsi="Calibri" w:cs="Calibri"/>
                <w:color w:val="000000"/>
                <w:sz w:val="16"/>
                <w:szCs w:val="16"/>
              </w:rPr>
              <w:t>3</w:t>
            </w:r>
            <w:r w:rsidRPr="00B72483">
              <w:rPr>
                <w:rFonts w:ascii="Calibri" w:eastAsia="Times New Roman" w:hAnsi="Calibri" w:cs="Calibri"/>
                <w:color w:val="000000"/>
                <w:sz w:val="16"/>
                <w:szCs w:val="16"/>
              </w:rPr>
              <w:t>)</w:t>
            </w:r>
          </w:p>
        </w:tc>
        <w:tc>
          <w:tcPr>
            <w:tcW w:w="496" w:type="pct"/>
            <w:tcBorders>
              <w:top w:val="nil"/>
              <w:left w:val="nil"/>
              <w:bottom w:val="nil"/>
              <w:right w:val="nil"/>
            </w:tcBorders>
            <w:shd w:val="clear" w:color="auto" w:fill="auto"/>
            <w:noWrap/>
            <w:vAlign w:val="bottom"/>
            <w:hideMark/>
          </w:tcPr>
          <w:p w14:paraId="019B3D19" w14:textId="2773BEB3"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(18.50</w:t>
            </w:r>
            <w:r w:rsidR="00CE7DDC">
              <w:rPr>
                <w:rFonts w:ascii="Calibri" w:eastAsia="Times New Roman" w:hAnsi="Calibri" w:cs="Calibri"/>
                <w:color w:val="000000"/>
                <w:sz w:val="16"/>
                <w:szCs w:val="16"/>
              </w:rPr>
              <w:t>3</w:t>
            </w:r>
            <w:r w:rsidRPr="00B72483">
              <w:rPr>
                <w:rFonts w:ascii="Calibri" w:eastAsia="Times New Roman" w:hAnsi="Calibri" w:cs="Calibri"/>
                <w:color w:val="000000"/>
                <w:sz w:val="16"/>
                <w:szCs w:val="16"/>
              </w:rPr>
              <w:t>)</w:t>
            </w:r>
          </w:p>
        </w:tc>
        <w:tc>
          <w:tcPr>
            <w:tcW w:w="73" w:type="pct"/>
            <w:tcBorders>
              <w:top w:val="nil"/>
              <w:left w:val="nil"/>
              <w:bottom w:val="nil"/>
              <w:right w:val="nil"/>
            </w:tcBorders>
            <w:shd w:val="clear" w:color="auto" w:fill="auto"/>
            <w:noWrap/>
            <w:vAlign w:val="bottom"/>
            <w:hideMark/>
          </w:tcPr>
          <w:p w14:paraId="3B838681"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3FCBD2F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202" w:type="pct"/>
            <w:gridSpan w:val="2"/>
            <w:tcBorders>
              <w:top w:val="nil"/>
              <w:left w:val="nil"/>
              <w:bottom w:val="nil"/>
              <w:right w:val="nil"/>
            </w:tcBorders>
            <w:shd w:val="clear" w:color="auto" w:fill="auto"/>
            <w:noWrap/>
            <w:vAlign w:val="bottom"/>
            <w:hideMark/>
          </w:tcPr>
          <w:p w14:paraId="09691358"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TOTAL DO PASSIVO</w:t>
            </w:r>
          </w:p>
        </w:tc>
        <w:tc>
          <w:tcPr>
            <w:tcW w:w="251" w:type="pct"/>
            <w:tcBorders>
              <w:top w:val="nil"/>
              <w:left w:val="nil"/>
              <w:bottom w:val="nil"/>
              <w:right w:val="nil"/>
            </w:tcBorders>
            <w:shd w:val="clear" w:color="auto" w:fill="auto"/>
            <w:noWrap/>
            <w:vAlign w:val="bottom"/>
            <w:hideMark/>
          </w:tcPr>
          <w:p w14:paraId="1F17C0A2"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58" w:type="pct"/>
            <w:tcBorders>
              <w:top w:val="nil"/>
              <w:left w:val="nil"/>
              <w:bottom w:val="nil"/>
              <w:right w:val="nil"/>
            </w:tcBorders>
            <w:shd w:val="clear" w:color="auto" w:fill="auto"/>
            <w:noWrap/>
            <w:vAlign w:val="center"/>
            <w:hideMark/>
          </w:tcPr>
          <w:p w14:paraId="6D45BA06" w14:textId="3E99950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3.664.177.231 </w:t>
            </w:r>
          </w:p>
        </w:tc>
        <w:tc>
          <w:tcPr>
            <w:tcW w:w="454" w:type="pct"/>
            <w:tcBorders>
              <w:top w:val="nil"/>
              <w:left w:val="nil"/>
              <w:bottom w:val="nil"/>
              <w:right w:val="nil"/>
            </w:tcBorders>
            <w:shd w:val="clear" w:color="auto" w:fill="auto"/>
            <w:noWrap/>
            <w:vAlign w:val="center"/>
            <w:hideMark/>
          </w:tcPr>
          <w:p w14:paraId="26FE7AB5" w14:textId="320C85A6"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3.524.560.050 </w:t>
            </w:r>
          </w:p>
        </w:tc>
      </w:tr>
      <w:tr w:rsidR="00B72483" w:rsidRPr="00B72483" w14:paraId="6478F7F8" w14:textId="77777777" w:rsidTr="00143F6B">
        <w:trPr>
          <w:trHeight w:val="227"/>
        </w:trPr>
        <w:tc>
          <w:tcPr>
            <w:tcW w:w="52" w:type="pct"/>
            <w:tcBorders>
              <w:top w:val="nil"/>
              <w:left w:val="nil"/>
              <w:bottom w:val="nil"/>
              <w:right w:val="nil"/>
            </w:tcBorders>
            <w:shd w:val="clear" w:color="auto" w:fill="auto"/>
            <w:noWrap/>
            <w:vAlign w:val="bottom"/>
            <w:hideMark/>
          </w:tcPr>
          <w:p w14:paraId="682BFE2B"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1237" w:type="pct"/>
            <w:gridSpan w:val="2"/>
            <w:tcBorders>
              <w:top w:val="nil"/>
              <w:left w:val="nil"/>
              <w:bottom w:val="nil"/>
              <w:right w:val="nil"/>
            </w:tcBorders>
            <w:shd w:val="clear" w:color="auto" w:fill="auto"/>
            <w:noWrap/>
            <w:vAlign w:val="bottom"/>
            <w:hideMark/>
          </w:tcPr>
          <w:p w14:paraId="7AC2AF94"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Bens Imóveis</w:t>
            </w:r>
          </w:p>
        </w:tc>
        <w:tc>
          <w:tcPr>
            <w:tcW w:w="251" w:type="pct"/>
            <w:tcBorders>
              <w:top w:val="nil"/>
              <w:left w:val="nil"/>
              <w:bottom w:val="nil"/>
              <w:right w:val="nil"/>
            </w:tcBorders>
            <w:shd w:val="clear" w:color="auto" w:fill="auto"/>
            <w:noWrap/>
            <w:vAlign w:val="bottom"/>
            <w:hideMark/>
          </w:tcPr>
          <w:p w14:paraId="19D6B98D"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13.2</w:t>
            </w:r>
          </w:p>
        </w:tc>
        <w:tc>
          <w:tcPr>
            <w:tcW w:w="462" w:type="pct"/>
            <w:tcBorders>
              <w:top w:val="nil"/>
              <w:left w:val="nil"/>
              <w:bottom w:val="nil"/>
              <w:right w:val="nil"/>
            </w:tcBorders>
            <w:shd w:val="clear" w:color="auto" w:fill="auto"/>
            <w:noWrap/>
            <w:vAlign w:val="center"/>
            <w:hideMark/>
          </w:tcPr>
          <w:p w14:paraId="5D992891" w14:textId="13B5E17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4.963.141.837 </w:t>
            </w:r>
          </w:p>
        </w:tc>
        <w:tc>
          <w:tcPr>
            <w:tcW w:w="496" w:type="pct"/>
            <w:tcBorders>
              <w:top w:val="nil"/>
              <w:left w:val="nil"/>
              <w:bottom w:val="nil"/>
              <w:right w:val="nil"/>
            </w:tcBorders>
            <w:shd w:val="clear" w:color="auto" w:fill="auto"/>
            <w:noWrap/>
            <w:vAlign w:val="center"/>
            <w:hideMark/>
          </w:tcPr>
          <w:p w14:paraId="57B6346A" w14:textId="40C56957"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4.776.400.181 </w:t>
            </w:r>
          </w:p>
        </w:tc>
        <w:tc>
          <w:tcPr>
            <w:tcW w:w="73" w:type="pct"/>
            <w:tcBorders>
              <w:top w:val="nil"/>
              <w:left w:val="nil"/>
              <w:bottom w:val="nil"/>
              <w:right w:val="nil"/>
            </w:tcBorders>
            <w:shd w:val="clear" w:color="auto" w:fill="auto"/>
            <w:noWrap/>
            <w:vAlign w:val="bottom"/>
            <w:hideMark/>
          </w:tcPr>
          <w:p w14:paraId="0405BC60"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6B1857A2"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1FE6DADD"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7667113F"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6B0D8A3B"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58" w:type="pct"/>
            <w:tcBorders>
              <w:top w:val="nil"/>
              <w:left w:val="nil"/>
              <w:bottom w:val="nil"/>
              <w:right w:val="nil"/>
            </w:tcBorders>
            <w:shd w:val="clear" w:color="auto" w:fill="auto"/>
            <w:noWrap/>
            <w:vAlign w:val="center"/>
            <w:hideMark/>
          </w:tcPr>
          <w:p w14:paraId="017CEC74"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center"/>
            <w:hideMark/>
          </w:tcPr>
          <w:p w14:paraId="3087CAB9"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2D87BB10" w14:textId="77777777" w:rsidTr="00143F6B">
        <w:trPr>
          <w:trHeight w:val="227"/>
        </w:trPr>
        <w:tc>
          <w:tcPr>
            <w:tcW w:w="52" w:type="pct"/>
            <w:tcBorders>
              <w:top w:val="nil"/>
              <w:left w:val="nil"/>
              <w:bottom w:val="nil"/>
              <w:right w:val="nil"/>
            </w:tcBorders>
            <w:shd w:val="clear" w:color="auto" w:fill="auto"/>
            <w:noWrap/>
            <w:vAlign w:val="bottom"/>
            <w:hideMark/>
          </w:tcPr>
          <w:p w14:paraId="0FCDC57E"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52" w:type="pct"/>
            <w:tcBorders>
              <w:top w:val="nil"/>
              <w:left w:val="nil"/>
              <w:bottom w:val="nil"/>
              <w:right w:val="nil"/>
            </w:tcBorders>
            <w:shd w:val="clear" w:color="auto" w:fill="auto"/>
            <w:noWrap/>
            <w:vAlign w:val="bottom"/>
            <w:hideMark/>
          </w:tcPr>
          <w:p w14:paraId="641E2D37"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74B98AE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Bens Imóveis</w:t>
            </w:r>
          </w:p>
        </w:tc>
        <w:tc>
          <w:tcPr>
            <w:tcW w:w="251" w:type="pct"/>
            <w:tcBorders>
              <w:top w:val="nil"/>
              <w:left w:val="nil"/>
              <w:bottom w:val="nil"/>
              <w:right w:val="nil"/>
            </w:tcBorders>
            <w:shd w:val="clear" w:color="auto" w:fill="auto"/>
            <w:noWrap/>
            <w:vAlign w:val="bottom"/>
            <w:hideMark/>
          </w:tcPr>
          <w:p w14:paraId="0D124CF5"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121F1DDC" w14:textId="76672565"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20.428.433.114 </w:t>
            </w:r>
          </w:p>
        </w:tc>
        <w:tc>
          <w:tcPr>
            <w:tcW w:w="496" w:type="pct"/>
            <w:tcBorders>
              <w:top w:val="nil"/>
              <w:left w:val="nil"/>
              <w:bottom w:val="nil"/>
              <w:right w:val="nil"/>
            </w:tcBorders>
            <w:shd w:val="clear" w:color="auto" w:fill="auto"/>
            <w:noWrap/>
            <w:vAlign w:val="bottom"/>
            <w:hideMark/>
          </w:tcPr>
          <w:p w14:paraId="4EC94601" w14:textId="7680492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20.240.596.839 </w:t>
            </w:r>
          </w:p>
        </w:tc>
        <w:tc>
          <w:tcPr>
            <w:tcW w:w="73" w:type="pct"/>
            <w:tcBorders>
              <w:top w:val="nil"/>
              <w:left w:val="nil"/>
              <w:bottom w:val="nil"/>
              <w:right w:val="nil"/>
            </w:tcBorders>
            <w:shd w:val="clear" w:color="auto" w:fill="auto"/>
            <w:noWrap/>
            <w:vAlign w:val="bottom"/>
            <w:hideMark/>
          </w:tcPr>
          <w:p w14:paraId="1A8F8056"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0E3B3345"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102A913F"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4C12D3AF"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094FCA74"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58" w:type="pct"/>
            <w:tcBorders>
              <w:top w:val="nil"/>
              <w:left w:val="nil"/>
              <w:bottom w:val="nil"/>
              <w:right w:val="nil"/>
            </w:tcBorders>
            <w:shd w:val="clear" w:color="auto" w:fill="auto"/>
            <w:noWrap/>
            <w:vAlign w:val="center"/>
            <w:hideMark/>
          </w:tcPr>
          <w:p w14:paraId="55166A81"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center"/>
            <w:hideMark/>
          </w:tcPr>
          <w:p w14:paraId="5800B0B3"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63FA681B" w14:textId="77777777" w:rsidTr="00143F6B">
        <w:trPr>
          <w:trHeight w:val="227"/>
        </w:trPr>
        <w:tc>
          <w:tcPr>
            <w:tcW w:w="52" w:type="pct"/>
            <w:tcBorders>
              <w:top w:val="nil"/>
              <w:left w:val="nil"/>
              <w:bottom w:val="nil"/>
              <w:right w:val="nil"/>
            </w:tcBorders>
            <w:shd w:val="clear" w:color="auto" w:fill="auto"/>
            <w:noWrap/>
            <w:vAlign w:val="bottom"/>
            <w:hideMark/>
          </w:tcPr>
          <w:p w14:paraId="4B202E34"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52" w:type="pct"/>
            <w:tcBorders>
              <w:top w:val="nil"/>
              <w:left w:val="nil"/>
              <w:bottom w:val="nil"/>
              <w:right w:val="nil"/>
            </w:tcBorders>
            <w:shd w:val="clear" w:color="auto" w:fill="auto"/>
            <w:noWrap/>
            <w:vAlign w:val="bottom"/>
            <w:hideMark/>
          </w:tcPr>
          <w:p w14:paraId="2C994F1E"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107CFDA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Depreciação Acumulada – Bens Imóveis</w:t>
            </w:r>
          </w:p>
        </w:tc>
        <w:tc>
          <w:tcPr>
            <w:tcW w:w="251" w:type="pct"/>
            <w:tcBorders>
              <w:top w:val="nil"/>
              <w:left w:val="nil"/>
              <w:bottom w:val="nil"/>
              <w:right w:val="nil"/>
            </w:tcBorders>
            <w:shd w:val="clear" w:color="auto" w:fill="auto"/>
            <w:noWrap/>
            <w:vAlign w:val="bottom"/>
            <w:hideMark/>
          </w:tcPr>
          <w:p w14:paraId="261BBBA6"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10FA89D4" w14:textId="7389AEE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(930.292.783)</w:t>
            </w:r>
          </w:p>
        </w:tc>
        <w:tc>
          <w:tcPr>
            <w:tcW w:w="496" w:type="pct"/>
            <w:tcBorders>
              <w:top w:val="nil"/>
              <w:left w:val="nil"/>
              <w:bottom w:val="nil"/>
              <w:right w:val="nil"/>
            </w:tcBorders>
            <w:shd w:val="clear" w:color="auto" w:fill="auto"/>
            <w:noWrap/>
            <w:vAlign w:val="bottom"/>
            <w:hideMark/>
          </w:tcPr>
          <w:p w14:paraId="7686382B" w14:textId="683CE6CB"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(929.198.164)</w:t>
            </w:r>
          </w:p>
        </w:tc>
        <w:tc>
          <w:tcPr>
            <w:tcW w:w="73" w:type="pct"/>
            <w:tcBorders>
              <w:top w:val="nil"/>
              <w:left w:val="nil"/>
              <w:bottom w:val="nil"/>
              <w:right w:val="nil"/>
            </w:tcBorders>
            <w:shd w:val="clear" w:color="auto" w:fill="auto"/>
            <w:noWrap/>
            <w:vAlign w:val="bottom"/>
            <w:hideMark/>
          </w:tcPr>
          <w:p w14:paraId="1625C5A1"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421B7CA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202" w:type="pct"/>
            <w:gridSpan w:val="2"/>
            <w:tcBorders>
              <w:top w:val="nil"/>
              <w:left w:val="nil"/>
              <w:bottom w:val="nil"/>
              <w:right w:val="nil"/>
            </w:tcBorders>
            <w:shd w:val="clear" w:color="auto" w:fill="auto"/>
            <w:noWrap/>
            <w:vAlign w:val="bottom"/>
            <w:hideMark/>
          </w:tcPr>
          <w:p w14:paraId="33898089" w14:textId="77777777"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PATRIMÔNIO LÍQUIDO</w:t>
            </w:r>
          </w:p>
        </w:tc>
        <w:tc>
          <w:tcPr>
            <w:tcW w:w="251" w:type="pct"/>
            <w:tcBorders>
              <w:top w:val="nil"/>
              <w:left w:val="nil"/>
              <w:bottom w:val="nil"/>
              <w:right w:val="nil"/>
            </w:tcBorders>
            <w:shd w:val="clear" w:color="auto" w:fill="auto"/>
            <w:noWrap/>
            <w:vAlign w:val="bottom"/>
            <w:hideMark/>
          </w:tcPr>
          <w:p w14:paraId="3D14E342" w14:textId="77777777" w:rsidR="00B72483" w:rsidRPr="00B72483" w:rsidRDefault="00B72483" w:rsidP="00B72483">
            <w:pPr>
              <w:spacing w:after="0" w:line="240" w:lineRule="auto"/>
              <w:rPr>
                <w:rFonts w:ascii="Calibri" w:eastAsia="Times New Roman" w:hAnsi="Calibri" w:cs="Calibri"/>
                <w:b/>
                <w:bCs/>
                <w:color w:val="000000"/>
                <w:sz w:val="16"/>
                <w:szCs w:val="16"/>
              </w:rPr>
            </w:pPr>
          </w:p>
        </w:tc>
        <w:tc>
          <w:tcPr>
            <w:tcW w:w="458" w:type="pct"/>
            <w:tcBorders>
              <w:top w:val="nil"/>
              <w:left w:val="nil"/>
              <w:bottom w:val="nil"/>
              <w:right w:val="nil"/>
            </w:tcBorders>
            <w:shd w:val="clear" w:color="auto" w:fill="auto"/>
            <w:noWrap/>
            <w:vAlign w:val="center"/>
            <w:hideMark/>
          </w:tcPr>
          <w:p w14:paraId="655F2C7F" w14:textId="397B0BAC"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2.693.998.93</w:t>
            </w:r>
            <w:r w:rsidR="00237CA9">
              <w:rPr>
                <w:rFonts w:ascii="Calibri" w:eastAsia="Times New Roman" w:hAnsi="Calibri" w:cs="Calibri"/>
                <w:b/>
                <w:bCs/>
                <w:color w:val="000000"/>
                <w:sz w:val="16"/>
                <w:szCs w:val="16"/>
              </w:rPr>
              <w:t>1</w:t>
            </w:r>
            <w:r w:rsidRPr="00B72483">
              <w:rPr>
                <w:rFonts w:ascii="Calibri" w:eastAsia="Times New Roman" w:hAnsi="Calibri" w:cs="Calibri"/>
                <w:b/>
                <w:bCs/>
                <w:color w:val="000000"/>
                <w:sz w:val="16"/>
                <w:szCs w:val="16"/>
              </w:rPr>
              <w:t xml:space="preserve"> </w:t>
            </w:r>
          </w:p>
        </w:tc>
        <w:tc>
          <w:tcPr>
            <w:tcW w:w="454" w:type="pct"/>
            <w:tcBorders>
              <w:top w:val="nil"/>
              <w:left w:val="nil"/>
              <w:bottom w:val="nil"/>
              <w:right w:val="nil"/>
            </w:tcBorders>
            <w:shd w:val="clear" w:color="auto" w:fill="auto"/>
            <w:noWrap/>
            <w:vAlign w:val="center"/>
            <w:hideMark/>
          </w:tcPr>
          <w:p w14:paraId="0F3AF5F5" w14:textId="43E64011"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2.630.658.005 </w:t>
            </w:r>
          </w:p>
        </w:tc>
      </w:tr>
      <w:tr w:rsidR="00B72483" w:rsidRPr="00B72483" w14:paraId="4DBFC2CD" w14:textId="77777777" w:rsidTr="00143F6B">
        <w:trPr>
          <w:trHeight w:val="227"/>
        </w:trPr>
        <w:tc>
          <w:tcPr>
            <w:tcW w:w="52" w:type="pct"/>
            <w:tcBorders>
              <w:top w:val="nil"/>
              <w:left w:val="nil"/>
              <w:bottom w:val="nil"/>
              <w:right w:val="nil"/>
            </w:tcBorders>
            <w:shd w:val="clear" w:color="auto" w:fill="auto"/>
            <w:noWrap/>
            <w:vAlign w:val="bottom"/>
            <w:hideMark/>
          </w:tcPr>
          <w:p w14:paraId="1878C52E"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52" w:type="pct"/>
            <w:tcBorders>
              <w:top w:val="nil"/>
              <w:left w:val="nil"/>
              <w:bottom w:val="nil"/>
              <w:right w:val="nil"/>
            </w:tcBorders>
            <w:shd w:val="clear" w:color="auto" w:fill="auto"/>
            <w:noWrap/>
            <w:vAlign w:val="bottom"/>
            <w:hideMark/>
          </w:tcPr>
          <w:p w14:paraId="6C31225E"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340053E1"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Redução ao Valor Recuperável – Bens Imóveis</w:t>
            </w:r>
          </w:p>
        </w:tc>
        <w:tc>
          <w:tcPr>
            <w:tcW w:w="251" w:type="pct"/>
            <w:tcBorders>
              <w:top w:val="nil"/>
              <w:left w:val="nil"/>
              <w:bottom w:val="nil"/>
              <w:right w:val="nil"/>
            </w:tcBorders>
            <w:shd w:val="clear" w:color="auto" w:fill="auto"/>
            <w:noWrap/>
            <w:vAlign w:val="bottom"/>
            <w:hideMark/>
          </w:tcPr>
          <w:p w14:paraId="0B9EAF97"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61C2E6F4" w14:textId="44DA843F"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(14.534.998.494)</w:t>
            </w:r>
          </w:p>
        </w:tc>
        <w:tc>
          <w:tcPr>
            <w:tcW w:w="496" w:type="pct"/>
            <w:tcBorders>
              <w:top w:val="nil"/>
              <w:left w:val="nil"/>
              <w:bottom w:val="nil"/>
              <w:right w:val="nil"/>
            </w:tcBorders>
            <w:shd w:val="clear" w:color="auto" w:fill="auto"/>
            <w:noWrap/>
            <w:vAlign w:val="bottom"/>
            <w:hideMark/>
          </w:tcPr>
          <w:p w14:paraId="0D231A33" w14:textId="37621CC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(14.534.998.494)</w:t>
            </w:r>
          </w:p>
        </w:tc>
        <w:tc>
          <w:tcPr>
            <w:tcW w:w="73" w:type="pct"/>
            <w:tcBorders>
              <w:top w:val="nil"/>
              <w:left w:val="nil"/>
              <w:bottom w:val="nil"/>
              <w:right w:val="nil"/>
            </w:tcBorders>
            <w:shd w:val="clear" w:color="auto" w:fill="auto"/>
            <w:noWrap/>
            <w:vAlign w:val="bottom"/>
            <w:hideMark/>
          </w:tcPr>
          <w:p w14:paraId="16B0DE29"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1A47974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4782293F"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67753C29"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Capital Social</w:t>
            </w:r>
          </w:p>
        </w:tc>
        <w:tc>
          <w:tcPr>
            <w:tcW w:w="251" w:type="pct"/>
            <w:tcBorders>
              <w:top w:val="nil"/>
              <w:left w:val="nil"/>
              <w:bottom w:val="nil"/>
              <w:right w:val="nil"/>
            </w:tcBorders>
            <w:shd w:val="clear" w:color="auto" w:fill="auto"/>
            <w:noWrap/>
            <w:vAlign w:val="bottom"/>
            <w:hideMark/>
          </w:tcPr>
          <w:p w14:paraId="1791EEC7"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25 </w:t>
            </w:r>
          </w:p>
        </w:tc>
        <w:tc>
          <w:tcPr>
            <w:tcW w:w="458" w:type="pct"/>
            <w:tcBorders>
              <w:top w:val="nil"/>
              <w:left w:val="nil"/>
              <w:bottom w:val="nil"/>
              <w:right w:val="nil"/>
            </w:tcBorders>
            <w:shd w:val="clear" w:color="auto" w:fill="auto"/>
            <w:noWrap/>
            <w:vAlign w:val="bottom"/>
            <w:hideMark/>
          </w:tcPr>
          <w:p w14:paraId="548201C3" w14:textId="2EBB13D2"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24.029.778.338 </w:t>
            </w:r>
          </w:p>
        </w:tc>
        <w:tc>
          <w:tcPr>
            <w:tcW w:w="454" w:type="pct"/>
            <w:tcBorders>
              <w:top w:val="nil"/>
              <w:left w:val="nil"/>
              <w:bottom w:val="nil"/>
              <w:right w:val="nil"/>
            </w:tcBorders>
            <w:shd w:val="clear" w:color="auto" w:fill="auto"/>
            <w:noWrap/>
            <w:vAlign w:val="bottom"/>
            <w:hideMark/>
          </w:tcPr>
          <w:p w14:paraId="1A8A7BE5" w14:textId="0CEAC269"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24.029.778.338 </w:t>
            </w:r>
          </w:p>
        </w:tc>
      </w:tr>
      <w:tr w:rsidR="00B72483" w:rsidRPr="00B72483" w14:paraId="59929DA5" w14:textId="77777777" w:rsidTr="00143F6B">
        <w:trPr>
          <w:trHeight w:val="227"/>
        </w:trPr>
        <w:tc>
          <w:tcPr>
            <w:tcW w:w="1289" w:type="pct"/>
            <w:gridSpan w:val="3"/>
            <w:tcBorders>
              <w:top w:val="nil"/>
              <w:left w:val="nil"/>
              <w:bottom w:val="nil"/>
              <w:right w:val="nil"/>
            </w:tcBorders>
            <w:shd w:val="clear" w:color="auto" w:fill="auto"/>
            <w:noWrap/>
            <w:vAlign w:val="bottom"/>
            <w:hideMark/>
          </w:tcPr>
          <w:p w14:paraId="50A11EAB" w14:textId="4D8308CA" w:rsidR="00B72483" w:rsidRPr="00B72483" w:rsidRDefault="00B72483" w:rsidP="00B72483">
            <w:pPr>
              <w:spacing w:after="0" w:line="240" w:lineRule="auto"/>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Intangível</w:t>
            </w:r>
          </w:p>
        </w:tc>
        <w:tc>
          <w:tcPr>
            <w:tcW w:w="251" w:type="pct"/>
            <w:tcBorders>
              <w:top w:val="nil"/>
              <w:left w:val="nil"/>
              <w:bottom w:val="nil"/>
              <w:right w:val="nil"/>
            </w:tcBorders>
            <w:shd w:val="clear" w:color="auto" w:fill="auto"/>
            <w:noWrap/>
            <w:vAlign w:val="bottom"/>
            <w:hideMark/>
          </w:tcPr>
          <w:p w14:paraId="50226B0D"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14 </w:t>
            </w:r>
          </w:p>
        </w:tc>
        <w:tc>
          <w:tcPr>
            <w:tcW w:w="462" w:type="pct"/>
            <w:tcBorders>
              <w:top w:val="nil"/>
              <w:left w:val="nil"/>
              <w:bottom w:val="nil"/>
              <w:right w:val="nil"/>
            </w:tcBorders>
            <w:shd w:val="clear" w:color="auto" w:fill="auto"/>
            <w:noWrap/>
            <w:vAlign w:val="center"/>
            <w:hideMark/>
          </w:tcPr>
          <w:p w14:paraId="53719EE6" w14:textId="6CD4D421"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134.355.940 </w:t>
            </w:r>
          </w:p>
        </w:tc>
        <w:tc>
          <w:tcPr>
            <w:tcW w:w="496" w:type="pct"/>
            <w:tcBorders>
              <w:top w:val="nil"/>
              <w:left w:val="nil"/>
              <w:bottom w:val="nil"/>
              <w:right w:val="nil"/>
            </w:tcBorders>
            <w:shd w:val="clear" w:color="auto" w:fill="auto"/>
            <w:noWrap/>
            <w:vAlign w:val="center"/>
            <w:hideMark/>
          </w:tcPr>
          <w:p w14:paraId="48E9BAD7" w14:textId="0FF69045" w:rsidR="00B72483" w:rsidRPr="00B72483" w:rsidRDefault="00B72483" w:rsidP="00B72483">
            <w:pPr>
              <w:spacing w:after="0" w:line="240" w:lineRule="auto"/>
              <w:jc w:val="right"/>
              <w:rPr>
                <w:rFonts w:ascii="Calibri" w:eastAsia="Times New Roman" w:hAnsi="Calibri" w:cs="Calibri"/>
                <w:b/>
                <w:bCs/>
                <w:color w:val="000000"/>
                <w:sz w:val="16"/>
                <w:szCs w:val="16"/>
              </w:rPr>
            </w:pPr>
            <w:r w:rsidRPr="00B72483">
              <w:rPr>
                <w:rFonts w:ascii="Calibri" w:eastAsia="Times New Roman" w:hAnsi="Calibri" w:cs="Calibri"/>
                <w:b/>
                <w:bCs/>
                <w:color w:val="000000"/>
                <w:sz w:val="16"/>
                <w:szCs w:val="16"/>
              </w:rPr>
              <w:t xml:space="preserve"> 130.394.157 </w:t>
            </w:r>
          </w:p>
        </w:tc>
        <w:tc>
          <w:tcPr>
            <w:tcW w:w="73" w:type="pct"/>
            <w:tcBorders>
              <w:top w:val="nil"/>
              <w:left w:val="nil"/>
              <w:bottom w:val="nil"/>
              <w:right w:val="nil"/>
            </w:tcBorders>
            <w:shd w:val="clear" w:color="auto" w:fill="auto"/>
            <w:noWrap/>
            <w:vAlign w:val="bottom"/>
            <w:hideMark/>
          </w:tcPr>
          <w:p w14:paraId="49B1A96A" w14:textId="77777777" w:rsidR="00B72483" w:rsidRPr="00B72483" w:rsidRDefault="00B72483" w:rsidP="00B72483">
            <w:pPr>
              <w:spacing w:after="0" w:line="240" w:lineRule="auto"/>
              <w:jc w:val="right"/>
              <w:rPr>
                <w:rFonts w:ascii="Calibri" w:eastAsia="Times New Roman" w:hAnsi="Calibri" w:cs="Calibri"/>
                <w:b/>
                <w:bCs/>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3FBD2325"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55FA21E6"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77F35E2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Adiantamento para Futuro Aumento de Capital</w:t>
            </w:r>
          </w:p>
        </w:tc>
        <w:tc>
          <w:tcPr>
            <w:tcW w:w="251" w:type="pct"/>
            <w:tcBorders>
              <w:top w:val="nil"/>
              <w:left w:val="nil"/>
              <w:bottom w:val="nil"/>
              <w:right w:val="nil"/>
            </w:tcBorders>
            <w:shd w:val="clear" w:color="auto" w:fill="auto"/>
            <w:noWrap/>
            <w:vAlign w:val="bottom"/>
            <w:hideMark/>
          </w:tcPr>
          <w:p w14:paraId="4E6EEF34" w14:textId="40B6F51A"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26 </w:t>
            </w:r>
          </w:p>
        </w:tc>
        <w:tc>
          <w:tcPr>
            <w:tcW w:w="458" w:type="pct"/>
            <w:tcBorders>
              <w:top w:val="nil"/>
              <w:left w:val="nil"/>
              <w:bottom w:val="nil"/>
              <w:right w:val="nil"/>
            </w:tcBorders>
            <w:shd w:val="clear" w:color="auto" w:fill="auto"/>
            <w:noWrap/>
            <w:vAlign w:val="bottom"/>
            <w:hideMark/>
          </w:tcPr>
          <w:p w14:paraId="10DB8838" w14:textId="42BE3481"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166.419.984 </w:t>
            </w:r>
          </w:p>
        </w:tc>
        <w:tc>
          <w:tcPr>
            <w:tcW w:w="454" w:type="pct"/>
            <w:tcBorders>
              <w:top w:val="nil"/>
              <w:left w:val="nil"/>
              <w:bottom w:val="nil"/>
              <w:right w:val="nil"/>
            </w:tcBorders>
            <w:shd w:val="clear" w:color="auto" w:fill="auto"/>
            <w:noWrap/>
            <w:vAlign w:val="bottom"/>
            <w:hideMark/>
          </w:tcPr>
          <w:p w14:paraId="51057627" w14:textId="0BBD5CE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134.291.194 </w:t>
            </w:r>
          </w:p>
        </w:tc>
      </w:tr>
      <w:tr w:rsidR="00B72483" w:rsidRPr="00B72483" w14:paraId="61D157E0" w14:textId="77777777" w:rsidTr="00143F6B">
        <w:trPr>
          <w:trHeight w:val="227"/>
        </w:trPr>
        <w:tc>
          <w:tcPr>
            <w:tcW w:w="52" w:type="pct"/>
            <w:tcBorders>
              <w:top w:val="nil"/>
              <w:left w:val="nil"/>
              <w:bottom w:val="nil"/>
              <w:right w:val="nil"/>
            </w:tcBorders>
            <w:shd w:val="clear" w:color="auto" w:fill="auto"/>
            <w:noWrap/>
            <w:vAlign w:val="bottom"/>
            <w:hideMark/>
          </w:tcPr>
          <w:p w14:paraId="68B696DC"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3FC6608C"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3872A08B"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Estudos, Projetos e Licenciamento Ambiental</w:t>
            </w:r>
          </w:p>
        </w:tc>
        <w:tc>
          <w:tcPr>
            <w:tcW w:w="251" w:type="pct"/>
            <w:tcBorders>
              <w:top w:val="nil"/>
              <w:left w:val="nil"/>
              <w:bottom w:val="nil"/>
              <w:right w:val="nil"/>
            </w:tcBorders>
            <w:shd w:val="clear" w:color="auto" w:fill="auto"/>
            <w:noWrap/>
            <w:vAlign w:val="bottom"/>
            <w:hideMark/>
          </w:tcPr>
          <w:p w14:paraId="2085CB7D"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47DC4FD4" w14:textId="1713AEBA"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132.105.899 </w:t>
            </w:r>
          </w:p>
        </w:tc>
        <w:tc>
          <w:tcPr>
            <w:tcW w:w="496" w:type="pct"/>
            <w:tcBorders>
              <w:top w:val="nil"/>
              <w:left w:val="nil"/>
              <w:bottom w:val="nil"/>
              <w:right w:val="nil"/>
            </w:tcBorders>
            <w:shd w:val="clear" w:color="auto" w:fill="auto"/>
            <w:noWrap/>
            <w:vAlign w:val="bottom"/>
            <w:hideMark/>
          </w:tcPr>
          <w:p w14:paraId="69EF548D" w14:textId="018F9404"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128.090.089 </w:t>
            </w:r>
          </w:p>
        </w:tc>
        <w:tc>
          <w:tcPr>
            <w:tcW w:w="73" w:type="pct"/>
            <w:tcBorders>
              <w:top w:val="nil"/>
              <w:left w:val="nil"/>
              <w:bottom w:val="nil"/>
              <w:right w:val="nil"/>
            </w:tcBorders>
            <w:shd w:val="clear" w:color="auto" w:fill="auto"/>
            <w:noWrap/>
            <w:vAlign w:val="bottom"/>
            <w:hideMark/>
          </w:tcPr>
          <w:p w14:paraId="1D8B8B94"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0D7664E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1209342E"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062388C7"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Prejuízos Acumulados</w:t>
            </w:r>
          </w:p>
        </w:tc>
        <w:tc>
          <w:tcPr>
            <w:tcW w:w="251" w:type="pct"/>
            <w:tcBorders>
              <w:top w:val="nil"/>
              <w:left w:val="nil"/>
              <w:bottom w:val="nil"/>
              <w:right w:val="nil"/>
            </w:tcBorders>
            <w:shd w:val="clear" w:color="auto" w:fill="auto"/>
            <w:noWrap/>
            <w:vAlign w:val="bottom"/>
            <w:hideMark/>
          </w:tcPr>
          <w:p w14:paraId="1C42F963" w14:textId="77777777" w:rsidR="00B72483" w:rsidRPr="00B72483" w:rsidRDefault="00B72483" w:rsidP="00B72483">
            <w:pPr>
              <w:spacing w:after="0" w:line="240" w:lineRule="auto"/>
              <w:jc w:val="center"/>
              <w:rPr>
                <w:rFonts w:ascii="Calibri" w:eastAsia="Times New Roman" w:hAnsi="Calibri" w:cs="Calibri"/>
                <w:color w:val="156082"/>
                <w:sz w:val="16"/>
                <w:szCs w:val="16"/>
              </w:rPr>
            </w:pPr>
            <w:r w:rsidRPr="00B72483">
              <w:rPr>
                <w:rFonts w:ascii="Calibri" w:eastAsia="Times New Roman" w:hAnsi="Calibri" w:cs="Calibri"/>
                <w:color w:val="156082"/>
                <w:sz w:val="16"/>
                <w:szCs w:val="16"/>
              </w:rPr>
              <w:t xml:space="preserve">27 </w:t>
            </w:r>
          </w:p>
        </w:tc>
        <w:tc>
          <w:tcPr>
            <w:tcW w:w="458" w:type="pct"/>
            <w:tcBorders>
              <w:top w:val="nil"/>
              <w:left w:val="nil"/>
              <w:bottom w:val="nil"/>
              <w:right w:val="nil"/>
            </w:tcBorders>
            <w:shd w:val="clear" w:color="auto" w:fill="auto"/>
            <w:noWrap/>
            <w:vAlign w:val="bottom"/>
            <w:hideMark/>
          </w:tcPr>
          <w:p w14:paraId="5065FC31" w14:textId="518FB096"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(21.502.199.391)</w:t>
            </w:r>
          </w:p>
        </w:tc>
        <w:tc>
          <w:tcPr>
            <w:tcW w:w="454" w:type="pct"/>
            <w:tcBorders>
              <w:top w:val="nil"/>
              <w:left w:val="nil"/>
              <w:bottom w:val="nil"/>
              <w:right w:val="nil"/>
            </w:tcBorders>
            <w:shd w:val="clear" w:color="auto" w:fill="auto"/>
            <w:noWrap/>
            <w:vAlign w:val="bottom"/>
            <w:hideMark/>
          </w:tcPr>
          <w:p w14:paraId="7388CA99" w14:textId="4EE19498"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(21.533.411.52</w:t>
            </w:r>
            <w:r w:rsidR="002B62BB">
              <w:rPr>
                <w:rFonts w:ascii="Calibri" w:eastAsia="Times New Roman" w:hAnsi="Calibri" w:cs="Calibri"/>
                <w:color w:val="000000"/>
                <w:sz w:val="16"/>
                <w:szCs w:val="16"/>
              </w:rPr>
              <w:t>7</w:t>
            </w:r>
            <w:r w:rsidRPr="00B72483">
              <w:rPr>
                <w:rFonts w:ascii="Calibri" w:eastAsia="Times New Roman" w:hAnsi="Calibri" w:cs="Calibri"/>
                <w:color w:val="000000"/>
                <w:sz w:val="16"/>
                <w:szCs w:val="16"/>
              </w:rPr>
              <w:t>)</w:t>
            </w:r>
          </w:p>
        </w:tc>
      </w:tr>
      <w:tr w:rsidR="00B72483" w:rsidRPr="00B72483" w14:paraId="5B93C19C" w14:textId="77777777" w:rsidTr="00143F6B">
        <w:trPr>
          <w:trHeight w:val="227"/>
        </w:trPr>
        <w:tc>
          <w:tcPr>
            <w:tcW w:w="52" w:type="pct"/>
            <w:tcBorders>
              <w:top w:val="nil"/>
              <w:left w:val="nil"/>
              <w:bottom w:val="nil"/>
              <w:right w:val="nil"/>
            </w:tcBorders>
            <w:shd w:val="clear" w:color="auto" w:fill="auto"/>
            <w:noWrap/>
            <w:vAlign w:val="bottom"/>
            <w:hideMark/>
          </w:tcPr>
          <w:p w14:paraId="372515CD"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52" w:type="pct"/>
            <w:tcBorders>
              <w:top w:val="nil"/>
              <w:left w:val="nil"/>
              <w:bottom w:val="nil"/>
              <w:right w:val="nil"/>
            </w:tcBorders>
            <w:shd w:val="clear" w:color="auto" w:fill="auto"/>
            <w:noWrap/>
            <w:vAlign w:val="bottom"/>
            <w:hideMark/>
          </w:tcPr>
          <w:p w14:paraId="24C222C1"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46BC1251" w14:textId="77777777" w:rsidR="00B72483" w:rsidRPr="00B72483" w:rsidRDefault="00B72483" w:rsidP="00B72483">
            <w:pPr>
              <w:spacing w:after="0" w:line="240" w:lineRule="auto"/>
              <w:rPr>
                <w:rFonts w:ascii="Calibri" w:eastAsia="Times New Roman" w:hAnsi="Calibri" w:cs="Calibri"/>
                <w:color w:val="000000"/>
                <w:sz w:val="16"/>
                <w:szCs w:val="16"/>
              </w:rPr>
            </w:pPr>
            <w:r w:rsidRPr="009901C2">
              <w:rPr>
                <w:rFonts w:ascii="Calibri" w:eastAsia="Times New Roman" w:hAnsi="Calibri" w:cs="Calibri"/>
                <w:i/>
                <w:color w:val="000000"/>
                <w:sz w:val="16"/>
                <w:szCs w:val="16"/>
              </w:rPr>
              <w:t>Softwares</w:t>
            </w:r>
            <w:r w:rsidRPr="00B72483">
              <w:rPr>
                <w:rFonts w:ascii="Calibri" w:eastAsia="Times New Roman" w:hAnsi="Calibri" w:cs="Calibri"/>
                <w:color w:val="000000"/>
                <w:sz w:val="16"/>
                <w:szCs w:val="16"/>
              </w:rPr>
              <w:t xml:space="preserve"> e Direito de uso de Comunicação</w:t>
            </w:r>
          </w:p>
        </w:tc>
        <w:tc>
          <w:tcPr>
            <w:tcW w:w="251" w:type="pct"/>
            <w:tcBorders>
              <w:top w:val="nil"/>
              <w:left w:val="nil"/>
              <w:bottom w:val="nil"/>
              <w:right w:val="nil"/>
            </w:tcBorders>
            <w:shd w:val="clear" w:color="auto" w:fill="auto"/>
            <w:noWrap/>
            <w:vAlign w:val="bottom"/>
            <w:hideMark/>
          </w:tcPr>
          <w:p w14:paraId="38177CDA"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62" w:type="pct"/>
            <w:tcBorders>
              <w:top w:val="nil"/>
              <w:left w:val="nil"/>
              <w:bottom w:val="nil"/>
              <w:right w:val="nil"/>
            </w:tcBorders>
            <w:shd w:val="clear" w:color="auto" w:fill="auto"/>
            <w:noWrap/>
            <w:vAlign w:val="bottom"/>
            <w:hideMark/>
          </w:tcPr>
          <w:p w14:paraId="781D7F59" w14:textId="71DA3FFC" w:rsidR="00B72483" w:rsidRPr="00B72483" w:rsidRDefault="00B72483" w:rsidP="00B72483">
            <w:pPr>
              <w:spacing w:after="0" w:line="240" w:lineRule="auto"/>
              <w:jc w:val="right"/>
              <w:rPr>
                <w:rFonts w:ascii="Calibri" w:eastAsia="Times New Roman" w:hAnsi="Calibri" w:cs="Calibri"/>
                <w:color w:val="000000"/>
                <w:sz w:val="16"/>
                <w:szCs w:val="16"/>
              </w:rPr>
            </w:pPr>
            <w:r w:rsidRPr="00B72483">
              <w:rPr>
                <w:rFonts w:ascii="Calibri" w:eastAsia="Times New Roman" w:hAnsi="Calibri" w:cs="Calibri"/>
                <w:color w:val="000000"/>
                <w:sz w:val="16"/>
                <w:szCs w:val="16"/>
              </w:rPr>
              <w:t xml:space="preserve"> </w:t>
            </w:r>
            <w:r w:rsidR="00BA2A38">
              <w:rPr>
                <w:rFonts w:ascii="Calibri" w:eastAsia="Times New Roman" w:hAnsi="Calibri" w:cs="Calibri"/>
                <w:color w:val="000000"/>
                <w:sz w:val="16"/>
                <w:szCs w:val="16"/>
              </w:rPr>
              <w:t>2.250.041</w:t>
            </w:r>
            <w:r w:rsidRPr="00B72483">
              <w:rPr>
                <w:rFonts w:ascii="Calibri" w:eastAsia="Times New Roman" w:hAnsi="Calibri" w:cs="Calibri"/>
                <w:color w:val="000000"/>
                <w:sz w:val="16"/>
                <w:szCs w:val="16"/>
              </w:rPr>
              <w:t xml:space="preserve"> </w:t>
            </w:r>
          </w:p>
        </w:tc>
        <w:tc>
          <w:tcPr>
            <w:tcW w:w="496" w:type="pct"/>
            <w:tcBorders>
              <w:top w:val="nil"/>
              <w:left w:val="nil"/>
              <w:bottom w:val="nil"/>
              <w:right w:val="nil"/>
            </w:tcBorders>
            <w:shd w:val="clear" w:color="auto" w:fill="auto"/>
            <w:noWrap/>
            <w:vAlign w:val="bottom"/>
            <w:hideMark/>
          </w:tcPr>
          <w:p w14:paraId="1EAB7677" w14:textId="39E3F2B1" w:rsidR="00B72483" w:rsidRPr="00B72483" w:rsidRDefault="00C520A3" w:rsidP="00B7248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2.304.068</w:t>
            </w:r>
            <w:r w:rsidR="00B72483" w:rsidRPr="00B72483">
              <w:rPr>
                <w:rFonts w:ascii="Calibri" w:eastAsia="Times New Roman" w:hAnsi="Calibri" w:cs="Calibri"/>
                <w:color w:val="000000"/>
                <w:sz w:val="16"/>
                <w:szCs w:val="16"/>
              </w:rPr>
              <w:t xml:space="preserve"> </w:t>
            </w:r>
          </w:p>
        </w:tc>
        <w:tc>
          <w:tcPr>
            <w:tcW w:w="73" w:type="pct"/>
            <w:tcBorders>
              <w:top w:val="nil"/>
              <w:left w:val="nil"/>
              <w:bottom w:val="nil"/>
              <w:right w:val="nil"/>
            </w:tcBorders>
            <w:shd w:val="clear" w:color="auto" w:fill="auto"/>
            <w:noWrap/>
            <w:vAlign w:val="bottom"/>
            <w:hideMark/>
          </w:tcPr>
          <w:p w14:paraId="32EC73E5" w14:textId="77777777" w:rsidR="00B72483" w:rsidRPr="00B72483" w:rsidRDefault="00B72483" w:rsidP="00B72483">
            <w:pPr>
              <w:spacing w:after="0" w:line="240" w:lineRule="auto"/>
              <w:jc w:val="right"/>
              <w:rPr>
                <w:rFonts w:ascii="Calibri" w:eastAsia="Times New Roman" w:hAnsi="Calibri" w:cs="Calibri"/>
                <w:color w:val="000000"/>
                <w:sz w:val="16"/>
                <w:szCs w:val="16"/>
              </w:rPr>
            </w:pPr>
          </w:p>
        </w:tc>
        <w:tc>
          <w:tcPr>
            <w:tcW w:w="63" w:type="pct"/>
            <w:tcBorders>
              <w:top w:val="nil"/>
              <w:left w:val="single" w:sz="4" w:space="0" w:color="156082"/>
              <w:bottom w:val="nil"/>
              <w:right w:val="nil"/>
            </w:tcBorders>
            <w:shd w:val="clear" w:color="auto" w:fill="auto"/>
            <w:noWrap/>
            <w:vAlign w:val="bottom"/>
            <w:hideMark/>
          </w:tcPr>
          <w:p w14:paraId="3426E8AA"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nil"/>
              <w:right w:val="nil"/>
            </w:tcBorders>
            <w:shd w:val="clear" w:color="auto" w:fill="auto"/>
            <w:noWrap/>
            <w:vAlign w:val="bottom"/>
            <w:hideMark/>
          </w:tcPr>
          <w:p w14:paraId="53B89EBE"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1145" w:type="pct"/>
            <w:tcBorders>
              <w:top w:val="nil"/>
              <w:left w:val="nil"/>
              <w:bottom w:val="nil"/>
              <w:right w:val="nil"/>
            </w:tcBorders>
            <w:shd w:val="clear" w:color="auto" w:fill="auto"/>
            <w:noWrap/>
            <w:vAlign w:val="bottom"/>
            <w:hideMark/>
          </w:tcPr>
          <w:p w14:paraId="6CAEC8D2"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085B0C6A"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58" w:type="pct"/>
            <w:tcBorders>
              <w:top w:val="nil"/>
              <w:left w:val="nil"/>
              <w:bottom w:val="nil"/>
              <w:right w:val="nil"/>
            </w:tcBorders>
            <w:shd w:val="clear" w:color="auto" w:fill="auto"/>
            <w:noWrap/>
            <w:vAlign w:val="bottom"/>
            <w:hideMark/>
          </w:tcPr>
          <w:p w14:paraId="27F7F62E"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bottom"/>
            <w:hideMark/>
          </w:tcPr>
          <w:p w14:paraId="6EAC1AF9"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7C4B8F2B" w14:textId="77777777" w:rsidTr="00143F6B">
        <w:trPr>
          <w:trHeight w:val="227"/>
        </w:trPr>
        <w:tc>
          <w:tcPr>
            <w:tcW w:w="52" w:type="pct"/>
            <w:tcBorders>
              <w:top w:val="nil"/>
              <w:left w:val="nil"/>
              <w:bottom w:val="nil"/>
              <w:right w:val="nil"/>
            </w:tcBorders>
            <w:shd w:val="clear" w:color="auto" w:fill="auto"/>
            <w:noWrap/>
            <w:vAlign w:val="bottom"/>
            <w:hideMark/>
          </w:tcPr>
          <w:p w14:paraId="45A880AA"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52" w:type="pct"/>
            <w:tcBorders>
              <w:top w:val="nil"/>
              <w:left w:val="nil"/>
              <w:bottom w:val="nil"/>
              <w:right w:val="nil"/>
            </w:tcBorders>
            <w:shd w:val="clear" w:color="auto" w:fill="auto"/>
            <w:noWrap/>
            <w:vAlign w:val="bottom"/>
            <w:hideMark/>
          </w:tcPr>
          <w:p w14:paraId="6C5CC2A9"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1186" w:type="pct"/>
            <w:tcBorders>
              <w:top w:val="nil"/>
              <w:left w:val="nil"/>
              <w:bottom w:val="nil"/>
              <w:right w:val="nil"/>
            </w:tcBorders>
            <w:shd w:val="clear" w:color="auto" w:fill="auto"/>
            <w:noWrap/>
            <w:vAlign w:val="bottom"/>
            <w:hideMark/>
          </w:tcPr>
          <w:p w14:paraId="3DA4C37B"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251" w:type="pct"/>
            <w:tcBorders>
              <w:top w:val="nil"/>
              <w:left w:val="nil"/>
              <w:bottom w:val="nil"/>
              <w:right w:val="nil"/>
            </w:tcBorders>
            <w:shd w:val="clear" w:color="auto" w:fill="auto"/>
            <w:noWrap/>
            <w:vAlign w:val="bottom"/>
            <w:hideMark/>
          </w:tcPr>
          <w:p w14:paraId="74EC29B6" w14:textId="77777777" w:rsidR="00B72483" w:rsidRPr="00B72483" w:rsidRDefault="00B72483" w:rsidP="00B72483">
            <w:pPr>
              <w:spacing w:after="0" w:line="240" w:lineRule="auto"/>
              <w:rPr>
                <w:rFonts w:ascii="Times New Roman" w:eastAsia="Times New Roman" w:hAnsi="Times New Roman" w:cs="Times New Roman"/>
                <w:sz w:val="20"/>
                <w:szCs w:val="20"/>
              </w:rPr>
            </w:pPr>
          </w:p>
        </w:tc>
        <w:tc>
          <w:tcPr>
            <w:tcW w:w="462" w:type="pct"/>
            <w:tcBorders>
              <w:top w:val="nil"/>
              <w:left w:val="nil"/>
              <w:bottom w:val="nil"/>
              <w:right w:val="nil"/>
            </w:tcBorders>
            <w:shd w:val="clear" w:color="auto" w:fill="auto"/>
            <w:noWrap/>
            <w:vAlign w:val="center"/>
            <w:hideMark/>
          </w:tcPr>
          <w:p w14:paraId="230917C4"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96" w:type="pct"/>
            <w:tcBorders>
              <w:top w:val="nil"/>
              <w:left w:val="nil"/>
              <w:bottom w:val="nil"/>
              <w:right w:val="nil"/>
            </w:tcBorders>
            <w:shd w:val="clear" w:color="auto" w:fill="auto"/>
            <w:noWrap/>
            <w:vAlign w:val="center"/>
            <w:hideMark/>
          </w:tcPr>
          <w:p w14:paraId="2EE17C5E"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73" w:type="pct"/>
            <w:tcBorders>
              <w:top w:val="nil"/>
              <w:left w:val="nil"/>
              <w:bottom w:val="nil"/>
              <w:right w:val="nil"/>
            </w:tcBorders>
            <w:shd w:val="clear" w:color="auto" w:fill="auto"/>
            <w:noWrap/>
            <w:vAlign w:val="bottom"/>
            <w:hideMark/>
          </w:tcPr>
          <w:p w14:paraId="1B6CE48A"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c>
          <w:tcPr>
            <w:tcW w:w="63" w:type="pct"/>
            <w:tcBorders>
              <w:top w:val="nil"/>
              <w:left w:val="single" w:sz="4" w:space="0" w:color="156082"/>
              <w:bottom w:val="single" w:sz="4" w:space="0" w:color="156082"/>
              <w:right w:val="nil"/>
            </w:tcBorders>
            <w:shd w:val="clear" w:color="auto" w:fill="auto"/>
            <w:noWrap/>
            <w:vAlign w:val="bottom"/>
            <w:hideMark/>
          </w:tcPr>
          <w:p w14:paraId="3B883310"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57" w:type="pct"/>
            <w:tcBorders>
              <w:top w:val="nil"/>
              <w:left w:val="nil"/>
              <w:bottom w:val="single" w:sz="4" w:space="0" w:color="156082"/>
              <w:right w:val="nil"/>
            </w:tcBorders>
            <w:shd w:val="clear" w:color="auto" w:fill="auto"/>
            <w:noWrap/>
            <w:vAlign w:val="bottom"/>
            <w:hideMark/>
          </w:tcPr>
          <w:p w14:paraId="731BB7BD"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1145" w:type="pct"/>
            <w:tcBorders>
              <w:top w:val="nil"/>
              <w:left w:val="nil"/>
              <w:bottom w:val="single" w:sz="4" w:space="0" w:color="156082"/>
              <w:right w:val="nil"/>
            </w:tcBorders>
            <w:shd w:val="clear" w:color="auto" w:fill="auto"/>
            <w:noWrap/>
            <w:vAlign w:val="bottom"/>
            <w:hideMark/>
          </w:tcPr>
          <w:p w14:paraId="0964C014" w14:textId="77777777" w:rsidR="00B72483" w:rsidRPr="00B72483" w:rsidRDefault="00B72483" w:rsidP="00B72483">
            <w:pPr>
              <w:spacing w:after="0" w:line="240" w:lineRule="auto"/>
              <w:rPr>
                <w:rFonts w:ascii="Calibri" w:eastAsia="Times New Roman" w:hAnsi="Calibri" w:cs="Calibri"/>
                <w:color w:val="000000"/>
                <w:sz w:val="16"/>
                <w:szCs w:val="16"/>
              </w:rPr>
            </w:pPr>
            <w:r w:rsidRPr="00B72483">
              <w:rPr>
                <w:rFonts w:ascii="Calibri" w:eastAsia="Times New Roman" w:hAnsi="Calibri" w:cs="Calibri"/>
                <w:color w:val="000000"/>
                <w:sz w:val="16"/>
                <w:szCs w:val="16"/>
              </w:rPr>
              <w:t> </w:t>
            </w:r>
          </w:p>
        </w:tc>
        <w:tc>
          <w:tcPr>
            <w:tcW w:w="251" w:type="pct"/>
            <w:tcBorders>
              <w:top w:val="nil"/>
              <w:left w:val="nil"/>
              <w:bottom w:val="nil"/>
              <w:right w:val="nil"/>
            </w:tcBorders>
            <w:shd w:val="clear" w:color="auto" w:fill="auto"/>
            <w:noWrap/>
            <w:vAlign w:val="bottom"/>
            <w:hideMark/>
          </w:tcPr>
          <w:p w14:paraId="792980D3" w14:textId="77777777" w:rsidR="00B72483" w:rsidRPr="00B72483" w:rsidRDefault="00B72483" w:rsidP="00B72483">
            <w:pPr>
              <w:spacing w:after="0" w:line="240" w:lineRule="auto"/>
              <w:rPr>
                <w:rFonts w:ascii="Calibri" w:eastAsia="Times New Roman" w:hAnsi="Calibri" w:cs="Calibri"/>
                <w:color w:val="000000"/>
                <w:sz w:val="16"/>
                <w:szCs w:val="16"/>
              </w:rPr>
            </w:pPr>
          </w:p>
        </w:tc>
        <w:tc>
          <w:tcPr>
            <w:tcW w:w="458" w:type="pct"/>
            <w:tcBorders>
              <w:top w:val="nil"/>
              <w:left w:val="nil"/>
              <w:bottom w:val="nil"/>
              <w:right w:val="nil"/>
            </w:tcBorders>
            <w:shd w:val="clear" w:color="auto" w:fill="auto"/>
            <w:noWrap/>
            <w:vAlign w:val="center"/>
            <w:hideMark/>
          </w:tcPr>
          <w:p w14:paraId="48401C62" w14:textId="77777777" w:rsidR="00B72483" w:rsidRPr="00B72483" w:rsidRDefault="00B72483" w:rsidP="00B72483">
            <w:pPr>
              <w:spacing w:after="0" w:line="240" w:lineRule="auto"/>
              <w:jc w:val="center"/>
              <w:rPr>
                <w:rFonts w:ascii="Times New Roman" w:eastAsia="Times New Roman" w:hAnsi="Times New Roman" w:cs="Times New Roman"/>
                <w:sz w:val="20"/>
                <w:szCs w:val="20"/>
              </w:rPr>
            </w:pPr>
          </w:p>
        </w:tc>
        <w:tc>
          <w:tcPr>
            <w:tcW w:w="454" w:type="pct"/>
            <w:tcBorders>
              <w:top w:val="nil"/>
              <w:left w:val="nil"/>
              <w:bottom w:val="nil"/>
              <w:right w:val="nil"/>
            </w:tcBorders>
            <w:shd w:val="clear" w:color="auto" w:fill="auto"/>
            <w:noWrap/>
            <w:vAlign w:val="center"/>
            <w:hideMark/>
          </w:tcPr>
          <w:p w14:paraId="5E8DADA6" w14:textId="77777777" w:rsidR="00B72483" w:rsidRPr="00B72483" w:rsidRDefault="00B72483" w:rsidP="00B72483">
            <w:pPr>
              <w:spacing w:after="0" w:line="240" w:lineRule="auto"/>
              <w:jc w:val="right"/>
              <w:rPr>
                <w:rFonts w:ascii="Times New Roman" w:eastAsia="Times New Roman" w:hAnsi="Times New Roman" w:cs="Times New Roman"/>
                <w:sz w:val="20"/>
                <w:szCs w:val="20"/>
              </w:rPr>
            </w:pPr>
          </w:p>
        </w:tc>
      </w:tr>
      <w:tr w:rsidR="00B72483" w:rsidRPr="00B72483" w14:paraId="61D5AA00" w14:textId="77777777" w:rsidTr="00143F6B">
        <w:trPr>
          <w:trHeight w:val="227"/>
        </w:trPr>
        <w:tc>
          <w:tcPr>
            <w:tcW w:w="1289" w:type="pct"/>
            <w:gridSpan w:val="3"/>
            <w:tcBorders>
              <w:top w:val="single" w:sz="4" w:space="0" w:color="156082"/>
              <w:left w:val="nil"/>
              <w:bottom w:val="single" w:sz="4" w:space="0" w:color="156082"/>
              <w:right w:val="nil"/>
            </w:tcBorders>
            <w:shd w:val="clear" w:color="000000" w:fill="DAE9F8"/>
            <w:noWrap/>
            <w:vAlign w:val="center"/>
            <w:hideMark/>
          </w:tcPr>
          <w:p w14:paraId="79C06AF7"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TOTAL DO ATIVO</w:t>
            </w:r>
          </w:p>
        </w:tc>
        <w:tc>
          <w:tcPr>
            <w:tcW w:w="251" w:type="pct"/>
            <w:tcBorders>
              <w:top w:val="single" w:sz="4" w:space="0" w:color="156082"/>
              <w:left w:val="nil"/>
              <w:bottom w:val="single" w:sz="4" w:space="0" w:color="156082"/>
              <w:right w:val="nil"/>
            </w:tcBorders>
            <w:shd w:val="clear" w:color="000000" w:fill="DAE9F8"/>
            <w:noWrap/>
            <w:vAlign w:val="center"/>
            <w:hideMark/>
          </w:tcPr>
          <w:p w14:paraId="65D479CB"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 </w:t>
            </w:r>
          </w:p>
        </w:tc>
        <w:tc>
          <w:tcPr>
            <w:tcW w:w="462" w:type="pct"/>
            <w:tcBorders>
              <w:top w:val="single" w:sz="4" w:space="0" w:color="156082"/>
              <w:left w:val="nil"/>
              <w:bottom w:val="single" w:sz="4" w:space="0" w:color="156082"/>
              <w:right w:val="nil"/>
            </w:tcBorders>
            <w:shd w:val="clear" w:color="000000" w:fill="DAE9F8"/>
            <w:noWrap/>
            <w:vAlign w:val="center"/>
            <w:hideMark/>
          </w:tcPr>
          <w:p w14:paraId="23514886" w14:textId="0EA723C0" w:rsidR="00B72483" w:rsidRPr="00B72483" w:rsidRDefault="00B72483" w:rsidP="00B72483">
            <w:pPr>
              <w:spacing w:after="0" w:line="240" w:lineRule="auto"/>
              <w:jc w:val="right"/>
              <w:rPr>
                <w:rFonts w:ascii="Aptos Narrow" w:eastAsia="Times New Roman" w:hAnsi="Aptos Narrow" w:cs="Calibri"/>
                <w:b/>
                <w:bCs/>
                <w:sz w:val="16"/>
                <w:szCs w:val="16"/>
              </w:rPr>
            </w:pPr>
            <w:r w:rsidRPr="00B72483">
              <w:rPr>
                <w:rFonts w:ascii="Aptos Narrow" w:eastAsia="Times New Roman" w:hAnsi="Aptos Narrow" w:cs="Calibri"/>
                <w:b/>
                <w:bCs/>
                <w:sz w:val="16"/>
                <w:szCs w:val="16"/>
              </w:rPr>
              <w:t xml:space="preserve">6.358.176.162 </w:t>
            </w:r>
          </w:p>
        </w:tc>
        <w:tc>
          <w:tcPr>
            <w:tcW w:w="496" w:type="pct"/>
            <w:tcBorders>
              <w:top w:val="single" w:sz="4" w:space="0" w:color="156082"/>
              <w:left w:val="nil"/>
              <w:bottom w:val="single" w:sz="4" w:space="0" w:color="156082"/>
              <w:right w:val="nil"/>
            </w:tcBorders>
            <w:shd w:val="clear" w:color="000000" w:fill="DAE9F8"/>
            <w:noWrap/>
            <w:vAlign w:val="center"/>
            <w:hideMark/>
          </w:tcPr>
          <w:p w14:paraId="0058061D" w14:textId="7CF7C9A2" w:rsidR="00B72483" w:rsidRPr="00B72483" w:rsidRDefault="00B72483" w:rsidP="00B72483">
            <w:pPr>
              <w:spacing w:after="0" w:line="240" w:lineRule="auto"/>
              <w:jc w:val="right"/>
              <w:rPr>
                <w:rFonts w:ascii="Aptos Narrow" w:eastAsia="Times New Roman" w:hAnsi="Aptos Narrow" w:cs="Calibri"/>
                <w:b/>
                <w:bCs/>
                <w:sz w:val="16"/>
                <w:szCs w:val="16"/>
              </w:rPr>
            </w:pPr>
            <w:r w:rsidRPr="00B72483">
              <w:rPr>
                <w:rFonts w:ascii="Aptos Narrow" w:eastAsia="Times New Roman" w:hAnsi="Aptos Narrow" w:cs="Calibri"/>
                <w:b/>
                <w:bCs/>
                <w:sz w:val="16"/>
                <w:szCs w:val="16"/>
              </w:rPr>
              <w:t xml:space="preserve"> 6.155.218.055 </w:t>
            </w:r>
          </w:p>
        </w:tc>
        <w:tc>
          <w:tcPr>
            <w:tcW w:w="73" w:type="pct"/>
            <w:tcBorders>
              <w:top w:val="single" w:sz="4" w:space="0" w:color="156082"/>
              <w:left w:val="nil"/>
              <w:bottom w:val="single" w:sz="4" w:space="0" w:color="156082"/>
              <w:right w:val="nil"/>
            </w:tcBorders>
            <w:shd w:val="clear" w:color="000000" w:fill="DAE9F8"/>
            <w:noWrap/>
            <w:vAlign w:val="center"/>
            <w:hideMark/>
          </w:tcPr>
          <w:p w14:paraId="4BEF3A4F"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 </w:t>
            </w:r>
          </w:p>
        </w:tc>
        <w:tc>
          <w:tcPr>
            <w:tcW w:w="63" w:type="pct"/>
            <w:tcBorders>
              <w:top w:val="nil"/>
              <w:left w:val="nil"/>
              <w:bottom w:val="single" w:sz="4" w:space="0" w:color="156082"/>
              <w:right w:val="nil"/>
            </w:tcBorders>
            <w:shd w:val="clear" w:color="000000" w:fill="DAE9F8"/>
            <w:noWrap/>
            <w:vAlign w:val="center"/>
            <w:hideMark/>
          </w:tcPr>
          <w:p w14:paraId="339CD63F"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 </w:t>
            </w:r>
          </w:p>
        </w:tc>
        <w:tc>
          <w:tcPr>
            <w:tcW w:w="1202" w:type="pct"/>
            <w:gridSpan w:val="2"/>
            <w:tcBorders>
              <w:top w:val="single" w:sz="4" w:space="0" w:color="156082"/>
              <w:left w:val="nil"/>
              <w:bottom w:val="single" w:sz="4" w:space="0" w:color="156082"/>
              <w:right w:val="nil"/>
            </w:tcBorders>
            <w:shd w:val="clear" w:color="000000" w:fill="DAE9F8"/>
            <w:noWrap/>
            <w:vAlign w:val="center"/>
            <w:hideMark/>
          </w:tcPr>
          <w:p w14:paraId="22D4062E"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TOTAL DO PASSIVO E PATRIMÔNIO LÍQUIDO</w:t>
            </w:r>
          </w:p>
        </w:tc>
        <w:tc>
          <w:tcPr>
            <w:tcW w:w="251" w:type="pct"/>
            <w:tcBorders>
              <w:top w:val="single" w:sz="4" w:space="0" w:color="156082"/>
              <w:left w:val="nil"/>
              <w:bottom w:val="single" w:sz="4" w:space="0" w:color="156082"/>
              <w:right w:val="nil"/>
            </w:tcBorders>
            <w:shd w:val="clear" w:color="000000" w:fill="DAE9F8"/>
            <w:noWrap/>
            <w:vAlign w:val="center"/>
            <w:hideMark/>
          </w:tcPr>
          <w:p w14:paraId="3AFDDDA4" w14:textId="77777777" w:rsidR="00B72483" w:rsidRPr="00B72483" w:rsidRDefault="00B72483" w:rsidP="00B72483">
            <w:pPr>
              <w:spacing w:after="0" w:line="240" w:lineRule="auto"/>
              <w:rPr>
                <w:rFonts w:ascii="Aptos Narrow" w:eastAsia="Times New Roman" w:hAnsi="Aptos Narrow" w:cs="Calibri"/>
                <w:b/>
                <w:bCs/>
                <w:sz w:val="16"/>
                <w:szCs w:val="16"/>
              </w:rPr>
            </w:pPr>
            <w:r w:rsidRPr="00B72483">
              <w:rPr>
                <w:rFonts w:ascii="Aptos Narrow" w:eastAsia="Times New Roman" w:hAnsi="Aptos Narrow" w:cs="Calibri"/>
                <w:b/>
                <w:bCs/>
                <w:sz w:val="16"/>
                <w:szCs w:val="16"/>
              </w:rPr>
              <w:t> </w:t>
            </w:r>
          </w:p>
        </w:tc>
        <w:tc>
          <w:tcPr>
            <w:tcW w:w="458" w:type="pct"/>
            <w:tcBorders>
              <w:top w:val="single" w:sz="4" w:space="0" w:color="156082"/>
              <w:left w:val="nil"/>
              <w:bottom w:val="single" w:sz="4" w:space="0" w:color="156082"/>
              <w:right w:val="nil"/>
            </w:tcBorders>
            <w:shd w:val="clear" w:color="000000" w:fill="DAE9F8"/>
            <w:noWrap/>
            <w:vAlign w:val="center"/>
            <w:hideMark/>
          </w:tcPr>
          <w:p w14:paraId="382CA8A2" w14:textId="4A337653" w:rsidR="00B72483" w:rsidRPr="00B72483" w:rsidRDefault="00B72483" w:rsidP="00B72483">
            <w:pPr>
              <w:spacing w:after="0" w:line="240" w:lineRule="auto"/>
              <w:jc w:val="right"/>
              <w:rPr>
                <w:rFonts w:ascii="Aptos Narrow" w:eastAsia="Times New Roman" w:hAnsi="Aptos Narrow" w:cs="Calibri"/>
                <w:b/>
                <w:bCs/>
                <w:sz w:val="16"/>
                <w:szCs w:val="16"/>
              </w:rPr>
            </w:pPr>
            <w:r w:rsidRPr="00B72483">
              <w:rPr>
                <w:rFonts w:ascii="Aptos Narrow" w:eastAsia="Times New Roman" w:hAnsi="Aptos Narrow" w:cs="Calibri"/>
                <w:b/>
                <w:bCs/>
                <w:sz w:val="16"/>
                <w:szCs w:val="16"/>
              </w:rPr>
              <w:t xml:space="preserve"> 6.358.176.162 </w:t>
            </w:r>
          </w:p>
        </w:tc>
        <w:tc>
          <w:tcPr>
            <w:tcW w:w="454" w:type="pct"/>
            <w:tcBorders>
              <w:top w:val="single" w:sz="4" w:space="0" w:color="156082"/>
              <w:left w:val="nil"/>
              <w:bottom w:val="single" w:sz="4" w:space="0" w:color="156082"/>
              <w:right w:val="nil"/>
            </w:tcBorders>
            <w:shd w:val="clear" w:color="000000" w:fill="DAE9F8"/>
            <w:noWrap/>
            <w:vAlign w:val="center"/>
            <w:hideMark/>
          </w:tcPr>
          <w:p w14:paraId="244E1057" w14:textId="21100776" w:rsidR="00B72483" w:rsidRPr="00B72483" w:rsidRDefault="00B72483" w:rsidP="00B72483">
            <w:pPr>
              <w:spacing w:after="0" w:line="240" w:lineRule="auto"/>
              <w:jc w:val="right"/>
              <w:rPr>
                <w:rFonts w:ascii="Aptos Narrow" w:eastAsia="Times New Roman" w:hAnsi="Aptos Narrow" w:cs="Calibri"/>
                <w:b/>
                <w:bCs/>
                <w:sz w:val="16"/>
                <w:szCs w:val="16"/>
              </w:rPr>
            </w:pPr>
            <w:r w:rsidRPr="00B72483">
              <w:rPr>
                <w:rFonts w:ascii="Aptos Narrow" w:eastAsia="Times New Roman" w:hAnsi="Aptos Narrow" w:cs="Calibri"/>
                <w:b/>
                <w:bCs/>
                <w:sz w:val="16"/>
                <w:szCs w:val="16"/>
              </w:rPr>
              <w:t xml:space="preserve"> 6.155.218.055 </w:t>
            </w:r>
          </w:p>
        </w:tc>
      </w:tr>
    </w:tbl>
    <w:p w14:paraId="402FEB7F" w14:textId="5DEAEA40" w:rsidR="00C82D07" w:rsidRPr="00C82D07" w:rsidRDefault="00C82D07" w:rsidP="00E06A3E">
      <w:pPr>
        <w:spacing w:before="240"/>
        <w:jc w:val="center"/>
        <w:sectPr w:rsidR="00C82D07" w:rsidRPr="00C82D07" w:rsidSect="00E06A3E">
          <w:headerReference w:type="default" r:id="rId14"/>
          <w:pgSz w:w="16840" w:h="11907" w:orient="landscape" w:code="9"/>
          <w:pgMar w:top="284" w:right="720" w:bottom="284" w:left="720" w:header="680" w:footer="468"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pgNumType w:start="1"/>
          <w:cols w:space="708"/>
          <w:docGrid w:linePitch="360"/>
        </w:sectPr>
      </w:pPr>
      <w:r w:rsidRPr="00345E99">
        <w:rPr>
          <w:rFonts w:ascii="Aptos Narrow" w:eastAsia="Times New Roman" w:hAnsi="Aptos Narrow" w:cs="Calibri"/>
          <w:color w:val="000000"/>
          <w:sz w:val="16"/>
          <w:szCs w:val="16"/>
        </w:rPr>
        <w:t>(As Notas Explicativas são parte integrante das Demonstrações Financeiras)</w:t>
      </w:r>
      <w:r>
        <w:tab/>
      </w:r>
    </w:p>
    <w:p w14:paraId="135769B2" w14:textId="77777777" w:rsidR="00490FCA" w:rsidRPr="00490FCA" w:rsidRDefault="00222BF5" w:rsidP="00E06A3E">
      <w:pPr>
        <w:pStyle w:val="Ttulo2"/>
        <w:spacing w:after="0"/>
      </w:pPr>
      <w:bookmarkStart w:id="2" w:name="_Toc184926655"/>
      <w:r w:rsidRPr="00490FCA">
        <w:lastRenderedPageBreak/>
        <w:t>Demonstração do Resultado do Exercício</w:t>
      </w:r>
      <w:bookmarkEnd w:id="2"/>
    </w:p>
    <w:p w14:paraId="3B25F389" w14:textId="38AF95EB" w:rsidR="00222BF5" w:rsidRDefault="0006072D" w:rsidP="00222BF5">
      <w:pPr>
        <w:spacing w:after="240" w:line="240" w:lineRule="auto"/>
        <w:rPr>
          <w:rFonts w:ascii="Calibri" w:eastAsia="Times New Roman" w:hAnsi="Calibri" w:cs="Calibri"/>
          <w:i/>
          <w:iCs/>
          <w:color w:val="2F75B5"/>
          <w:sz w:val="16"/>
          <w:szCs w:val="16"/>
        </w:rPr>
      </w:pPr>
      <w:r w:rsidRPr="00044087">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w:t>
      </w:r>
      <w:r w:rsidRPr="00044087">
        <w:rPr>
          <w:rFonts w:ascii="Calibri" w:eastAsia="Times New Roman" w:hAnsi="Calibri" w:cs="Calibri"/>
          <w:color w:val="2F75B5"/>
          <w:sz w:val="16"/>
          <w:szCs w:val="16"/>
        </w:rPr>
        <w:t xml:space="preserve"> de 202</w:t>
      </w:r>
      <w:r>
        <w:rPr>
          <w:rFonts w:ascii="Calibri" w:eastAsia="Times New Roman" w:hAnsi="Calibri" w:cs="Calibri"/>
          <w:color w:val="2F75B5"/>
          <w:sz w:val="16"/>
          <w:szCs w:val="16"/>
        </w:rPr>
        <w:t>4</w:t>
      </w:r>
      <w:r w:rsidRPr="00044087">
        <w:rPr>
          <w:rFonts w:ascii="Calibri" w:eastAsia="Times New Roman" w:hAnsi="Calibri" w:cs="Calibri"/>
          <w:color w:val="2F75B5"/>
          <w:sz w:val="16"/>
          <w:szCs w:val="16"/>
        </w:rPr>
        <w:t xml:space="preserve"> e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 de</w:t>
      </w:r>
      <w:r w:rsidRPr="00044087">
        <w:rPr>
          <w:rFonts w:ascii="Calibri" w:eastAsia="Times New Roman" w:hAnsi="Calibri" w:cs="Calibri"/>
          <w:color w:val="2F75B5"/>
          <w:sz w:val="16"/>
          <w:szCs w:val="16"/>
        </w:rPr>
        <w:t xml:space="preserve"> 202</w:t>
      </w:r>
      <w:r>
        <w:rPr>
          <w:rFonts w:ascii="Calibri" w:eastAsia="Times New Roman" w:hAnsi="Calibri" w:cs="Calibri"/>
          <w:color w:val="2F75B5"/>
          <w:sz w:val="16"/>
          <w:szCs w:val="16"/>
        </w:rPr>
        <w:t>3</w:t>
      </w:r>
      <w:r w:rsidR="00222BF5" w:rsidRPr="00044087">
        <w:rPr>
          <w:rFonts w:ascii="Calibri" w:eastAsia="Times New Roman" w:hAnsi="Calibri" w:cs="Calibri"/>
          <w:color w:val="2F75B5"/>
          <w:sz w:val="16"/>
          <w:szCs w:val="16"/>
        </w:rPr>
        <w:br/>
      </w:r>
      <w:r w:rsidR="00222BF5"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7043"/>
        <w:gridCol w:w="1056"/>
        <w:gridCol w:w="1184"/>
        <w:gridCol w:w="1184"/>
      </w:tblGrid>
      <w:tr w:rsidR="00774341" w:rsidRPr="00774341" w14:paraId="4AE6E3F8" w14:textId="77777777" w:rsidTr="005C5634">
        <w:trPr>
          <w:trHeight w:val="227"/>
        </w:trPr>
        <w:tc>
          <w:tcPr>
            <w:tcW w:w="6749" w:type="dxa"/>
            <w:tcBorders>
              <w:top w:val="nil"/>
              <w:left w:val="nil"/>
              <w:bottom w:val="single" w:sz="4" w:space="0" w:color="156082"/>
              <w:right w:val="nil"/>
            </w:tcBorders>
            <w:shd w:val="clear" w:color="auto" w:fill="auto"/>
            <w:noWrap/>
            <w:vAlign w:val="center"/>
            <w:hideMark/>
          </w:tcPr>
          <w:p w14:paraId="495DEF7F" w14:textId="77777777" w:rsidR="00774341" w:rsidRPr="00774341" w:rsidRDefault="00774341" w:rsidP="00774341">
            <w:pPr>
              <w:spacing w:after="0" w:line="240" w:lineRule="auto"/>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w:t>
            </w:r>
          </w:p>
        </w:tc>
        <w:tc>
          <w:tcPr>
            <w:tcW w:w="1012" w:type="dxa"/>
            <w:tcBorders>
              <w:top w:val="nil"/>
              <w:left w:val="nil"/>
              <w:bottom w:val="single" w:sz="4" w:space="0" w:color="156082"/>
              <w:right w:val="nil"/>
            </w:tcBorders>
            <w:shd w:val="clear" w:color="auto" w:fill="auto"/>
            <w:noWrap/>
            <w:vAlign w:val="center"/>
            <w:hideMark/>
          </w:tcPr>
          <w:p w14:paraId="33B9BAAC" w14:textId="77777777" w:rsidR="00774341" w:rsidRPr="00774341" w:rsidRDefault="00774341" w:rsidP="00774341">
            <w:pPr>
              <w:spacing w:after="0" w:line="240" w:lineRule="auto"/>
              <w:jc w:val="center"/>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Nota</w:t>
            </w:r>
          </w:p>
        </w:tc>
        <w:tc>
          <w:tcPr>
            <w:tcW w:w="1134" w:type="dxa"/>
            <w:tcBorders>
              <w:top w:val="nil"/>
              <w:left w:val="nil"/>
              <w:bottom w:val="single" w:sz="4" w:space="0" w:color="156082"/>
              <w:right w:val="nil"/>
            </w:tcBorders>
            <w:shd w:val="clear" w:color="auto" w:fill="auto"/>
            <w:vAlign w:val="center"/>
            <w:hideMark/>
          </w:tcPr>
          <w:p w14:paraId="773B22A9" w14:textId="77777777"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31/03/2024</w:t>
            </w:r>
          </w:p>
        </w:tc>
        <w:tc>
          <w:tcPr>
            <w:tcW w:w="1134" w:type="dxa"/>
            <w:tcBorders>
              <w:top w:val="nil"/>
              <w:left w:val="nil"/>
              <w:bottom w:val="single" w:sz="4" w:space="0" w:color="156082"/>
              <w:right w:val="nil"/>
            </w:tcBorders>
            <w:shd w:val="clear" w:color="auto" w:fill="auto"/>
            <w:vAlign w:val="center"/>
            <w:hideMark/>
          </w:tcPr>
          <w:p w14:paraId="32ADA6DB" w14:textId="77777777"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31/03/2023</w:t>
            </w:r>
          </w:p>
        </w:tc>
      </w:tr>
      <w:tr w:rsidR="00774341" w:rsidRPr="00774341" w14:paraId="5B6D0131" w14:textId="77777777" w:rsidTr="005C5634">
        <w:trPr>
          <w:trHeight w:val="227"/>
        </w:trPr>
        <w:tc>
          <w:tcPr>
            <w:tcW w:w="6749" w:type="dxa"/>
            <w:tcBorders>
              <w:top w:val="nil"/>
              <w:left w:val="nil"/>
              <w:bottom w:val="nil"/>
              <w:right w:val="nil"/>
            </w:tcBorders>
            <w:shd w:val="clear" w:color="auto" w:fill="auto"/>
            <w:noWrap/>
            <w:vAlign w:val="center"/>
            <w:hideMark/>
          </w:tcPr>
          <w:p w14:paraId="16C474B7"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Receita Bruta</w:t>
            </w:r>
          </w:p>
        </w:tc>
        <w:tc>
          <w:tcPr>
            <w:tcW w:w="1012" w:type="dxa"/>
            <w:tcBorders>
              <w:top w:val="nil"/>
              <w:left w:val="nil"/>
              <w:bottom w:val="nil"/>
              <w:right w:val="nil"/>
            </w:tcBorders>
            <w:shd w:val="clear" w:color="auto" w:fill="auto"/>
            <w:noWrap/>
            <w:vAlign w:val="center"/>
            <w:hideMark/>
          </w:tcPr>
          <w:p w14:paraId="09BE5F3C"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67583099" w14:textId="06BA9E27"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1.873.573 </w:t>
            </w:r>
          </w:p>
        </w:tc>
        <w:tc>
          <w:tcPr>
            <w:tcW w:w="1134" w:type="dxa"/>
            <w:tcBorders>
              <w:top w:val="nil"/>
              <w:left w:val="nil"/>
              <w:bottom w:val="nil"/>
              <w:right w:val="nil"/>
            </w:tcBorders>
            <w:shd w:val="clear" w:color="auto" w:fill="auto"/>
            <w:noWrap/>
            <w:vAlign w:val="center"/>
            <w:hideMark/>
          </w:tcPr>
          <w:p w14:paraId="3D4D5970" w14:textId="4EA984B8"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1.606.504 </w:t>
            </w:r>
          </w:p>
        </w:tc>
      </w:tr>
      <w:tr w:rsidR="00774341" w:rsidRPr="00774341" w14:paraId="63DDAB91" w14:textId="77777777" w:rsidTr="005C5634">
        <w:trPr>
          <w:trHeight w:val="227"/>
        </w:trPr>
        <w:tc>
          <w:tcPr>
            <w:tcW w:w="6749" w:type="dxa"/>
            <w:tcBorders>
              <w:top w:val="nil"/>
              <w:left w:val="nil"/>
              <w:bottom w:val="nil"/>
              <w:right w:val="nil"/>
            </w:tcBorders>
            <w:shd w:val="clear" w:color="auto" w:fill="auto"/>
            <w:noWrap/>
            <w:vAlign w:val="center"/>
            <w:hideMark/>
          </w:tcPr>
          <w:p w14:paraId="7FD39707" w14:textId="6AEE2697"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Pr="00774341">
              <w:rPr>
                <w:rFonts w:ascii="Aptos Narrow" w:eastAsia="Times New Roman" w:hAnsi="Aptos Narrow" w:cs="Calibri"/>
                <w:color w:val="000000"/>
                <w:sz w:val="16"/>
                <w:szCs w:val="16"/>
              </w:rPr>
              <w:t xml:space="preserve"> </w:t>
            </w:r>
            <w:r w:rsidR="00774341" w:rsidRPr="00774341">
              <w:rPr>
                <w:rFonts w:ascii="Aptos Narrow" w:eastAsia="Times New Roman" w:hAnsi="Aptos Narrow" w:cs="Calibri"/>
                <w:color w:val="000000"/>
                <w:sz w:val="16"/>
                <w:szCs w:val="16"/>
              </w:rPr>
              <w:t>(-) Deduções</w:t>
            </w:r>
          </w:p>
        </w:tc>
        <w:tc>
          <w:tcPr>
            <w:tcW w:w="1012" w:type="dxa"/>
            <w:tcBorders>
              <w:top w:val="nil"/>
              <w:left w:val="nil"/>
              <w:bottom w:val="nil"/>
              <w:right w:val="nil"/>
            </w:tcBorders>
            <w:shd w:val="clear" w:color="auto" w:fill="auto"/>
            <w:noWrap/>
            <w:vAlign w:val="center"/>
            <w:hideMark/>
          </w:tcPr>
          <w:p w14:paraId="7355ECC3"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4268F38B" w14:textId="612330B3"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(119.018)</w:t>
            </w:r>
          </w:p>
        </w:tc>
        <w:tc>
          <w:tcPr>
            <w:tcW w:w="1134" w:type="dxa"/>
            <w:tcBorders>
              <w:top w:val="nil"/>
              <w:left w:val="nil"/>
              <w:bottom w:val="nil"/>
              <w:right w:val="nil"/>
            </w:tcBorders>
            <w:shd w:val="clear" w:color="auto" w:fill="auto"/>
            <w:noWrap/>
            <w:vAlign w:val="center"/>
            <w:hideMark/>
          </w:tcPr>
          <w:p w14:paraId="4F53FB54" w14:textId="484F825C"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(163.152)</w:t>
            </w:r>
          </w:p>
        </w:tc>
      </w:tr>
      <w:tr w:rsidR="00774341" w:rsidRPr="00774341" w14:paraId="1685EA01" w14:textId="77777777" w:rsidTr="005C5634">
        <w:trPr>
          <w:trHeight w:val="227"/>
        </w:trPr>
        <w:tc>
          <w:tcPr>
            <w:tcW w:w="6749" w:type="dxa"/>
            <w:tcBorders>
              <w:top w:val="nil"/>
              <w:left w:val="nil"/>
              <w:bottom w:val="nil"/>
              <w:right w:val="nil"/>
            </w:tcBorders>
            <w:shd w:val="clear" w:color="auto" w:fill="auto"/>
            <w:noWrap/>
            <w:vAlign w:val="center"/>
            <w:hideMark/>
          </w:tcPr>
          <w:p w14:paraId="4A0BC2A6"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RECEITA LÍQUIDA</w:t>
            </w:r>
          </w:p>
        </w:tc>
        <w:tc>
          <w:tcPr>
            <w:tcW w:w="1012" w:type="dxa"/>
            <w:tcBorders>
              <w:top w:val="nil"/>
              <w:left w:val="nil"/>
              <w:bottom w:val="nil"/>
              <w:right w:val="nil"/>
            </w:tcBorders>
            <w:shd w:val="clear" w:color="auto" w:fill="auto"/>
            <w:noWrap/>
            <w:vAlign w:val="center"/>
            <w:hideMark/>
          </w:tcPr>
          <w:p w14:paraId="40374680"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398816E" w14:textId="6846F865"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1.754.555 </w:t>
            </w:r>
          </w:p>
        </w:tc>
        <w:tc>
          <w:tcPr>
            <w:tcW w:w="1134" w:type="dxa"/>
            <w:tcBorders>
              <w:top w:val="nil"/>
              <w:left w:val="nil"/>
              <w:bottom w:val="nil"/>
              <w:right w:val="nil"/>
            </w:tcBorders>
            <w:shd w:val="clear" w:color="auto" w:fill="auto"/>
            <w:noWrap/>
            <w:vAlign w:val="center"/>
            <w:hideMark/>
          </w:tcPr>
          <w:p w14:paraId="2CAA2623" w14:textId="577D8EE8"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1.443.352 </w:t>
            </w:r>
          </w:p>
        </w:tc>
      </w:tr>
      <w:tr w:rsidR="00774341" w:rsidRPr="00774341" w14:paraId="285CD269" w14:textId="77777777" w:rsidTr="005C5634">
        <w:trPr>
          <w:trHeight w:val="227"/>
        </w:trPr>
        <w:tc>
          <w:tcPr>
            <w:tcW w:w="6749" w:type="dxa"/>
            <w:tcBorders>
              <w:top w:val="nil"/>
              <w:left w:val="nil"/>
              <w:bottom w:val="nil"/>
              <w:right w:val="nil"/>
            </w:tcBorders>
            <w:shd w:val="clear" w:color="auto" w:fill="auto"/>
            <w:noWrap/>
            <w:vAlign w:val="center"/>
            <w:hideMark/>
          </w:tcPr>
          <w:p w14:paraId="14474727"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p>
        </w:tc>
        <w:tc>
          <w:tcPr>
            <w:tcW w:w="1012" w:type="dxa"/>
            <w:tcBorders>
              <w:top w:val="nil"/>
              <w:left w:val="nil"/>
              <w:bottom w:val="nil"/>
              <w:right w:val="nil"/>
            </w:tcBorders>
            <w:shd w:val="clear" w:color="auto" w:fill="auto"/>
            <w:noWrap/>
            <w:vAlign w:val="center"/>
            <w:hideMark/>
          </w:tcPr>
          <w:p w14:paraId="0D815BAB"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6A660F3"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7E21C1A"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082A9EA7" w14:textId="77777777" w:rsidTr="005C5634">
        <w:trPr>
          <w:trHeight w:val="227"/>
        </w:trPr>
        <w:tc>
          <w:tcPr>
            <w:tcW w:w="6749" w:type="dxa"/>
            <w:tcBorders>
              <w:top w:val="nil"/>
              <w:left w:val="nil"/>
              <w:bottom w:val="nil"/>
              <w:right w:val="nil"/>
            </w:tcBorders>
            <w:shd w:val="clear" w:color="auto" w:fill="auto"/>
            <w:noWrap/>
            <w:vAlign w:val="center"/>
            <w:hideMark/>
          </w:tcPr>
          <w:p w14:paraId="0C00CC2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RESULTADO BRUTO</w:t>
            </w:r>
          </w:p>
        </w:tc>
        <w:tc>
          <w:tcPr>
            <w:tcW w:w="1012" w:type="dxa"/>
            <w:tcBorders>
              <w:top w:val="nil"/>
              <w:left w:val="nil"/>
              <w:bottom w:val="nil"/>
              <w:right w:val="nil"/>
            </w:tcBorders>
            <w:shd w:val="clear" w:color="auto" w:fill="auto"/>
            <w:noWrap/>
            <w:vAlign w:val="center"/>
            <w:hideMark/>
          </w:tcPr>
          <w:p w14:paraId="15A3DA7E" w14:textId="77777777"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28</w:t>
            </w:r>
          </w:p>
        </w:tc>
        <w:tc>
          <w:tcPr>
            <w:tcW w:w="1134" w:type="dxa"/>
            <w:tcBorders>
              <w:top w:val="nil"/>
              <w:left w:val="nil"/>
              <w:bottom w:val="nil"/>
              <w:right w:val="nil"/>
            </w:tcBorders>
            <w:shd w:val="clear" w:color="auto" w:fill="auto"/>
            <w:noWrap/>
            <w:vAlign w:val="center"/>
            <w:hideMark/>
          </w:tcPr>
          <w:p w14:paraId="4A01D8B5" w14:textId="243CB671"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1.754.555 </w:t>
            </w:r>
          </w:p>
        </w:tc>
        <w:tc>
          <w:tcPr>
            <w:tcW w:w="1134" w:type="dxa"/>
            <w:tcBorders>
              <w:top w:val="nil"/>
              <w:left w:val="nil"/>
              <w:bottom w:val="nil"/>
              <w:right w:val="nil"/>
            </w:tcBorders>
            <w:shd w:val="clear" w:color="auto" w:fill="auto"/>
            <w:noWrap/>
            <w:vAlign w:val="center"/>
            <w:hideMark/>
          </w:tcPr>
          <w:p w14:paraId="43E375CA" w14:textId="0425DEE6"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1.443.352 </w:t>
            </w:r>
          </w:p>
        </w:tc>
      </w:tr>
      <w:tr w:rsidR="00774341" w:rsidRPr="00774341" w14:paraId="29D6A8BE" w14:textId="77777777" w:rsidTr="005C5634">
        <w:trPr>
          <w:trHeight w:val="227"/>
        </w:trPr>
        <w:tc>
          <w:tcPr>
            <w:tcW w:w="6749" w:type="dxa"/>
            <w:tcBorders>
              <w:top w:val="nil"/>
              <w:left w:val="nil"/>
              <w:bottom w:val="nil"/>
              <w:right w:val="nil"/>
            </w:tcBorders>
            <w:shd w:val="clear" w:color="auto" w:fill="auto"/>
            <w:noWrap/>
            <w:vAlign w:val="center"/>
            <w:hideMark/>
          </w:tcPr>
          <w:p w14:paraId="66151F18" w14:textId="77777777" w:rsidR="00774341" w:rsidRPr="00774341" w:rsidRDefault="00774341" w:rsidP="00774341">
            <w:pPr>
              <w:spacing w:after="0" w:line="240" w:lineRule="auto"/>
              <w:jc w:val="right"/>
              <w:rPr>
                <w:rFonts w:ascii="Aptos Narrow" w:eastAsia="Times New Roman" w:hAnsi="Aptos Narrow" w:cs="Calibri"/>
                <w:b/>
                <w:bCs/>
                <w:color w:val="000000"/>
                <w:sz w:val="16"/>
                <w:szCs w:val="16"/>
              </w:rPr>
            </w:pPr>
          </w:p>
        </w:tc>
        <w:tc>
          <w:tcPr>
            <w:tcW w:w="1012" w:type="dxa"/>
            <w:tcBorders>
              <w:top w:val="nil"/>
              <w:left w:val="nil"/>
              <w:bottom w:val="nil"/>
              <w:right w:val="nil"/>
            </w:tcBorders>
            <w:shd w:val="clear" w:color="auto" w:fill="auto"/>
            <w:noWrap/>
            <w:vAlign w:val="center"/>
            <w:hideMark/>
          </w:tcPr>
          <w:p w14:paraId="5356BEEC"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1E75075"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206617B"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55D6D016" w14:textId="77777777" w:rsidTr="005C5634">
        <w:trPr>
          <w:trHeight w:val="227"/>
        </w:trPr>
        <w:tc>
          <w:tcPr>
            <w:tcW w:w="6749" w:type="dxa"/>
            <w:tcBorders>
              <w:top w:val="nil"/>
              <w:left w:val="nil"/>
              <w:bottom w:val="nil"/>
              <w:right w:val="nil"/>
            </w:tcBorders>
            <w:shd w:val="clear" w:color="auto" w:fill="auto"/>
            <w:noWrap/>
            <w:vAlign w:val="center"/>
            <w:hideMark/>
          </w:tcPr>
          <w:p w14:paraId="2B143A9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DESPESAS OPERACIONAIS</w:t>
            </w:r>
          </w:p>
        </w:tc>
        <w:tc>
          <w:tcPr>
            <w:tcW w:w="1012" w:type="dxa"/>
            <w:tcBorders>
              <w:top w:val="nil"/>
              <w:left w:val="nil"/>
              <w:bottom w:val="nil"/>
              <w:right w:val="nil"/>
            </w:tcBorders>
            <w:shd w:val="clear" w:color="auto" w:fill="auto"/>
            <w:noWrap/>
            <w:vAlign w:val="center"/>
            <w:hideMark/>
          </w:tcPr>
          <w:p w14:paraId="4217B9B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33BC685" w14:textId="243069F0"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(50.776.871)</w:t>
            </w:r>
          </w:p>
        </w:tc>
        <w:tc>
          <w:tcPr>
            <w:tcW w:w="1134" w:type="dxa"/>
            <w:tcBorders>
              <w:top w:val="nil"/>
              <w:left w:val="nil"/>
              <w:bottom w:val="nil"/>
              <w:right w:val="nil"/>
            </w:tcBorders>
            <w:shd w:val="clear" w:color="auto" w:fill="auto"/>
            <w:noWrap/>
            <w:vAlign w:val="center"/>
            <w:hideMark/>
          </w:tcPr>
          <w:p w14:paraId="473BA286" w14:textId="59A39ADC"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(49.478.857)</w:t>
            </w:r>
          </w:p>
        </w:tc>
      </w:tr>
      <w:tr w:rsidR="00774341" w:rsidRPr="00774341" w14:paraId="3033A9AF" w14:textId="77777777" w:rsidTr="005C5634">
        <w:trPr>
          <w:trHeight w:val="227"/>
        </w:trPr>
        <w:tc>
          <w:tcPr>
            <w:tcW w:w="6749" w:type="dxa"/>
            <w:tcBorders>
              <w:top w:val="nil"/>
              <w:left w:val="nil"/>
              <w:bottom w:val="nil"/>
              <w:right w:val="nil"/>
            </w:tcBorders>
            <w:shd w:val="clear" w:color="auto" w:fill="auto"/>
            <w:noWrap/>
            <w:vAlign w:val="center"/>
            <w:hideMark/>
          </w:tcPr>
          <w:p w14:paraId="2CF9BAEE" w14:textId="2E51A64D"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Pessoal</w:t>
            </w:r>
          </w:p>
        </w:tc>
        <w:tc>
          <w:tcPr>
            <w:tcW w:w="1012" w:type="dxa"/>
            <w:tcBorders>
              <w:top w:val="nil"/>
              <w:left w:val="nil"/>
              <w:bottom w:val="nil"/>
              <w:right w:val="nil"/>
            </w:tcBorders>
            <w:shd w:val="clear" w:color="auto" w:fill="auto"/>
            <w:noWrap/>
            <w:vAlign w:val="center"/>
            <w:hideMark/>
          </w:tcPr>
          <w:p w14:paraId="0384F543" w14:textId="77777777"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29</w:t>
            </w:r>
          </w:p>
        </w:tc>
        <w:tc>
          <w:tcPr>
            <w:tcW w:w="1134" w:type="dxa"/>
            <w:tcBorders>
              <w:top w:val="nil"/>
              <w:left w:val="nil"/>
              <w:bottom w:val="nil"/>
              <w:right w:val="nil"/>
            </w:tcBorders>
            <w:shd w:val="clear" w:color="auto" w:fill="auto"/>
            <w:noWrap/>
            <w:vAlign w:val="center"/>
            <w:hideMark/>
          </w:tcPr>
          <w:p w14:paraId="1EC1B2AE" w14:textId="69602D41"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(41.045.929)</w:t>
            </w:r>
          </w:p>
        </w:tc>
        <w:tc>
          <w:tcPr>
            <w:tcW w:w="1134" w:type="dxa"/>
            <w:tcBorders>
              <w:top w:val="nil"/>
              <w:left w:val="nil"/>
              <w:bottom w:val="nil"/>
              <w:right w:val="nil"/>
            </w:tcBorders>
            <w:shd w:val="clear" w:color="auto" w:fill="auto"/>
            <w:noWrap/>
            <w:vAlign w:val="center"/>
            <w:hideMark/>
          </w:tcPr>
          <w:p w14:paraId="07F07E8D" w14:textId="7CE68CEA"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(41.627.019)</w:t>
            </w:r>
          </w:p>
        </w:tc>
      </w:tr>
      <w:tr w:rsidR="00774341" w:rsidRPr="00774341" w14:paraId="0B4BE603" w14:textId="77777777" w:rsidTr="005C5634">
        <w:trPr>
          <w:trHeight w:val="227"/>
        </w:trPr>
        <w:tc>
          <w:tcPr>
            <w:tcW w:w="6749" w:type="dxa"/>
            <w:tcBorders>
              <w:top w:val="nil"/>
              <w:left w:val="nil"/>
              <w:bottom w:val="nil"/>
              <w:right w:val="nil"/>
            </w:tcBorders>
            <w:shd w:val="clear" w:color="auto" w:fill="auto"/>
            <w:noWrap/>
            <w:vAlign w:val="center"/>
            <w:hideMark/>
          </w:tcPr>
          <w:p w14:paraId="49017CD5" w14:textId="236C44BB"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Remuneração dos Administradores e Conselho Fiscal</w:t>
            </w:r>
          </w:p>
        </w:tc>
        <w:tc>
          <w:tcPr>
            <w:tcW w:w="1012" w:type="dxa"/>
            <w:tcBorders>
              <w:top w:val="nil"/>
              <w:left w:val="nil"/>
              <w:bottom w:val="nil"/>
              <w:right w:val="nil"/>
            </w:tcBorders>
            <w:shd w:val="clear" w:color="auto" w:fill="auto"/>
            <w:noWrap/>
            <w:vAlign w:val="center"/>
            <w:hideMark/>
          </w:tcPr>
          <w:p w14:paraId="591EE48C"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1132C1A7" w14:textId="1DEB3D6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(266.199)</w:t>
            </w:r>
          </w:p>
        </w:tc>
        <w:tc>
          <w:tcPr>
            <w:tcW w:w="1134" w:type="dxa"/>
            <w:tcBorders>
              <w:top w:val="nil"/>
              <w:left w:val="nil"/>
              <w:bottom w:val="nil"/>
              <w:right w:val="nil"/>
            </w:tcBorders>
            <w:shd w:val="clear" w:color="auto" w:fill="auto"/>
            <w:noWrap/>
            <w:vAlign w:val="center"/>
            <w:hideMark/>
          </w:tcPr>
          <w:p w14:paraId="633BE1A2" w14:textId="43748A2F"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(463.413)</w:t>
            </w:r>
          </w:p>
        </w:tc>
      </w:tr>
      <w:tr w:rsidR="00774341" w:rsidRPr="00774341" w14:paraId="0D0B307C" w14:textId="77777777" w:rsidTr="005C5634">
        <w:trPr>
          <w:trHeight w:val="227"/>
        </w:trPr>
        <w:tc>
          <w:tcPr>
            <w:tcW w:w="6749" w:type="dxa"/>
            <w:tcBorders>
              <w:top w:val="nil"/>
              <w:left w:val="nil"/>
              <w:bottom w:val="nil"/>
              <w:right w:val="nil"/>
            </w:tcBorders>
            <w:shd w:val="clear" w:color="auto" w:fill="auto"/>
            <w:noWrap/>
            <w:vAlign w:val="center"/>
            <w:hideMark/>
          </w:tcPr>
          <w:p w14:paraId="79C3B29D" w14:textId="2F8BB8C8"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Depreciação e Amortização</w:t>
            </w:r>
          </w:p>
        </w:tc>
        <w:tc>
          <w:tcPr>
            <w:tcW w:w="1012" w:type="dxa"/>
            <w:tcBorders>
              <w:top w:val="nil"/>
              <w:left w:val="nil"/>
              <w:bottom w:val="nil"/>
              <w:right w:val="nil"/>
            </w:tcBorders>
            <w:shd w:val="clear" w:color="auto" w:fill="auto"/>
            <w:noWrap/>
            <w:vAlign w:val="center"/>
            <w:hideMark/>
          </w:tcPr>
          <w:p w14:paraId="63A833B5" w14:textId="3DB71984" w:rsidR="00774341" w:rsidRPr="00774341" w:rsidRDefault="00431D78" w:rsidP="00526AB7">
            <w:pPr>
              <w:spacing w:after="0" w:line="240" w:lineRule="auto"/>
              <w:jc w:val="center"/>
              <w:rPr>
                <w:rFonts w:ascii="Aptos Narrow" w:eastAsia="Times New Roman" w:hAnsi="Aptos Narrow" w:cs="Calibri"/>
                <w:color w:val="000000"/>
                <w:sz w:val="16"/>
                <w:szCs w:val="16"/>
              </w:rPr>
            </w:pPr>
            <w:r w:rsidRPr="00526AB7">
              <w:rPr>
                <w:rFonts w:ascii="Aptos Narrow" w:eastAsia="Times New Roman" w:hAnsi="Aptos Narrow" w:cs="Calibri"/>
                <w:color w:val="156082"/>
                <w:sz w:val="16"/>
                <w:szCs w:val="16"/>
              </w:rPr>
              <w:t>31</w:t>
            </w:r>
          </w:p>
        </w:tc>
        <w:tc>
          <w:tcPr>
            <w:tcW w:w="1134" w:type="dxa"/>
            <w:tcBorders>
              <w:top w:val="nil"/>
              <w:left w:val="nil"/>
              <w:bottom w:val="nil"/>
              <w:right w:val="nil"/>
            </w:tcBorders>
            <w:shd w:val="clear" w:color="auto" w:fill="auto"/>
            <w:noWrap/>
            <w:vAlign w:val="center"/>
            <w:hideMark/>
          </w:tcPr>
          <w:p w14:paraId="46D49E90" w14:textId="58FA16C0"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(1.620.156)</w:t>
            </w:r>
          </w:p>
        </w:tc>
        <w:tc>
          <w:tcPr>
            <w:tcW w:w="1134" w:type="dxa"/>
            <w:tcBorders>
              <w:top w:val="nil"/>
              <w:left w:val="nil"/>
              <w:bottom w:val="nil"/>
              <w:right w:val="nil"/>
            </w:tcBorders>
            <w:shd w:val="clear" w:color="auto" w:fill="auto"/>
            <w:noWrap/>
            <w:vAlign w:val="center"/>
            <w:hideMark/>
          </w:tcPr>
          <w:p w14:paraId="65D3E529" w14:textId="584F4A5A"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(2.737.548)</w:t>
            </w:r>
          </w:p>
        </w:tc>
      </w:tr>
      <w:tr w:rsidR="00774341" w:rsidRPr="00774341" w14:paraId="2B467F34" w14:textId="77777777" w:rsidTr="005C5634">
        <w:trPr>
          <w:trHeight w:val="227"/>
        </w:trPr>
        <w:tc>
          <w:tcPr>
            <w:tcW w:w="6749" w:type="dxa"/>
            <w:tcBorders>
              <w:top w:val="nil"/>
              <w:left w:val="nil"/>
              <w:bottom w:val="nil"/>
              <w:right w:val="nil"/>
            </w:tcBorders>
            <w:shd w:val="clear" w:color="auto" w:fill="auto"/>
            <w:noWrap/>
            <w:vAlign w:val="center"/>
            <w:hideMark/>
          </w:tcPr>
          <w:p w14:paraId="014FCFAE" w14:textId="2F485FF9"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Gerais e Administrativas</w:t>
            </w:r>
          </w:p>
        </w:tc>
        <w:tc>
          <w:tcPr>
            <w:tcW w:w="1012" w:type="dxa"/>
            <w:tcBorders>
              <w:top w:val="nil"/>
              <w:left w:val="nil"/>
              <w:bottom w:val="nil"/>
              <w:right w:val="nil"/>
            </w:tcBorders>
            <w:shd w:val="clear" w:color="auto" w:fill="auto"/>
            <w:noWrap/>
            <w:vAlign w:val="center"/>
            <w:hideMark/>
          </w:tcPr>
          <w:p w14:paraId="6DDEF663" w14:textId="04E59D8F"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526AB7">
              <w:rPr>
                <w:rFonts w:ascii="Aptos Narrow" w:eastAsia="Times New Roman" w:hAnsi="Aptos Narrow" w:cs="Calibri"/>
                <w:color w:val="156082"/>
                <w:sz w:val="16"/>
                <w:szCs w:val="16"/>
              </w:rPr>
              <w:t>0</w:t>
            </w:r>
          </w:p>
        </w:tc>
        <w:tc>
          <w:tcPr>
            <w:tcW w:w="1134" w:type="dxa"/>
            <w:tcBorders>
              <w:top w:val="nil"/>
              <w:left w:val="nil"/>
              <w:bottom w:val="nil"/>
              <w:right w:val="nil"/>
            </w:tcBorders>
            <w:shd w:val="clear" w:color="auto" w:fill="auto"/>
            <w:noWrap/>
            <w:vAlign w:val="center"/>
            <w:hideMark/>
          </w:tcPr>
          <w:p w14:paraId="1D9F2C4E" w14:textId="09A6535A"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(7.263.325)</w:t>
            </w:r>
          </w:p>
        </w:tc>
        <w:tc>
          <w:tcPr>
            <w:tcW w:w="1134" w:type="dxa"/>
            <w:tcBorders>
              <w:top w:val="nil"/>
              <w:left w:val="nil"/>
              <w:bottom w:val="nil"/>
              <w:right w:val="nil"/>
            </w:tcBorders>
            <w:shd w:val="clear" w:color="auto" w:fill="auto"/>
            <w:noWrap/>
            <w:vAlign w:val="center"/>
            <w:hideMark/>
          </w:tcPr>
          <w:p w14:paraId="7E736068" w14:textId="7C80614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(4.250.475)</w:t>
            </w:r>
          </w:p>
        </w:tc>
      </w:tr>
      <w:tr w:rsidR="00774341" w:rsidRPr="00774341" w14:paraId="2FE81388" w14:textId="77777777" w:rsidTr="005C5634">
        <w:trPr>
          <w:trHeight w:val="227"/>
        </w:trPr>
        <w:tc>
          <w:tcPr>
            <w:tcW w:w="6749" w:type="dxa"/>
            <w:tcBorders>
              <w:top w:val="nil"/>
              <w:left w:val="nil"/>
              <w:bottom w:val="nil"/>
              <w:right w:val="nil"/>
            </w:tcBorders>
            <w:shd w:val="clear" w:color="auto" w:fill="auto"/>
            <w:noWrap/>
            <w:vAlign w:val="center"/>
            <w:hideMark/>
          </w:tcPr>
          <w:p w14:paraId="4A8AA676" w14:textId="397328AC"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Diárias, Passagens e Despesas de Locomoção</w:t>
            </w:r>
          </w:p>
        </w:tc>
        <w:tc>
          <w:tcPr>
            <w:tcW w:w="1012" w:type="dxa"/>
            <w:tcBorders>
              <w:top w:val="nil"/>
              <w:left w:val="nil"/>
              <w:bottom w:val="nil"/>
              <w:right w:val="nil"/>
            </w:tcBorders>
            <w:shd w:val="clear" w:color="auto" w:fill="auto"/>
            <w:noWrap/>
            <w:vAlign w:val="center"/>
            <w:hideMark/>
          </w:tcPr>
          <w:p w14:paraId="4420DC07"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3BA5C63F" w14:textId="411C6579"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(581.26</w:t>
            </w:r>
            <w:r w:rsidR="007605D6">
              <w:rPr>
                <w:rFonts w:ascii="Aptos Narrow" w:eastAsia="Times New Roman" w:hAnsi="Aptos Narrow" w:cs="Calibri"/>
                <w:color w:val="000000"/>
                <w:sz w:val="16"/>
                <w:szCs w:val="16"/>
              </w:rPr>
              <w:t>2</w:t>
            </w:r>
            <w:r w:rsidRPr="00774341">
              <w:rPr>
                <w:rFonts w:ascii="Aptos Narrow" w:eastAsia="Times New Roman" w:hAnsi="Aptos Narrow" w:cs="Calibri"/>
                <w:color w:val="000000"/>
                <w:sz w:val="16"/>
                <w:szCs w:val="16"/>
              </w:rPr>
              <w:t>)</w:t>
            </w:r>
          </w:p>
        </w:tc>
        <w:tc>
          <w:tcPr>
            <w:tcW w:w="1134" w:type="dxa"/>
            <w:tcBorders>
              <w:top w:val="nil"/>
              <w:left w:val="nil"/>
              <w:bottom w:val="nil"/>
              <w:right w:val="nil"/>
            </w:tcBorders>
            <w:shd w:val="clear" w:color="auto" w:fill="auto"/>
            <w:noWrap/>
            <w:vAlign w:val="center"/>
            <w:hideMark/>
          </w:tcPr>
          <w:p w14:paraId="61B32039" w14:textId="5CB6F77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(311.286)</w:t>
            </w:r>
          </w:p>
        </w:tc>
      </w:tr>
      <w:tr w:rsidR="00774341" w:rsidRPr="00774341" w14:paraId="3BD1A9CB" w14:textId="77777777" w:rsidTr="005C5634">
        <w:trPr>
          <w:trHeight w:val="227"/>
        </w:trPr>
        <w:tc>
          <w:tcPr>
            <w:tcW w:w="6749" w:type="dxa"/>
            <w:tcBorders>
              <w:top w:val="nil"/>
              <w:left w:val="nil"/>
              <w:bottom w:val="nil"/>
              <w:right w:val="nil"/>
            </w:tcBorders>
            <w:shd w:val="clear" w:color="auto" w:fill="auto"/>
            <w:noWrap/>
            <w:vAlign w:val="center"/>
            <w:hideMark/>
          </w:tcPr>
          <w:p w14:paraId="754226AA" w14:textId="0411A579"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 xml:space="preserve">Transferência Voluntária </w:t>
            </w:r>
          </w:p>
        </w:tc>
        <w:tc>
          <w:tcPr>
            <w:tcW w:w="1012" w:type="dxa"/>
            <w:tcBorders>
              <w:top w:val="nil"/>
              <w:left w:val="nil"/>
              <w:bottom w:val="nil"/>
              <w:right w:val="nil"/>
            </w:tcBorders>
            <w:shd w:val="clear" w:color="auto" w:fill="auto"/>
            <w:noWrap/>
            <w:vAlign w:val="center"/>
            <w:hideMark/>
          </w:tcPr>
          <w:p w14:paraId="05D234EF" w14:textId="6F372C39" w:rsidR="00774341" w:rsidRPr="00774341" w:rsidRDefault="00774341" w:rsidP="00774341">
            <w:pPr>
              <w:spacing w:after="0" w:line="240" w:lineRule="auto"/>
              <w:jc w:val="center"/>
              <w:rPr>
                <w:rFonts w:ascii="Aptos Narrow" w:eastAsia="Times New Roman" w:hAnsi="Aptos Narrow" w:cs="Calibri"/>
                <w:color w:val="156082"/>
                <w:sz w:val="16"/>
                <w:szCs w:val="16"/>
              </w:rPr>
            </w:pPr>
          </w:p>
        </w:tc>
        <w:tc>
          <w:tcPr>
            <w:tcW w:w="1134" w:type="dxa"/>
            <w:tcBorders>
              <w:top w:val="nil"/>
              <w:left w:val="nil"/>
              <w:bottom w:val="nil"/>
              <w:right w:val="nil"/>
            </w:tcBorders>
            <w:shd w:val="clear" w:color="auto" w:fill="auto"/>
            <w:noWrap/>
            <w:vAlign w:val="center"/>
            <w:hideMark/>
          </w:tcPr>
          <w:p w14:paraId="6C455AF6" w14:textId="4CCBAF0C"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3BBF7AAA" w14:textId="1551AB34"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(89.116)</w:t>
            </w:r>
          </w:p>
        </w:tc>
      </w:tr>
      <w:tr w:rsidR="00774341" w:rsidRPr="00774341" w14:paraId="34E5DFDA" w14:textId="77777777" w:rsidTr="005C5634">
        <w:trPr>
          <w:trHeight w:val="227"/>
        </w:trPr>
        <w:tc>
          <w:tcPr>
            <w:tcW w:w="6749" w:type="dxa"/>
            <w:tcBorders>
              <w:top w:val="nil"/>
              <w:left w:val="nil"/>
              <w:bottom w:val="nil"/>
              <w:right w:val="nil"/>
            </w:tcBorders>
            <w:shd w:val="clear" w:color="auto" w:fill="auto"/>
            <w:noWrap/>
            <w:vAlign w:val="center"/>
            <w:hideMark/>
          </w:tcPr>
          <w:p w14:paraId="1CEF3D08"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p>
        </w:tc>
        <w:tc>
          <w:tcPr>
            <w:tcW w:w="1012" w:type="dxa"/>
            <w:tcBorders>
              <w:top w:val="nil"/>
              <w:left w:val="nil"/>
              <w:bottom w:val="nil"/>
              <w:right w:val="nil"/>
            </w:tcBorders>
            <w:shd w:val="clear" w:color="auto" w:fill="auto"/>
            <w:noWrap/>
            <w:vAlign w:val="center"/>
            <w:hideMark/>
          </w:tcPr>
          <w:p w14:paraId="21051DEC"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C599B2F"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4A3399B"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0E7AC85C" w14:textId="77777777" w:rsidTr="005C5634">
        <w:trPr>
          <w:trHeight w:val="227"/>
        </w:trPr>
        <w:tc>
          <w:tcPr>
            <w:tcW w:w="6749" w:type="dxa"/>
            <w:tcBorders>
              <w:top w:val="nil"/>
              <w:left w:val="nil"/>
              <w:bottom w:val="nil"/>
              <w:right w:val="nil"/>
            </w:tcBorders>
            <w:shd w:val="clear" w:color="auto" w:fill="auto"/>
            <w:noWrap/>
            <w:vAlign w:val="center"/>
            <w:hideMark/>
          </w:tcPr>
          <w:p w14:paraId="71C98170"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OUTRAS RECEITAS/DESPESAS OPERACIONAIS</w:t>
            </w:r>
          </w:p>
        </w:tc>
        <w:tc>
          <w:tcPr>
            <w:tcW w:w="1012" w:type="dxa"/>
            <w:tcBorders>
              <w:top w:val="nil"/>
              <w:left w:val="nil"/>
              <w:bottom w:val="nil"/>
              <w:right w:val="nil"/>
            </w:tcBorders>
            <w:shd w:val="clear" w:color="auto" w:fill="auto"/>
            <w:noWrap/>
            <w:vAlign w:val="center"/>
            <w:hideMark/>
          </w:tcPr>
          <w:p w14:paraId="5A779E5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3A019AB6" w14:textId="5C3E4E3D"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20.971.929 </w:t>
            </w:r>
          </w:p>
        </w:tc>
        <w:tc>
          <w:tcPr>
            <w:tcW w:w="1134" w:type="dxa"/>
            <w:tcBorders>
              <w:top w:val="nil"/>
              <w:left w:val="nil"/>
              <w:bottom w:val="nil"/>
              <w:right w:val="nil"/>
            </w:tcBorders>
            <w:shd w:val="clear" w:color="auto" w:fill="auto"/>
            <w:noWrap/>
            <w:vAlign w:val="center"/>
            <w:hideMark/>
          </w:tcPr>
          <w:p w14:paraId="6A9919AC" w14:textId="1B53F17E"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(2.667.979)</w:t>
            </w:r>
          </w:p>
        </w:tc>
      </w:tr>
      <w:tr w:rsidR="00774341" w:rsidRPr="00774341" w14:paraId="08FF2916" w14:textId="77777777" w:rsidTr="005C5634">
        <w:trPr>
          <w:trHeight w:val="227"/>
        </w:trPr>
        <w:tc>
          <w:tcPr>
            <w:tcW w:w="6749" w:type="dxa"/>
            <w:tcBorders>
              <w:top w:val="nil"/>
              <w:left w:val="nil"/>
              <w:bottom w:val="nil"/>
              <w:right w:val="nil"/>
            </w:tcBorders>
            <w:shd w:val="clear" w:color="auto" w:fill="auto"/>
            <w:noWrap/>
            <w:vAlign w:val="center"/>
            <w:hideMark/>
          </w:tcPr>
          <w:p w14:paraId="176521FA" w14:textId="13E70FDC"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Provisão/Reversão para Contingências</w:t>
            </w:r>
          </w:p>
        </w:tc>
        <w:tc>
          <w:tcPr>
            <w:tcW w:w="1012" w:type="dxa"/>
            <w:tcBorders>
              <w:top w:val="nil"/>
              <w:left w:val="nil"/>
              <w:bottom w:val="nil"/>
              <w:right w:val="nil"/>
            </w:tcBorders>
            <w:shd w:val="clear" w:color="auto" w:fill="auto"/>
            <w:noWrap/>
            <w:vAlign w:val="center"/>
            <w:hideMark/>
          </w:tcPr>
          <w:p w14:paraId="1DD54246" w14:textId="77777777"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22</w:t>
            </w:r>
          </w:p>
        </w:tc>
        <w:tc>
          <w:tcPr>
            <w:tcW w:w="1134" w:type="dxa"/>
            <w:tcBorders>
              <w:top w:val="nil"/>
              <w:left w:val="nil"/>
              <w:bottom w:val="nil"/>
              <w:right w:val="nil"/>
            </w:tcBorders>
            <w:shd w:val="clear" w:color="auto" w:fill="auto"/>
            <w:noWrap/>
            <w:vAlign w:val="center"/>
            <w:hideMark/>
          </w:tcPr>
          <w:p w14:paraId="195C31BA" w14:textId="066EB0B5"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25.756.807 </w:t>
            </w:r>
          </w:p>
        </w:tc>
        <w:tc>
          <w:tcPr>
            <w:tcW w:w="1134" w:type="dxa"/>
            <w:tcBorders>
              <w:top w:val="nil"/>
              <w:left w:val="nil"/>
              <w:bottom w:val="nil"/>
              <w:right w:val="nil"/>
            </w:tcBorders>
            <w:shd w:val="clear" w:color="auto" w:fill="auto"/>
            <w:noWrap/>
            <w:vAlign w:val="center"/>
            <w:hideMark/>
          </w:tcPr>
          <w:p w14:paraId="00EC6C30" w14:textId="17CC093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(150.247)</w:t>
            </w:r>
          </w:p>
        </w:tc>
      </w:tr>
      <w:tr w:rsidR="00774341" w:rsidRPr="00774341" w14:paraId="2D6EA49F" w14:textId="77777777" w:rsidTr="005C5634">
        <w:trPr>
          <w:trHeight w:val="227"/>
        </w:trPr>
        <w:tc>
          <w:tcPr>
            <w:tcW w:w="6749" w:type="dxa"/>
            <w:tcBorders>
              <w:top w:val="nil"/>
              <w:left w:val="nil"/>
              <w:bottom w:val="nil"/>
              <w:right w:val="nil"/>
            </w:tcBorders>
            <w:shd w:val="clear" w:color="auto" w:fill="auto"/>
            <w:noWrap/>
            <w:vAlign w:val="center"/>
            <w:hideMark/>
          </w:tcPr>
          <w:p w14:paraId="3FD7D496" w14:textId="080AF4AC"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Outras Receitas/Despesas</w:t>
            </w:r>
          </w:p>
        </w:tc>
        <w:tc>
          <w:tcPr>
            <w:tcW w:w="1012" w:type="dxa"/>
            <w:tcBorders>
              <w:top w:val="nil"/>
              <w:left w:val="nil"/>
              <w:bottom w:val="nil"/>
              <w:right w:val="nil"/>
            </w:tcBorders>
            <w:shd w:val="clear" w:color="auto" w:fill="auto"/>
            <w:noWrap/>
            <w:vAlign w:val="center"/>
            <w:hideMark/>
          </w:tcPr>
          <w:p w14:paraId="5603482F" w14:textId="39F42D8B"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2</w:t>
            </w:r>
          </w:p>
        </w:tc>
        <w:tc>
          <w:tcPr>
            <w:tcW w:w="1134" w:type="dxa"/>
            <w:tcBorders>
              <w:top w:val="nil"/>
              <w:left w:val="nil"/>
              <w:bottom w:val="nil"/>
              <w:right w:val="nil"/>
            </w:tcBorders>
            <w:shd w:val="clear" w:color="auto" w:fill="auto"/>
            <w:noWrap/>
            <w:vAlign w:val="center"/>
            <w:hideMark/>
          </w:tcPr>
          <w:p w14:paraId="56F51262" w14:textId="781B0B2F"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260.017 </w:t>
            </w:r>
          </w:p>
        </w:tc>
        <w:tc>
          <w:tcPr>
            <w:tcW w:w="1134" w:type="dxa"/>
            <w:tcBorders>
              <w:top w:val="nil"/>
              <w:left w:val="nil"/>
              <w:bottom w:val="nil"/>
              <w:right w:val="nil"/>
            </w:tcBorders>
            <w:shd w:val="clear" w:color="auto" w:fill="auto"/>
            <w:noWrap/>
            <w:vAlign w:val="center"/>
            <w:hideMark/>
          </w:tcPr>
          <w:p w14:paraId="12CF153E" w14:textId="5AF22296"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325.557 </w:t>
            </w:r>
          </w:p>
        </w:tc>
      </w:tr>
      <w:tr w:rsidR="00774341" w:rsidRPr="00774341" w14:paraId="717EC1FC" w14:textId="77777777" w:rsidTr="005C5634">
        <w:trPr>
          <w:trHeight w:val="227"/>
        </w:trPr>
        <w:tc>
          <w:tcPr>
            <w:tcW w:w="6749" w:type="dxa"/>
            <w:tcBorders>
              <w:top w:val="nil"/>
              <w:left w:val="nil"/>
              <w:bottom w:val="nil"/>
              <w:right w:val="nil"/>
            </w:tcBorders>
            <w:shd w:val="clear" w:color="auto" w:fill="auto"/>
            <w:noWrap/>
            <w:vAlign w:val="center"/>
            <w:hideMark/>
          </w:tcPr>
          <w:p w14:paraId="08AE2AFA" w14:textId="10872BE4"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Resultado de Equivalência Patrimonial</w:t>
            </w:r>
          </w:p>
        </w:tc>
        <w:tc>
          <w:tcPr>
            <w:tcW w:w="1012" w:type="dxa"/>
            <w:tcBorders>
              <w:top w:val="nil"/>
              <w:left w:val="nil"/>
              <w:bottom w:val="nil"/>
              <w:right w:val="nil"/>
            </w:tcBorders>
            <w:shd w:val="clear" w:color="auto" w:fill="auto"/>
            <w:noWrap/>
            <w:vAlign w:val="center"/>
            <w:hideMark/>
          </w:tcPr>
          <w:p w14:paraId="1CB369AD" w14:textId="77777777"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12</w:t>
            </w:r>
          </w:p>
        </w:tc>
        <w:tc>
          <w:tcPr>
            <w:tcW w:w="1134" w:type="dxa"/>
            <w:tcBorders>
              <w:top w:val="nil"/>
              <w:left w:val="nil"/>
              <w:bottom w:val="nil"/>
              <w:right w:val="nil"/>
            </w:tcBorders>
            <w:shd w:val="clear" w:color="auto" w:fill="auto"/>
            <w:noWrap/>
            <w:vAlign w:val="center"/>
            <w:hideMark/>
          </w:tcPr>
          <w:p w14:paraId="29E9D5CF" w14:textId="181B767C"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(5.044.895)</w:t>
            </w:r>
          </w:p>
        </w:tc>
        <w:tc>
          <w:tcPr>
            <w:tcW w:w="1134" w:type="dxa"/>
            <w:tcBorders>
              <w:top w:val="nil"/>
              <w:left w:val="nil"/>
              <w:bottom w:val="nil"/>
              <w:right w:val="nil"/>
            </w:tcBorders>
            <w:shd w:val="clear" w:color="auto" w:fill="auto"/>
            <w:noWrap/>
            <w:vAlign w:val="center"/>
            <w:hideMark/>
          </w:tcPr>
          <w:p w14:paraId="0ABC3660" w14:textId="283D70E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(2.791.778)</w:t>
            </w:r>
          </w:p>
        </w:tc>
      </w:tr>
      <w:tr w:rsidR="00774341" w:rsidRPr="00774341" w14:paraId="63FA954C" w14:textId="77777777" w:rsidTr="005C5634">
        <w:trPr>
          <w:trHeight w:val="227"/>
        </w:trPr>
        <w:tc>
          <w:tcPr>
            <w:tcW w:w="6749" w:type="dxa"/>
            <w:tcBorders>
              <w:top w:val="nil"/>
              <w:left w:val="nil"/>
              <w:bottom w:val="nil"/>
              <w:right w:val="nil"/>
            </w:tcBorders>
            <w:shd w:val="clear" w:color="auto" w:fill="auto"/>
            <w:noWrap/>
            <w:vAlign w:val="center"/>
            <w:hideMark/>
          </w:tcPr>
          <w:p w14:paraId="26E4DAD5" w14:textId="3E1E758F"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Baixa de Ativos -– Tributos a Recuperar/Compensar</w:t>
            </w:r>
          </w:p>
        </w:tc>
        <w:tc>
          <w:tcPr>
            <w:tcW w:w="1012" w:type="dxa"/>
            <w:tcBorders>
              <w:top w:val="nil"/>
              <w:left w:val="nil"/>
              <w:bottom w:val="nil"/>
              <w:right w:val="nil"/>
            </w:tcBorders>
            <w:shd w:val="clear" w:color="auto" w:fill="auto"/>
            <w:noWrap/>
            <w:vAlign w:val="center"/>
            <w:hideMark/>
          </w:tcPr>
          <w:p w14:paraId="34ABE1A4"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40FC1643" w14:textId="079A167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21EEDF55" w14:textId="4ECA541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(51.511)</w:t>
            </w:r>
          </w:p>
        </w:tc>
      </w:tr>
      <w:tr w:rsidR="00774341" w:rsidRPr="00774341" w14:paraId="78BDF8DE" w14:textId="77777777" w:rsidTr="005C5634">
        <w:trPr>
          <w:trHeight w:val="227"/>
        </w:trPr>
        <w:tc>
          <w:tcPr>
            <w:tcW w:w="6749" w:type="dxa"/>
            <w:tcBorders>
              <w:top w:val="nil"/>
              <w:left w:val="nil"/>
              <w:bottom w:val="nil"/>
              <w:right w:val="nil"/>
            </w:tcBorders>
            <w:shd w:val="clear" w:color="auto" w:fill="auto"/>
            <w:noWrap/>
            <w:vAlign w:val="bottom"/>
            <w:hideMark/>
          </w:tcPr>
          <w:p w14:paraId="1F3E6126"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p>
        </w:tc>
        <w:tc>
          <w:tcPr>
            <w:tcW w:w="1012" w:type="dxa"/>
            <w:tcBorders>
              <w:top w:val="nil"/>
              <w:left w:val="nil"/>
              <w:bottom w:val="nil"/>
              <w:right w:val="nil"/>
            </w:tcBorders>
            <w:shd w:val="clear" w:color="auto" w:fill="auto"/>
            <w:noWrap/>
            <w:vAlign w:val="center"/>
            <w:hideMark/>
          </w:tcPr>
          <w:p w14:paraId="3721AECB"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23B803C"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FB33325"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09591C5A" w14:textId="77777777" w:rsidTr="005C5634">
        <w:trPr>
          <w:trHeight w:val="227"/>
        </w:trPr>
        <w:tc>
          <w:tcPr>
            <w:tcW w:w="6749" w:type="dxa"/>
            <w:tcBorders>
              <w:top w:val="nil"/>
              <w:left w:val="nil"/>
              <w:bottom w:val="nil"/>
              <w:right w:val="nil"/>
            </w:tcBorders>
            <w:shd w:val="clear" w:color="auto" w:fill="auto"/>
            <w:noWrap/>
            <w:vAlign w:val="center"/>
            <w:hideMark/>
          </w:tcPr>
          <w:p w14:paraId="2B01421A"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RESULTADO ANTES DO RESULTADO FINANCEIRO</w:t>
            </w:r>
          </w:p>
        </w:tc>
        <w:tc>
          <w:tcPr>
            <w:tcW w:w="1012" w:type="dxa"/>
            <w:tcBorders>
              <w:top w:val="nil"/>
              <w:left w:val="nil"/>
              <w:bottom w:val="nil"/>
              <w:right w:val="nil"/>
            </w:tcBorders>
            <w:shd w:val="clear" w:color="auto" w:fill="auto"/>
            <w:noWrap/>
            <w:vAlign w:val="center"/>
            <w:hideMark/>
          </w:tcPr>
          <w:p w14:paraId="6A51B72F"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5BED7AD0" w14:textId="1E940179"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(28.050.387)</w:t>
            </w:r>
          </w:p>
        </w:tc>
        <w:tc>
          <w:tcPr>
            <w:tcW w:w="1134" w:type="dxa"/>
            <w:tcBorders>
              <w:top w:val="nil"/>
              <w:left w:val="nil"/>
              <w:bottom w:val="nil"/>
              <w:right w:val="nil"/>
            </w:tcBorders>
            <w:shd w:val="clear" w:color="auto" w:fill="auto"/>
            <w:noWrap/>
            <w:vAlign w:val="center"/>
            <w:hideMark/>
          </w:tcPr>
          <w:p w14:paraId="408D5741" w14:textId="76429915"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(50.703.484)</w:t>
            </w:r>
          </w:p>
        </w:tc>
      </w:tr>
      <w:tr w:rsidR="00774341" w:rsidRPr="00774341" w14:paraId="56FDC0FF" w14:textId="77777777" w:rsidTr="005C5634">
        <w:trPr>
          <w:trHeight w:val="227"/>
        </w:trPr>
        <w:tc>
          <w:tcPr>
            <w:tcW w:w="6749" w:type="dxa"/>
            <w:tcBorders>
              <w:top w:val="nil"/>
              <w:left w:val="nil"/>
              <w:bottom w:val="nil"/>
              <w:right w:val="nil"/>
            </w:tcBorders>
            <w:shd w:val="clear" w:color="auto" w:fill="auto"/>
            <w:noWrap/>
            <w:vAlign w:val="center"/>
            <w:hideMark/>
          </w:tcPr>
          <w:p w14:paraId="3AA163F7" w14:textId="77777777" w:rsidR="00774341" w:rsidRPr="00774341" w:rsidRDefault="00774341" w:rsidP="00774341">
            <w:pPr>
              <w:spacing w:after="0" w:line="240" w:lineRule="auto"/>
              <w:jc w:val="right"/>
              <w:rPr>
                <w:rFonts w:ascii="Aptos Narrow" w:eastAsia="Times New Roman" w:hAnsi="Aptos Narrow" w:cs="Calibri"/>
                <w:b/>
                <w:bCs/>
                <w:color w:val="000000"/>
                <w:sz w:val="16"/>
                <w:szCs w:val="16"/>
              </w:rPr>
            </w:pPr>
          </w:p>
        </w:tc>
        <w:tc>
          <w:tcPr>
            <w:tcW w:w="1012" w:type="dxa"/>
            <w:tcBorders>
              <w:top w:val="nil"/>
              <w:left w:val="nil"/>
              <w:bottom w:val="nil"/>
              <w:right w:val="nil"/>
            </w:tcBorders>
            <w:shd w:val="clear" w:color="auto" w:fill="auto"/>
            <w:noWrap/>
            <w:vAlign w:val="center"/>
            <w:hideMark/>
          </w:tcPr>
          <w:p w14:paraId="5C84C834"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D016C0C"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A9AFD8C"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11D1879B" w14:textId="77777777" w:rsidTr="005C5634">
        <w:trPr>
          <w:trHeight w:val="227"/>
        </w:trPr>
        <w:tc>
          <w:tcPr>
            <w:tcW w:w="6749" w:type="dxa"/>
            <w:tcBorders>
              <w:top w:val="nil"/>
              <w:left w:val="nil"/>
              <w:bottom w:val="nil"/>
              <w:right w:val="nil"/>
            </w:tcBorders>
            <w:shd w:val="clear" w:color="auto" w:fill="auto"/>
            <w:noWrap/>
            <w:vAlign w:val="center"/>
            <w:hideMark/>
          </w:tcPr>
          <w:p w14:paraId="5FE1C80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RESULTADO FINANCEIRO LÍQUIDO</w:t>
            </w:r>
          </w:p>
        </w:tc>
        <w:tc>
          <w:tcPr>
            <w:tcW w:w="1012" w:type="dxa"/>
            <w:tcBorders>
              <w:top w:val="nil"/>
              <w:left w:val="nil"/>
              <w:bottom w:val="nil"/>
              <w:right w:val="nil"/>
            </w:tcBorders>
            <w:shd w:val="clear" w:color="auto" w:fill="auto"/>
            <w:noWrap/>
            <w:vAlign w:val="center"/>
            <w:hideMark/>
          </w:tcPr>
          <w:p w14:paraId="73C2D89A" w14:textId="4C515FFD"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3</w:t>
            </w:r>
          </w:p>
        </w:tc>
        <w:tc>
          <w:tcPr>
            <w:tcW w:w="1134" w:type="dxa"/>
            <w:tcBorders>
              <w:top w:val="nil"/>
              <w:left w:val="nil"/>
              <w:bottom w:val="nil"/>
              <w:right w:val="nil"/>
            </w:tcBorders>
            <w:shd w:val="clear" w:color="auto" w:fill="auto"/>
            <w:noWrap/>
            <w:vAlign w:val="center"/>
            <w:hideMark/>
          </w:tcPr>
          <w:p w14:paraId="14FC9105" w14:textId="0A2AD107"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3.845.426 </w:t>
            </w:r>
          </w:p>
        </w:tc>
        <w:tc>
          <w:tcPr>
            <w:tcW w:w="1134" w:type="dxa"/>
            <w:tcBorders>
              <w:top w:val="nil"/>
              <w:left w:val="nil"/>
              <w:bottom w:val="nil"/>
              <w:right w:val="nil"/>
            </w:tcBorders>
            <w:shd w:val="clear" w:color="auto" w:fill="auto"/>
            <w:noWrap/>
            <w:vAlign w:val="center"/>
            <w:hideMark/>
          </w:tcPr>
          <w:p w14:paraId="38543712" w14:textId="48C9C734"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2.801.820 </w:t>
            </w:r>
          </w:p>
        </w:tc>
      </w:tr>
      <w:tr w:rsidR="00774341" w:rsidRPr="00774341" w14:paraId="39E24E87" w14:textId="77777777" w:rsidTr="005C5634">
        <w:trPr>
          <w:trHeight w:val="227"/>
        </w:trPr>
        <w:tc>
          <w:tcPr>
            <w:tcW w:w="6749" w:type="dxa"/>
            <w:tcBorders>
              <w:top w:val="nil"/>
              <w:left w:val="nil"/>
              <w:bottom w:val="nil"/>
              <w:right w:val="nil"/>
            </w:tcBorders>
            <w:shd w:val="clear" w:color="auto" w:fill="auto"/>
            <w:noWrap/>
            <w:vAlign w:val="center"/>
            <w:hideMark/>
          </w:tcPr>
          <w:p w14:paraId="2E4C0586" w14:textId="10455D7C"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Receita Financeira</w:t>
            </w:r>
          </w:p>
        </w:tc>
        <w:tc>
          <w:tcPr>
            <w:tcW w:w="1012" w:type="dxa"/>
            <w:tcBorders>
              <w:top w:val="nil"/>
              <w:left w:val="nil"/>
              <w:bottom w:val="nil"/>
              <w:right w:val="nil"/>
            </w:tcBorders>
            <w:shd w:val="clear" w:color="auto" w:fill="auto"/>
            <w:noWrap/>
            <w:vAlign w:val="center"/>
            <w:hideMark/>
          </w:tcPr>
          <w:p w14:paraId="357CB2B5"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0BE0991B" w14:textId="52A4EC11"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4.188.789 </w:t>
            </w:r>
          </w:p>
        </w:tc>
        <w:tc>
          <w:tcPr>
            <w:tcW w:w="1134" w:type="dxa"/>
            <w:tcBorders>
              <w:top w:val="nil"/>
              <w:left w:val="nil"/>
              <w:bottom w:val="nil"/>
              <w:right w:val="nil"/>
            </w:tcBorders>
            <w:shd w:val="clear" w:color="auto" w:fill="auto"/>
            <w:noWrap/>
            <w:vAlign w:val="center"/>
            <w:hideMark/>
          </w:tcPr>
          <w:p w14:paraId="425E61FF" w14:textId="2D0459D1"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3.154.871 </w:t>
            </w:r>
          </w:p>
        </w:tc>
      </w:tr>
      <w:tr w:rsidR="00774341" w:rsidRPr="00774341" w14:paraId="3D46EFA4" w14:textId="77777777" w:rsidTr="005C5634">
        <w:trPr>
          <w:trHeight w:val="227"/>
        </w:trPr>
        <w:tc>
          <w:tcPr>
            <w:tcW w:w="6749" w:type="dxa"/>
            <w:tcBorders>
              <w:top w:val="nil"/>
              <w:left w:val="nil"/>
              <w:bottom w:val="nil"/>
              <w:right w:val="nil"/>
            </w:tcBorders>
            <w:shd w:val="clear" w:color="auto" w:fill="auto"/>
            <w:noWrap/>
            <w:vAlign w:val="center"/>
            <w:hideMark/>
          </w:tcPr>
          <w:p w14:paraId="39EB512F" w14:textId="534352BF"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Despesa Financeira</w:t>
            </w:r>
          </w:p>
        </w:tc>
        <w:tc>
          <w:tcPr>
            <w:tcW w:w="1012" w:type="dxa"/>
            <w:tcBorders>
              <w:top w:val="nil"/>
              <w:left w:val="nil"/>
              <w:bottom w:val="nil"/>
              <w:right w:val="nil"/>
            </w:tcBorders>
            <w:shd w:val="clear" w:color="auto" w:fill="auto"/>
            <w:noWrap/>
            <w:vAlign w:val="center"/>
            <w:hideMark/>
          </w:tcPr>
          <w:p w14:paraId="13963E23"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05DA71D3" w14:textId="23AD245D"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(343.363)</w:t>
            </w:r>
          </w:p>
        </w:tc>
        <w:tc>
          <w:tcPr>
            <w:tcW w:w="1134" w:type="dxa"/>
            <w:tcBorders>
              <w:top w:val="nil"/>
              <w:left w:val="nil"/>
              <w:bottom w:val="nil"/>
              <w:right w:val="nil"/>
            </w:tcBorders>
            <w:shd w:val="clear" w:color="auto" w:fill="auto"/>
            <w:noWrap/>
            <w:vAlign w:val="center"/>
            <w:hideMark/>
          </w:tcPr>
          <w:p w14:paraId="284D6C78" w14:textId="00BDA4F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(353.051)</w:t>
            </w:r>
          </w:p>
        </w:tc>
      </w:tr>
      <w:tr w:rsidR="00774341" w:rsidRPr="00774341" w14:paraId="453EBDF6" w14:textId="77777777" w:rsidTr="005C5634">
        <w:trPr>
          <w:trHeight w:val="227"/>
        </w:trPr>
        <w:tc>
          <w:tcPr>
            <w:tcW w:w="6749" w:type="dxa"/>
            <w:tcBorders>
              <w:top w:val="nil"/>
              <w:left w:val="nil"/>
              <w:bottom w:val="nil"/>
              <w:right w:val="nil"/>
            </w:tcBorders>
            <w:shd w:val="clear" w:color="auto" w:fill="auto"/>
            <w:noWrap/>
            <w:vAlign w:val="center"/>
            <w:hideMark/>
          </w:tcPr>
          <w:p w14:paraId="65643B52"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p>
        </w:tc>
        <w:tc>
          <w:tcPr>
            <w:tcW w:w="1012" w:type="dxa"/>
            <w:tcBorders>
              <w:top w:val="nil"/>
              <w:left w:val="nil"/>
              <w:bottom w:val="nil"/>
              <w:right w:val="nil"/>
            </w:tcBorders>
            <w:shd w:val="clear" w:color="auto" w:fill="auto"/>
            <w:noWrap/>
            <w:vAlign w:val="center"/>
            <w:hideMark/>
          </w:tcPr>
          <w:p w14:paraId="5144A356"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13AFF52"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F61C7E6"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17C80099" w14:textId="77777777" w:rsidTr="005C5634">
        <w:trPr>
          <w:trHeight w:val="227"/>
        </w:trPr>
        <w:tc>
          <w:tcPr>
            <w:tcW w:w="6749" w:type="dxa"/>
            <w:tcBorders>
              <w:top w:val="nil"/>
              <w:left w:val="nil"/>
              <w:bottom w:val="nil"/>
              <w:right w:val="nil"/>
            </w:tcBorders>
            <w:shd w:val="clear" w:color="auto" w:fill="auto"/>
            <w:noWrap/>
            <w:vAlign w:val="center"/>
            <w:hideMark/>
          </w:tcPr>
          <w:p w14:paraId="130A666E"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RESULTADO ANTES DAS SUBVENÇÕES DO TESOURO NACIONAL</w:t>
            </w:r>
          </w:p>
        </w:tc>
        <w:tc>
          <w:tcPr>
            <w:tcW w:w="1012" w:type="dxa"/>
            <w:tcBorders>
              <w:top w:val="nil"/>
              <w:left w:val="nil"/>
              <w:bottom w:val="nil"/>
              <w:right w:val="nil"/>
            </w:tcBorders>
            <w:shd w:val="clear" w:color="auto" w:fill="auto"/>
            <w:noWrap/>
            <w:vAlign w:val="center"/>
            <w:hideMark/>
          </w:tcPr>
          <w:p w14:paraId="1108383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03608C6B" w14:textId="72F9B65D"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(24.204.961)</w:t>
            </w:r>
          </w:p>
        </w:tc>
        <w:tc>
          <w:tcPr>
            <w:tcW w:w="1134" w:type="dxa"/>
            <w:tcBorders>
              <w:top w:val="nil"/>
              <w:left w:val="nil"/>
              <w:bottom w:val="nil"/>
              <w:right w:val="nil"/>
            </w:tcBorders>
            <w:shd w:val="clear" w:color="auto" w:fill="auto"/>
            <w:noWrap/>
            <w:vAlign w:val="center"/>
            <w:hideMark/>
          </w:tcPr>
          <w:p w14:paraId="29F78577" w14:textId="0523FD70"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(47.901.664)</w:t>
            </w:r>
          </w:p>
        </w:tc>
      </w:tr>
      <w:tr w:rsidR="00774341" w:rsidRPr="00774341" w14:paraId="5A991203" w14:textId="77777777" w:rsidTr="005C5634">
        <w:trPr>
          <w:trHeight w:val="227"/>
        </w:trPr>
        <w:tc>
          <w:tcPr>
            <w:tcW w:w="6749" w:type="dxa"/>
            <w:tcBorders>
              <w:top w:val="nil"/>
              <w:left w:val="nil"/>
              <w:bottom w:val="nil"/>
              <w:right w:val="nil"/>
            </w:tcBorders>
            <w:shd w:val="clear" w:color="auto" w:fill="auto"/>
            <w:noWrap/>
            <w:vAlign w:val="center"/>
            <w:hideMark/>
          </w:tcPr>
          <w:p w14:paraId="6ECBA34E" w14:textId="77777777" w:rsidR="00774341" w:rsidRPr="00774341" w:rsidRDefault="00774341" w:rsidP="00774341">
            <w:pPr>
              <w:spacing w:after="0" w:line="240" w:lineRule="auto"/>
              <w:jc w:val="right"/>
              <w:rPr>
                <w:rFonts w:ascii="Aptos Narrow" w:eastAsia="Times New Roman" w:hAnsi="Aptos Narrow" w:cs="Calibri"/>
                <w:b/>
                <w:bCs/>
                <w:color w:val="000000"/>
                <w:sz w:val="16"/>
                <w:szCs w:val="16"/>
              </w:rPr>
            </w:pPr>
          </w:p>
        </w:tc>
        <w:tc>
          <w:tcPr>
            <w:tcW w:w="1012" w:type="dxa"/>
            <w:tcBorders>
              <w:top w:val="nil"/>
              <w:left w:val="nil"/>
              <w:bottom w:val="nil"/>
              <w:right w:val="nil"/>
            </w:tcBorders>
            <w:shd w:val="clear" w:color="auto" w:fill="auto"/>
            <w:noWrap/>
            <w:vAlign w:val="center"/>
            <w:hideMark/>
          </w:tcPr>
          <w:p w14:paraId="1544CA3F"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B0F7D60"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C497EF9"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77778E93" w14:textId="77777777" w:rsidTr="005C5634">
        <w:trPr>
          <w:trHeight w:val="227"/>
        </w:trPr>
        <w:tc>
          <w:tcPr>
            <w:tcW w:w="6749" w:type="dxa"/>
            <w:tcBorders>
              <w:top w:val="nil"/>
              <w:left w:val="nil"/>
              <w:bottom w:val="nil"/>
              <w:right w:val="nil"/>
            </w:tcBorders>
            <w:shd w:val="clear" w:color="auto" w:fill="auto"/>
            <w:noWrap/>
            <w:vAlign w:val="center"/>
            <w:hideMark/>
          </w:tcPr>
          <w:p w14:paraId="3D54EB29"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SUBVENÇÕES DO TESOURO NACIONAL</w:t>
            </w:r>
          </w:p>
        </w:tc>
        <w:tc>
          <w:tcPr>
            <w:tcW w:w="1012" w:type="dxa"/>
            <w:tcBorders>
              <w:top w:val="nil"/>
              <w:left w:val="nil"/>
              <w:bottom w:val="nil"/>
              <w:right w:val="nil"/>
            </w:tcBorders>
            <w:shd w:val="clear" w:color="auto" w:fill="auto"/>
            <w:noWrap/>
            <w:vAlign w:val="center"/>
            <w:hideMark/>
          </w:tcPr>
          <w:p w14:paraId="7DCE5736" w14:textId="6370DDFE"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4</w:t>
            </w:r>
          </w:p>
        </w:tc>
        <w:tc>
          <w:tcPr>
            <w:tcW w:w="1134" w:type="dxa"/>
            <w:tcBorders>
              <w:top w:val="nil"/>
              <w:left w:val="nil"/>
              <w:bottom w:val="nil"/>
              <w:right w:val="nil"/>
            </w:tcBorders>
            <w:shd w:val="clear" w:color="auto" w:fill="auto"/>
            <w:noWrap/>
            <w:vAlign w:val="center"/>
            <w:hideMark/>
          </w:tcPr>
          <w:p w14:paraId="6FF4B238" w14:textId="0F55CB73"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58.172.981 </w:t>
            </w:r>
          </w:p>
        </w:tc>
        <w:tc>
          <w:tcPr>
            <w:tcW w:w="1134" w:type="dxa"/>
            <w:tcBorders>
              <w:top w:val="nil"/>
              <w:left w:val="nil"/>
              <w:bottom w:val="nil"/>
              <w:right w:val="nil"/>
            </w:tcBorders>
            <w:shd w:val="clear" w:color="auto" w:fill="auto"/>
            <w:noWrap/>
            <w:vAlign w:val="center"/>
            <w:hideMark/>
          </w:tcPr>
          <w:p w14:paraId="1965F513" w14:textId="73C7E393"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47.699.598 </w:t>
            </w:r>
          </w:p>
        </w:tc>
      </w:tr>
      <w:tr w:rsidR="00774341" w:rsidRPr="00774341" w14:paraId="08C7E2B8" w14:textId="77777777" w:rsidTr="005C5634">
        <w:trPr>
          <w:trHeight w:val="227"/>
        </w:trPr>
        <w:tc>
          <w:tcPr>
            <w:tcW w:w="6749" w:type="dxa"/>
            <w:tcBorders>
              <w:top w:val="nil"/>
              <w:left w:val="nil"/>
              <w:bottom w:val="nil"/>
              <w:right w:val="nil"/>
            </w:tcBorders>
            <w:shd w:val="clear" w:color="auto" w:fill="auto"/>
            <w:noWrap/>
            <w:vAlign w:val="center"/>
            <w:hideMark/>
          </w:tcPr>
          <w:p w14:paraId="40A591D7" w14:textId="2ED94BA2"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Repasse de Custeio/Pessoal</w:t>
            </w:r>
          </w:p>
        </w:tc>
        <w:tc>
          <w:tcPr>
            <w:tcW w:w="1012" w:type="dxa"/>
            <w:tcBorders>
              <w:top w:val="nil"/>
              <w:left w:val="nil"/>
              <w:bottom w:val="nil"/>
              <w:right w:val="nil"/>
            </w:tcBorders>
            <w:shd w:val="clear" w:color="auto" w:fill="auto"/>
            <w:noWrap/>
            <w:vAlign w:val="center"/>
            <w:hideMark/>
          </w:tcPr>
          <w:p w14:paraId="2AD8C970" w14:textId="77777777" w:rsidR="00774341" w:rsidRPr="00774341" w:rsidRDefault="00774341" w:rsidP="00774341">
            <w:pPr>
              <w:spacing w:after="0" w:line="240" w:lineRule="auto"/>
              <w:rPr>
                <w:rFonts w:ascii="Aptos Narrow" w:eastAsia="Times New Roman" w:hAnsi="Aptos Narrow" w:cs="Calibri"/>
                <w:color w:val="000000"/>
                <w:sz w:val="16"/>
                <w:szCs w:val="16"/>
              </w:rPr>
            </w:pPr>
          </w:p>
        </w:tc>
        <w:tc>
          <w:tcPr>
            <w:tcW w:w="1134" w:type="dxa"/>
            <w:tcBorders>
              <w:top w:val="nil"/>
              <w:left w:val="nil"/>
              <w:bottom w:val="nil"/>
              <w:right w:val="nil"/>
            </w:tcBorders>
            <w:shd w:val="clear" w:color="auto" w:fill="auto"/>
            <w:noWrap/>
            <w:vAlign w:val="center"/>
            <w:hideMark/>
          </w:tcPr>
          <w:p w14:paraId="59B4897B" w14:textId="17DA4AF6"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58.172.981 </w:t>
            </w:r>
          </w:p>
        </w:tc>
        <w:tc>
          <w:tcPr>
            <w:tcW w:w="1134" w:type="dxa"/>
            <w:tcBorders>
              <w:top w:val="nil"/>
              <w:left w:val="nil"/>
              <w:bottom w:val="nil"/>
              <w:right w:val="nil"/>
            </w:tcBorders>
            <w:shd w:val="clear" w:color="auto" w:fill="auto"/>
            <w:noWrap/>
            <w:vAlign w:val="center"/>
            <w:hideMark/>
          </w:tcPr>
          <w:p w14:paraId="7E0B0B92" w14:textId="75CFDF93"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47.699.598 </w:t>
            </w:r>
          </w:p>
        </w:tc>
      </w:tr>
      <w:tr w:rsidR="00774341" w:rsidRPr="00774341" w14:paraId="20F38A19" w14:textId="77777777" w:rsidTr="005C5634">
        <w:trPr>
          <w:trHeight w:val="227"/>
        </w:trPr>
        <w:tc>
          <w:tcPr>
            <w:tcW w:w="6749" w:type="dxa"/>
            <w:tcBorders>
              <w:top w:val="nil"/>
              <w:left w:val="nil"/>
              <w:bottom w:val="nil"/>
              <w:right w:val="nil"/>
            </w:tcBorders>
            <w:shd w:val="clear" w:color="auto" w:fill="auto"/>
            <w:noWrap/>
            <w:vAlign w:val="center"/>
            <w:hideMark/>
          </w:tcPr>
          <w:p w14:paraId="775157ED"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p>
        </w:tc>
        <w:tc>
          <w:tcPr>
            <w:tcW w:w="1012" w:type="dxa"/>
            <w:tcBorders>
              <w:top w:val="nil"/>
              <w:left w:val="nil"/>
              <w:bottom w:val="nil"/>
              <w:right w:val="nil"/>
            </w:tcBorders>
            <w:shd w:val="clear" w:color="auto" w:fill="auto"/>
            <w:noWrap/>
            <w:vAlign w:val="center"/>
            <w:hideMark/>
          </w:tcPr>
          <w:p w14:paraId="06A709F3" w14:textId="77777777" w:rsidR="00774341" w:rsidRPr="00774341" w:rsidRDefault="00774341" w:rsidP="00774341">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13563A7" w14:textId="77777777" w:rsidR="00774341" w:rsidRPr="00774341" w:rsidRDefault="00774341" w:rsidP="00774341">
            <w:pPr>
              <w:spacing w:after="0" w:line="240" w:lineRule="auto"/>
              <w:jc w:val="center"/>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83CD63D" w14:textId="77777777" w:rsidR="00774341" w:rsidRPr="00774341" w:rsidRDefault="00774341" w:rsidP="00774341">
            <w:pPr>
              <w:spacing w:after="0" w:line="240" w:lineRule="auto"/>
              <w:jc w:val="right"/>
              <w:rPr>
                <w:rFonts w:ascii="Times New Roman" w:eastAsia="Times New Roman" w:hAnsi="Times New Roman" w:cs="Times New Roman"/>
                <w:sz w:val="20"/>
                <w:szCs w:val="20"/>
              </w:rPr>
            </w:pPr>
          </w:p>
        </w:tc>
      </w:tr>
      <w:tr w:rsidR="00774341" w:rsidRPr="00774341" w14:paraId="4B06F151" w14:textId="77777777" w:rsidTr="005C5634">
        <w:trPr>
          <w:trHeight w:val="227"/>
        </w:trPr>
        <w:tc>
          <w:tcPr>
            <w:tcW w:w="6749" w:type="dxa"/>
            <w:tcBorders>
              <w:top w:val="nil"/>
              <w:left w:val="nil"/>
              <w:bottom w:val="nil"/>
              <w:right w:val="nil"/>
            </w:tcBorders>
            <w:shd w:val="clear" w:color="auto" w:fill="auto"/>
            <w:noWrap/>
            <w:vAlign w:val="center"/>
            <w:hideMark/>
          </w:tcPr>
          <w:p w14:paraId="3A05B3CE" w14:textId="76DA08ED" w:rsidR="00774341" w:rsidRPr="00774341" w:rsidRDefault="00774341" w:rsidP="00774341">
            <w:pPr>
              <w:spacing w:after="0" w:line="240" w:lineRule="auto"/>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RESULTADO ANTES DOS TRIBUTOS S/LUCRO (IR</w:t>
            </w:r>
            <w:r w:rsidR="00C733D1">
              <w:rPr>
                <w:rFonts w:ascii="Aptos Narrow" w:eastAsia="Times New Roman" w:hAnsi="Aptos Narrow" w:cs="Calibri"/>
                <w:b/>
                <w:bCs/>
                <w:color w:val="000000"/>
                <w:sz w:val="16"/>
                <w:szCs w:val="16"/>
              </w:rPr>
              <w:t>PJ</w:t>
            </w:r>
            <w:r w:rsidRPr="00774341">
              <w:rPr>
                <w:rFonts w:ascii="Aptos Narrow" w:eastAsia="Times New Roman" w:hAnsi="Aptos Narrow" w:cs="Calibri"/>
                <w:b/>
                <w:bCs/>
                <w:color w:val="000000"/>
                <w:sz w:val="16"/>
                <w:szCs w:val="16"/>
              </w:rPr>
              <w:t>/CSLL)</w:t>
            </w:r>
          </w:p>
        </w:tc>
        <w:tc>
          <w:tcPr>
            <w:tcW w:w="1012" w:type="dxa"/>
            <w:tcBorders>
              <w:top w:val="nil"/>
              <w:left w:val="nil"/>
              <w:bottom w:val="nil"/>
              <w:right w:val="nil"/>
            </w:tcBorders>
            <w:shd w:val="clear" w:color="auto" w:fill="auto"/>
            <w:noWrap/>
            <w:vAlign w:val="center"/>
            <w:hideMark/>
          </w:tcPr>
          <w:p w14:paraId="07CFADB2" w14:textId="77777777" w:rsidR="00774341" w:rsidRPr="00774341" w:rsidRDefault="00774341" w:rsidP="00774341">
            <w:pPr>
              <w:spacing w:after="0" w:line="240" w:lineRule="auto"/>
              <w:rPr>
                <w:rFonts w:ascii="Aptos Narrow" w:eastAsia="Times New Roman" w:hAnsi="Aptos Narrow"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547408F" w14:textId="4891D93B"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 xml:space="preserve"> 33.968.020 </w:t>
            </w:r>
          </w:p>
        </w:tc>
        <w:tc>
          <w:tcPr>
            <w:tcW w:w="1134" w:type="dxa"/>
            <w:tcBorders>
              <w:top w:val="nil"/>
              <w:left w:val="nil"/>
              <w:bottom w:val="nil"/>
              <w:right w:val="nil"/>
            </w:tcBorders>
            <w:shd w:val="clear" w:color="auto" w:fill="auto"/>
            <w:noWrap/>
            <w:vAlign w:val="center"/>
            <w:hideMark/>
          </w:tcPr>
          <w:p w14:paraId="59847EF2" w14:textId="0B8C02C6" w:rsidR="00774341" w:rsidRPr="00774341" w:rsidRDefault="00774341" w:rsidP="00774341">
            <w:pPr>
              <w:spacing w:after="0" w:line="240" w:lineRule="auto"/>
              <w:jc w:val="right"/>
              <w:rPr>
                <w:rFonts w:ascii="Aptos Narrow" w:eastAsia="Times New Roman" w:hAnsi="Aptos Narrow" w:cs="Calibri"/>
                <w:b/>
                <w:bCs/>
                <w:color w:val="000000"/>
                <w:sz w:val="16"/>
                <w:szCs w:val="16"/>
              </w:rPr>
            </w:pPr>
            <w:r w:rsidRPr="00774341">
              <w:rPr>
                <w:rFonts w:ascii="Aptos Narrow" w:eastAsia="Times New Roman" w:hAnsi="Aptos Narrow" w:cs="Calibri"/>
                <w:b/>
                <w:bCs/>
                <w:color w:val="000000"/>
                <w:sz w:val="16"/>
                <w:szCs w:val="16"/>
              </w:rPr>
              <w:t>(202.066)</w:t>
            </w:r>
          </w:p>
        </w:tc>
      </w:tr>
      <w:tr w:rsidR="00774341" w:rsidRPr="00774341" w14:paraId="607CB89D" w14:textId="77777777" w:rsidTr="005C5634">
        <w:trPr>
          <w:trHeight w:val="227"/>
        </w:trPr>
        <w:tc>
          <w:tcPr>
            <w:tcW w:w="6749" w:type="dxa"/>
            <w:tcBorders>
              <w:top w:val="nil"/>
              <w:left w:val="nil"/>
              <w:bottom w:val="nil"/>
              <w:right w:val="nil"/>
            </w:tcBorders>
            <w:shd w:val="clear" w:color="auto" w:fill="auto"/>
            <w:noWrap/>
            <w:vAlign w:val="center"/>
            <w:hideMark/>
          </w:tcPr>
          <w:p w14:paraId="64647D60" w14:textId="7D4173B1"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Imposto de Renda</w:t>
            </w:r>
          </w:p>
        </w:tc>
        <w:tc>
          <w:tcPr>
            <w:tcW w:w="1012" w:type="dxa"/>
            <w:tcBorders>
              <w:top w:val="nil"/>
              <w:left w:val="nil"/>
              <w:bottom w:val="nil"/>
              <w:right w:val="nil"/>
            </w:tcBorders>
            <w:shd w:val="clear" w:color="auto" w:fill="auto"/>
            <w:noWrap/>
            <w:vAlign w:val="center"/>
            <w:hideMark/>
          </w:tcPr>
          <w:p w14:paraId="7E2ABA9E" w14:textId="575D16D3"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5</w:t>
            </w:r>
          </w:p>
        </w:tc>
        <w:tc>
          <w:tcPr>
            <w:tcW w:w="1134" w:type="dxa"/>
            <w:tcBorders>
              <w:top w:val="nil"/>
              <w:left w:val="nil"/>
              <w:bottom w:val="nil"/>
              <w:right w:val="nil"/>
            </w:tcBorders>
            <w:shd w:val="clear" w:color="auto" w:fill="auto"/>
            <w:noWrap/>
            <w:vAlign w:val="center"/>
            <w:hideMark/>
          </w:tcPr>
          <w:p w14:paraId="48462B12" w14:textId="258CE890"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(2.024.796)</w:t>
            </w:r>
          </w:p>
        </w:tc>
        <w:tc>
          <w:tcPr>
            <w:tcW w:w="1134" w:type="dxa"/>
            <w:tcBorders>
              <w:top w:val="nil"/>
              <w:left w:val="nil"/>
              <w:bottom w:val="nil"/>
              <w:right w:val="nil"/>
            </w:tcBorders>
            <w:shd w:val="clear" w:color="auto" w:fill="auto"/>
            <w:noWrap/>
            <w:vAlign w:val="center"/>
            <w:hideMark/>
          </w:tcPr>
          <w:p w14:paraId="46EF2C21" w14:textId="7698F18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w:t>
            </w:r>
          </w:p>
        </w:tc>
      </w:tr>
      <w:tr w:rsidR="00774341" w:rsidRPr="00774341" w14:paraId="10A1A1BB" w14:textId="77777777" w:rsidTr="005C5634">
        <w:trPr>
          <w:trHeight w:val="227"/>
        </w:trPr>
        <w:tc>
          <w:tcPr>
            <w:tcW w:w="6749" w:type="dxa"/>
            <w:tcBorders>
              <w:top w:val="nil"/>
              <w:left w:val="nil"/>
              <w:bottom w:val="nil"/>
              <w:right w:val="nil"/>
            </w:tcBorders>
            <w:shd w:val="clear" w:color="auto" w:fill="auto"/>
            <w:noWrap/>
            <w:vAlign w:val="center"/>
            <w:hideMark/>
          </w:tcPr>
          <w:p w14:paraId="2BC35BF1" w14:textId="07B03E89" w:rsidR="00774341" w:rsidRPr="00774341" w:rsidRDefault="00F45C53" w:rsidP="00774341">
            <w:pPr>
              <w:spacing w:after="0" w:line="240" w:lineRule="auto"/>
              <w:rPr>
                <w:rFonts w:ascii="Aptos Narrow" w:eastAsia="Times New Roman" w:hAnsi="Aptos Narrow" w:cs="Calibri"/>
                <w:color w:val="000000"/>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color w:val="000000"/>
                <w:sz w:val="16"/>
                <w:szCs w:val="16"/>
              </w:rPr>
              <w:t>Contribuição Social sobre o Lucro Líquido</w:t>
            </w:r>
          </w:p>
        </w:tc>
        <w:tc>
          <w:tcPr>
            <w:tcW w:w="1012" w:type="dxa"/>
            <w:tcBorders>
              <w:top w:val="nil"/>
              <w:left w:val="nil"/>
              <w:bottom w:val="nil"/>
              <w:right w:val="nil"/>
            </w:tcBorders>
            <w:shd w:val="clear" w:color="auto" w:fill="auto"/>
            <w:noWrap/>
            <w:vAlign w:val="center"/>
            <w:hideMark/>
          </w:tcPr>
          <w:p w14:paraId="00AAFE87" w14:textId="4FDE8C46"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5</w:t>
            </w:r>
          </w:p>
        </w:tc>
        <w:tc>
          <w:tcPr>
            <w:tcW w:w="1134" w:type="dxa"/>
            <w:tcBorders>
              <w:top w:val="nil"/>
              <w:left w:val="nil"/>
              <w:bottom w:val="nil"/>
              <w:right w:val="nil"/>
            </w:tcBorders>
            <w:shd w:val="clear" w:color="auto" w:fill="auto"/>
            <w:noWrap/>
            <w:vAlign w:val="center"/>
            <w:hideMark/>
          </w:tcPr>
          <w:p w14:paraId="3AF32994" w14:textId="597224FB"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(731.087)</w:t>
            </w:r>
          </w:p>
        </w:tc>
        <w:tc>
          <w:tcPr>
            <w:tcW w:w="1134" w:type="dxa"/>
            <w:tcBorders>
              <w:top w:val="nil"/>
              <w:left w:val="nil"/>
              <w:bottom w:val="nil"/>
              <w:right w:val="nil"/>
            </w:tcBorders>
            <w:shd w:val="clear" w:color="auto" w:fill="auto"/>
            <w:noWrap/>
            <w:vAlign w:val="center"/>
            <w:hideMark/>
          </w:tcPr>
          <w:p w14:paraId="1D8EF6E0" w14:textId="044EB38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xml:space="preserve">- </w:t>
            </w:r>
          </w:p>
        </w:tc>
      </w:tr>
      <w:tr w:rsidR="00774341" w:rsidRPr="00774341" w14:paraId="42C5E53A" w14:textId="77777777" w:rsidTr="005C5634">
        <w:trPr>
          <w:trHeight w:val="227"/>
        </w:trPr>
        <w:tc>
          <w:tcPr>
            <w:tcW w:w="6749" w:type="dxa"/>
            <w:tcBorders>
              <w:top w:val="nil"/>
              <w:left w:val="nil"/>
              <w:bottom w:val="single" w:sz="4" w:space="0" w:color="156082"/>
              <w:right w:val="nil"/>
            </w:tcBorders>
            <w:shd w:val="clear" w:color="auto" w:fill="auto"/>
            <w:noWrap/>
            <w:vAlign w:val="center"/>
            <w:hideMark/>
          </w:tcPr>
          <w:p w14:paraId="23C638CF" w14:textId="77777777" w:rsidR="00774341" w:rsidRPr="00774341" w:rsidRDefault="00774341" w:rsidP="00774341">
            <w:pPr>
              <w:spacing w:after="0" w:line="240" w:lineRule="auto"/>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w:t>
            </w:r>
          </w:p>
        </w:tc>
        <w:tc>
          <w:tcPr>
            <w:tcW w:w="1012" w:type="dxa"/>
            <w:tcBorders>
              <w:top w:val="nil"/>
              <w:left w:val="nil"/>
              <w:bottom w:val="single" w:sz="4" w:space="0" w:color="156082"/>
              <w:right w:val="nil"/>
            </w:tcBorders>
            <w:shd w:val="clear" w:color="auto" w:fill="auto"/>
            <w:noWrap/>
            <w:vAlign w:val="center"/>
            <w:hideMark/>
          </w:tcPr>
          <w:p w14:paraId="067E27AF" w14:textId="77777777"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 </w:t>
            </w:r>
          </w:p>
        </w:tc>
        <w:tc>
          <w:tcPr>
            <w:tcW w:w="1134" w:type="dxa"/>
            <w:tcBorders>
              <w:top w:val="nil"/>
              <w:left w:val="nil"/>
              <w:bottom w:val="single" w:sz="4" w:space="0" w:color="156082"/>
              <w:right w:val="nil"/>
            </w:tcBorders>
            <w:shd w:val="clear" w:color="auto" w:fill="auto"/>
            <w:noWrap/>
            <w:vAlign w:val="center"/>
            <w:hideMark/>
          </w:tcPr>
          <w:p w14:paraId="30C506D1"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w:t>
            </w:r>
          </w:p>
        </w:tc>
        <w:tc>
          <w:tcPr>
            <w:tcW w:w="1134" w:type="dxa"/>
            <w:tcBorders>
              <w:top w:val="nil"/>
              <w:left w:val="nil"/>
              <w:bottom w:val="single" w:sz="4" w:space="0" w:color="156082"/>
              <w:right w:val="nil"/>
            </w:tcBorders>
            <w:shd w:val="clear" w:color="auto" w:fill="auto"/>
            <w:noWrap/>
            <w:vAlign w:val="center"/>
            <w:hideMark/>
          </w:tcPr>
          <w:p w14:paraId="11A35A25" w14:textId="77777777" w:rsidR="00774341" w:rsidRPr="00774341" w:rsidRDefault="00774341" w:rsidP="00774341">
            <w:pPr>
              <w:spacing w:after="0" w:line="240" w:lineRule="auto"/>
              <w:jc w:val="right"/>
              <w:rPr>
                <w:rFonts w:ascii="Aptos Narrow" w:eastAsia="Times New Roman" w:hAnsi="Aptos Narrow" w:cs="Calibri"/>
                <w:color w:val="000000"/>
                <w:sz w:val="16"/>
                <w:szCs w:val="16"/>
              </w:rPr>
            </w:pPr>
            <w:r w:rsidRPr="00774341">
              <w:rPr>
                <w:rFonts w:ascii="Aptos Narrow" w:eastAsia="Times New Roman" w:hAnsi="Aptos Narrow" w:cs="Calibri"/>
                <w:color w:val="000000"/>
                <w:sz w:val="16"/>
                <w:szCs w:val="16"/>
              </w:rPr>
              <w:t> </w:t>
            </w:r>
          </w:p>
        </w:tc>
      </w:tr>
      <w:tr w:rsidR="00774341" w:rsidRPr="00774341" w14:paraId="57F1CD28" w14:textId="77777777" w:rsidTr="005C5634">
        <w:trPr>
          <w:trHeight w:val="227"/>
        </w:trPr>
        <w:tc>
          <w:tcPr>
            <w:tcW w:w="6749" w:type="dxa"/>
            <w:tcBorders>
              <w:top w:val="nil"/>
              <w:left w:val="nil"/>
              <w:bottom w:val="single" w:sz="4" w:space="0" w:color="156082"/>
              <w:right w:val="nil"/>
            </w:tcBorders>
            <w:shd w:val="clear" w:color="auto" w:fill="DAE9F8"/>
            <w:noWrap/>
            <w:vAlign w:val="center"/>
            <w:hideMark/>
          </w:tcPr>
          <w:p w14:paraId="3CF7CD38" w14:textId="77777777" w:rsidR="00774341" w:rsidRPr="00774341" w:rsidRDefault="00774341" w:rsidP="00774341">
            <w:pPr>
              <w:spacing w:after="0" w:line="240" w:lineRule="auto"/>
              <w:rPr>
                <w:rFonts w:ascii="Aptos Narrow" w:eastAsia="Times New Roman" w:hAnsi="Aptos Narrow" w:cs="Calibri"/>
                <w:b/>
                <w:bCs/>
                <w:sz w:val="16"/>
                <w:szCs w:val="16"/>
              </w:rPr>
            </w:pPr>
            <w:r w:rsidRPr="00774341">
              <w:rPr>
                <w:rFonts w:ascii="Aptos Narrow" w:eastAsia="Times New Roman" w:hAnsi="Aptos Narrow" w:cs="Calibri"/>
                <w:b/>
                <w:bCs/>
                <w:sz w:val="16"/>
                <w:szCs w:val="16"/>
              </w:rPr>
              <w:t>RESULTADO LÍQUIDO DO EXERCÍCIO</w:t>
            </w:r>
          </w:p>
        </w:tc>
        <w:tc>
          <w:tcPr>
            <w:tcW w:w="1012" w:type="dxa"/>
            <w:tcBorders>
              <w:top w:val="nil"/>
              <w:left w:val="nil"/>
              <w:bottom w:val="single" w:sz="4" w:space="0" w:color="156082"/>
              <w:right w:val="nil"/>
            </w:tcBorders>
            <w:shd w:val="clear" w:color="auto" w:fill="DAE9F8"/>
            <w:noWrap/>
            <w:vAlign w:val="center"/>
            <w:hideMark/>
          </w:tcPr>
          <w:p w14:paraId="0988AD72" w14:textId="5ECD842C" w:rsidR="00774341" w:rsidRPr="00774341" w:rsidRDefault="00774341" w:rsidP="00774341">
            <w:pPr>
              <w:spacing w:after="0" w:line="240" w:lineRule="auto"/>
              <w:jc w:val="center"/>
              <w:rPr>
                <w:rFonts w:ascii="Aptos Narrow" w:eastAsia="Times New Roman" w:hAnsi="Aptos Narrow" w:cs="Calibri"/>
                <w:color w:val="156082"/>
                <w:sz w:val="16"/>
                <w:szCs w:val="16"/>
              </w:rPr>
            </w:pPr>
            <w:r w:rsidRPr="00774341">
              <w:rPr>
                <w:rFonts w:ascii="Aptos Narrow" w:eastAsia="Times New Roman" w:hAnsi="Aptos Narrow" w:cs="Calibri"/>
                <w:color w:val="156082"/>
                <w:sz w:val="16"/>
                <w:szCs w:val="16"/>
              </w:rPr>
              <w:t>3</w:t>
            </w:r>
            <w:r w:rsidR="00374A40">
              <w:rPr>
                <w:rFonts w:ascii="Aptos Narrow" w:eastAsia="Times New Roman" w:hAnsi="Aptos Narrow" w:cs="Calibri"/>
                <w:color w:val="156082"/>
                <w:sz w:val="16"/>
                <w:szCs w:val="16"/>
              </w:rPr>
              <w:t>6</w:t>
            </w:r>
            <w:r w:rsidRPr="00774341">
              <w:rPr>
                <w:rFonts w:ascii="Aptos Narrow" w:eastAsia="Times New Roman" w:hAnsi="Aptos Narrow" w:cs="Calibri"/>
                <w:color w:val="156082"/>
                <w:sz w:val="16"/>
                <w:szCs w:val="16"/>
              </w:rPr>
              <w:t xml:space="preserve"> </w:t>
            </w:r>
          </w:p>
        </w:tc>
        <w:tc>
          <w:tcPr>
            <w:tcW w:w="1134" w:type="dxa"/>
            <w:tcBorders>
              <w:top w:val="nil"/>
              <w:left w:val="nil"/>
              <w:bottom w:val="single" w:sz="4" w:space="0" w:color="156082"/>
              <w:right w:val="nil"/>
            </w:tcBorders>
            <w:shd w:val="clear" w:color="auto" w:fill="DAE9F8"/>
            <w:noWrap/>
            <w:vAlign w:val="center"/>
            <w:hideMark/>
          </w:tcPr>
          <w:p w14:paraId="5B72A88F" w14:textId="77777777" w:rsidR="00774341" w:rsidRPr="00774341" w:rsidRDefault="00774341" w:rsidP="00774341">
            <w:pPr>
              <w:spacing w:after="0" w:line="240" w:lineRule="auto"/>
              <w:jc w:val="right"/>
              <w:rPr>
                <w:rFonts w:ascii="Aptos Narrow" w:eastAsia="Times New Roman" w:hAnsi="Aptos Narrow" w:cs="Calibri"/>
                <w:b/>
                <w:bCs/>
                <w:sz w:val="16"/>
                <w:szCs w:val="16"/>
              </w:rPr>
            </w:pPr>
            <w:r w:rsidRPr="00774341">
              <w:rPr>
                <w:rFonts w:ascii="Aptos Narrow" w:eastAsia="Times New Roman" w:hAnsi="Aptos Narrow" w:cs="Calibri"/>
                <w:b/>
                <w:bCs/>
                <w:sz w:val="16"/>
                <w:szCs w:val="16"/>
              </w:rPr>
              <w:t xml:space="preserve">31.212.137 </w:t>
            </w:r>
          </w:p>
        </w:tc>
        <w:tc>
          <w:tcPr>
            <w:tcW w:w="1134" w:type="dxa"/>
            <w:tcBorders>
              <w:top w:val="nil"/>
              <w:left w:val="nil"/>
              <w:bottom w:val="single" w:sz="4" w:space="0" w:color="156082"/>
              <w:right w:val="nil"/>
            </w:tcBorders>
            <w:shd w:val="clear" w:color="auto" w:fill="DAE9F8"/>
            <w:noWrap/>
            <w:vAlign w:val="center"/>
            <w:hideMark/>
          </w:tcPr>
          <w:p w14:paraId="58B94DFD" w14:textId="77777777" w:rsidR="00774341" w:rsidRPr="00774341" w:rsidRDefault="00774341" w:rsidP="00774341">
            <w:pPr>
              <w:spacing w:after="0" w:line="240" w:lineRule="auto"/>
              <w:jc w:val="right"/>
              <w:rPr>
                <w:rFonts w:ascii="Aptos Narrow" w:eastAsia="Times New Roman" w:hAnsi="Aptos Narrow" w:cs="Calibri"/>
                <w:b/>
                <w:bCs/>
                <w:sz w:val="16"/>
                <w:szCs w:val="16"/>
              </w:rPr>
            </w:pPr>
            <w:r w:rsidRPr="00774341">
              <w:rPr>
                <w:rFonts w:ascii="Aptos Narrow" w:eastAsia="Times New Roman" w:hAnsi="Aptos Narrow" w:cs="Calibri"/>
                <w:b/>
                <w:bCs/>
                <w:sz w:val="16"/>
                <w:szCs w:val="16"/>
              </w:rPr>
              <w:t>(202.066)</w:t>
            </w:r>
          </w:p>
        </w:tc>
      </w:tr>
      <w:tr w:rsidR="00774341" w:rsidRPr="00774341" w14:paraId="48BFEF44" w14:textId="77777777" w:rsidTr="005C5634">
        <w:trPr>
          <w:trHeight w:val="227"/>
        </w:trPr>
        <w:tc>
          <w:tcPr>
            <w:tcW w:w="6749" w:type="dxa"/>
            <w:tcBorders>
              <w:top w:val="nil"/>
              <w:left w:val="nil"/>
              <w:bottom w:val="nil"/>
              <w:right w:val="nil"/>
            </w:tcBorders>
            <w:shd w:val="clear" w:color="auto" w:fill="auto"/>
            <w:noWrap/>
            <w:vAlign w:val="center"/>
            <w:hideMark/>
          </w:tcPr>
          <w:p w14:paraId="72586719" w14:textId="5FC21C16" w:rsidR="00774341" w:rsidRPr="00774341" w:rsidRDefault="00F45C53" w:rsidP="00774341">
            <w:pPr>
              <w:spacing w:after="0" w:line="240" w:lineRule="auto"/>
              <w:rPr>
                <w:rFonts w:ascii="Aptos Narrow" w:eastAsia="Times New Roman" w:hAnsi="Aptos Narrow" w:cs="Calibri"/>
                <w:sz w:val="16"/>
                <w:szCs w:val="16"/>
              </w:rPr>
            </w:pPr>
            <w:r>
              <w:rPr>
                <w:rFonts w:ascii="Calibri" w:eastAsia="Times New Roman" w:hAnsi="Calibri" w:cs="Calibri"/>
                <w:sz w:val="16"/>
                <w:szCs w:val="16"/>
              </w:rPr>
              <w:t xml:space="preserve">      </w:t>
            </w:r>
            <w:r w:rsidR="00774341" w:rsidRPr="00774341">
              <w:rPr>
                <w:rFonts w:ascii="Aptos Narrow" w:eastAsia="Times New Roman" w:hAnsi="Aptos Narrow" w:cs="Calibri"/>
                <w:sz w:val="16"/>
                <w:szCs w:val="16"/>
              </w:rPr>
              <w:t>Lucro/Prejuízo por Ação (em reais)</w:t>
            </w:r>
          </w:p>
        </w:tc>
        <w:tc>
          <w:tcPr>
            <w:tcW w:w="1012" w:type="dxa"/>
            <w:tcBorders>
              <w:top w:val="nil"/>
              <w:left w:val="nil"/>
              <w:bottom w:val="nil"/>
              <w:right w:val="nil"/>
            </w:tcBorders>
            <w:shd w:val="clear" w:color="auto" w:fill="auto"/>
            <w:noWrap/>
            <w:vAlign w:val="center"/>
            <w:hideMark/>
          </w:tcPr>
          <w:p w14:paraId="447815AE" w14:textId="77777777" w:rsidR="00774341" w:rsidRPr="00774341" w:rsidRDefault="00774341" w:rsidP="00774341">
            <w:pPr>
              <w:spacing w:after="0" w:line="240" w:lineRule="auto"/>
              <w:rPr>
                <w:rFonts w:ascii="Aptos Narrow" w:eastAsia="Times New Roman" w:hAnsi="Aptos Narrow" w:cs="Calibri"/>
                <w:sz w:val="16"/>
                <w:szCs w:val="16"/>
              </w:rPr>
            </w:pPr>
          </w:p>
        </w:tc>
        <w:tc>
          <w:tcPr>
            <w:tcW w:w="1134" w:type="dxa"/>
            <w:tcBorders>
              <w:top w:val="nil"/>
              <w:left w:val="nil"/>
              <w:bottom w:val="nil"/>
              <w:right w:val="nil"/>
            </w:tcBorders>
            <w:shd w:val="clear" w:color="auto" w:fill="auto"/>
            <w:noWrap/>
            <w:vAlign w:val="center"/>
            <w:hideMark/>
          </w:tcPr>
          <w:p w14:paraId="4DE487C1" w14:textId="24394003" w:rsidR="00774341" w:rsidRPr="00774341" w:rsidRDefault="00774341" w:rsidP="00774341">
            <w:pPr>
              <w:spacing w:after="0" w:line="240" w:lineRule="auto"/>
              <w:jc w:val="right"/>
              <w:rPr>
                <w:rFonts w:ascii="Aptos Narrow" w:eastAsia="Times New Roman" w:hAnsi="Aptos Narrow" w:cs="Calibri"/>
                <w:sz w:val="16"/>
                <w:szCs w:val="16"/>
              </w:rPr>
            </w:pPr>
            <w:r w:rsidRPr="00774341">
              <w:rPr>
                <w:rFonts w:ascii="Aptos Narrow" w:eastAsia="Times New Roman" w:hAnsi="Aptos Narrow" w:cs="Calibri"/>
                <w:sz w:val="16"/>
                <w:szCs w:val="16"/>
              </w:rPr>
              <w:t xml:space="preserve"> 3,86 </w:t>
            </w:r>
          </w:p>
        </w:tc>
        <w:tc>
          <w:tcPr>
            <w:tcW w:w="1134" w:type="dxa"/>
            <w:tcBorders>
              <w:top w:val="nil"/>
              <w:left w:val="nil"/>
              <w:bottom w:val="nil"/>
              <w:right w:val="nil"/>
            </w:tcBorders>
            <w:shd w:val="clear" w:color="auto" w:fill="auto"/>
            <w:noWrap/>
            <w:vAlign w:val="center"/>
            <w:hideMark/>
          </w:tcPr>
          <w:p w14:paraId="5338E542" w14:textId="41FAE9BB" w:rsidR="00774341" w:rsidRPr="00774341" w:rsidRDefault="00774341" w:rsidP="00774341">
            <w:pPr>
              <w:spacing w:after="0" w:line="240" w:lineRule="auto"/>
              <w:jc w:val="right"/>
              <w:rPr>
                <w:rFonts w:ascii="Aptos Narrow" w:eastAsia="Times New Roman" w:hAnsi="Aptos Narrow" w:cs="Calibri"/>
                <w:sz w:val="16"/>
                <w:szCs w:val="16"/>
              </w:rPr>
            </w:pPr>
            <w:r w:rsidRPr="00774341">
              <w:rPr>
                <w:rFonts w:ascii="Aptos Narrow" w:eastAsia="Times New Roman" w:hAnsi="Aptos Narrow" w:cs="Calibri"/>
                <w:sz w:val="16"/>
                <w:szCs w:val="16"/>
              </w:rPr>
              <w:t xml:space="preserve"> (0,02)</w:t>
            </w:r>
          </w:p>
        </w:tc>
      </w:tr>
    </w:tbl>
    <w:p w14:paraId="7512C638" w14:textId="77777777" w:rsidR="001F5B84" w:rsidRDefault="001F5B84" w:rsidP="00161A75">
      <w:pPr>
        <w:spacing w:after="0" w:line="240" w:lineRule="auto"/>
        <w:jc w:val="center"/>
        <w:rPr>
          <w:rFonts w:ascii="Aptos Narrow" w:eastAsia="Times New Roman" w:hAnsi="Aptos Narrow" w:cs="Calibri"/>
          <w:color w:val="000000"/>
          <w:sz w:val="16"/>
          <w:szCs w:val="16"/>
        </w:rPr>
      </w:pPr>
    </w:p>
    <w:p w14:paraId="1C103A50" w14:textId="01069871" w:rsidR="00161A75" w:rsidRPr="00161A75" w:rsidRDefault="00161A75" w:rsidP="00161A75">
      <w:pPr>
        <w:spacing w:after="0" w:line="240" w:lineRule="auto"/>
        <w:jc w:val="center"/>
        <w:rPr>
          <w:rFonts w:ascii="Aptos Narrow" w:eastAsia="Times New Roman" w:hAnsi="Aptos Narrow" w:cs="Calibri"/>
          <w:color w:val="000000"/>
          <w:sz w:val="16"/>
          <w:szCs w:val="16"/>
        </w:rPr>
      </w:pPr>
      <w:r w:rsidRPr="00161A75">
        <w:rPr>
          <w:rFonts w:ascii="Aptos Narrow" w:eastAsia="Times New Roman" w:hAnsi="Aptos Narrow" w:cs="Calibri"/>
          <w:color w:val="000000"/>
          <w:sz w:val="16"/>
          <w:szCs w:val="16"/>
        </w:rPr>
        <w:t>(As Notas Explicativas são parte integrante das Demonstrações Financeiras)</w:t>
      </w:r>
    </w:p>
    <w:p w14:paraId="6F5E54FC" w14:textId="107AB3F5" w:rsidR="00544E37" w:rsidRDefault="00544E37" w:rsidP="00161A75"/>
    <w:p w14:paraId="04E734A1" w14:textId="77777777" w:rsidR="003D02B1" w:rsidRDefault="003D02B1" w:rsidP="00553736">
      <w:pPr>
        <w:spacing w:after="240" w:line="240" w:lineRule="auto"/>
        <w:rPr>
          <w:rFonts w:ascii="Calibri" w:eastAsia="Times New Roman" w:hAnsi="Calibri" w:cs="Calibri"/>
          <w:color w:val="2F75B5"/>
          <w:sz w:val="16"/>
          <w:szCs w:val="16"/>
        </w:rPr>
      </w:pPr>
    </w:p>
    <w:p w14:paraId="6B7278D9" w14:textId="77777777" w:rsidR="00490FCA" w:rsidRPr="00490FCA" w:rsidRDefault="002217A7" w:rsidP="00E06A3E">
      <w:pPr>
        <w:pStyle w:val="Ttulo2"/>
        <w:spacing w:after="0"/>
      </w:pPr>
      <w:r w:rsidRPr="003D02B1">
        <w:rPr>
          <w:rFonts w:eastAsia="Times New Roman" w:cs="Calibri"/>
          <w:sz w:val="16"/>
          <w:szCs w:val="16"/>
        </w:rPr>
        <w:br w:type="page"/>
      </w:r>
      <w:bookmarkStart w:id="3" w:name="_Toc184926656"/>
      <w:r w:rsidR="00553736" w:rsidRPr="00490FCA">
        <w:lastRenderedPageBreak/>
        <w:t>Demonstração das Mutações do Patrimônio Líquido</w:t>
      </w:r>
      <w:bookmarkEnd w:id="3"/>
    </w:p>
    <w:p w14:paraId="2049A084" w14:textId="7DF6C507" w:rsidR="00553736" w:rsidRPr="002217A7" w:rsidRDefault="00553736" w:rsidP="00553736">
      <w:pPr>
        <w:spacing w:after="240" w:line="240" w:lineRule="auto"/>
        <w:rPr>
          <w:rFonts w:ascii="Calibri" w:eastAsia="Times New Roman" w:hAnsi="Calibri" w:cs="Calibri"/>
          <w:color w:val="2F75B5"/>
          <w:sz w:val="16"/>
          <w:szCs w:val="16"/>
        </w:rPr>
      </w:pPr>
      <w:r w:rsidRPr="00044087">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w:t>
      </w:r>
      <w:r w:rsidRPr="00044087">
        <w:rPr>
          <w:rFonts w:ascii="Calibri" w:eastAsia="Times New Roman" w:hAnsi="Calibri" w:cs="Calibri"/>
          <w:color w:val="2F75B5"/>
          <w:sz w:val="16"/>
          <w:szCs w:val="16"/>
        </w:rPr>
        <w:t xml:space="preserve"> de 202</w:t>
      </w:r>
      <w:r>
        <w:rPr>
          <w:rFonts w:ascii="Calibri" w:eastAsia="Times New Roman" w:hAnsi="Calibri" w:cs="Calibri"/>
          <w:color w:val="2F75B5"/>
          <w:sz w:val="16"/>
          <w:szCs w:val="16"/>
        </w:rPr>
        <w:t>4</w:t>
      </w:r>
      <w:r w:rsidRPr="00044087">
        <w:rPr>
          <w:rFonts w:ascii="Calibri" w:eastAsia="Times New Roman" w:hAnsi="Calibri" w:cs="Calibri"/>
          <w:color w:val="2F75B5"/>
          <w:sz w:val="16"/>
          <w:szCs w:val="16"/>
        </w:rPr>
        <w:t xml:space="preserve"> e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 de</w:t>
      </w:r>
      <w:r w:rsidRPr="00044087">
        <w:rPr>
          <w:rFonts w:ascii="Calibri" w:eastAsia="Times New Roman" w:hAnsi="Calibri" w:cs="Calibri"/>
          <w:color w:val="2F75B5"/>
          <w:sz w:val="16"/>
          <w:szCs w:val="16"/>
        </w:rPr>
        <w:t xml:space="preserve"> 202</w:t>
      </w:r>
      <w:r>
        <w:rPr>
          <w:rFonts w:ascii="Calibri" w:eastAsia="Times New Roman" w:hAnsi="Calibri" w:cs="Calibri"/>
          <w:color w:val="2F75B5"/>
          <w:sz w:val="16"/>
          <w:szCs w:val="16"/>
        </w:rPr>
        <w:t>3</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3312"/>
        <w:gridCol w:w="1712"/>
        <w:gridCol w:w="1712"/>
        <w:gridCol w:w="1631"/>
        <w:gridCol w:w="2100"/>
      </w:tblGrid>
      <w:tr w:rsidR="002B1005" w:rsidRPr="002B1005" w14:paraId="42461617" w14:textId="77777777" w:rsidTr="00F45C53">
        <w:trPr>
          <w:trHeight w:val="227"/>
        </w:trPr>
        <w:tc>
          <w:tcPr>
            <w:tcW w:w="1582" w:type="pct"/>
            <w:tcBorders>
              <w:top w:val="nil"/>
              <w:left w:val="nil"/>
              <w:bottom w:val="single" w:sz="8" w:space="0" w:color="5B9BD5"/>
              <w:right w:val="nil"/>
            </w:tcBorders>
            <w:shd w:val="clear" w:color="auto" w:fill="auto"/>
            <w:vAlign w:val="center"/>
            <w:hideMark/>
          </w:tcPr>
          <w:p w14:paraId="53DD7C08"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Classificação</w:t>
            </w:r>
          </w:p>
        </w:tc>
        <w:tc>
          <w:tcPr>
            <w:tcW w:w="818" w:type="pct"/>
            <w:tcBorders>
              <w:top w:val="nil"/>
              <w:left w:val="nil"/>
              <w:bottom w:val="single" w:sz="8" w:space="0" w:color="5B9BD5"/>
              <w:right w:val="nil"/>
            </w:tcBorders>
            <w:shd w:val="clear" w:color="auto" w:fill="auto"/>
            <w:vAlign w:val="center"/>
            <w:hideMark/>
          </w:tcPr>
          <w:p w14:paraId="72EC0FE7"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Capital Social</w:t>
            </w:r>
          </w:p>
        </w:tc>
        <w:tc>
          <w:tcPr>
            <w:tcW w:w="818" w:type="pct"/>
            <w:tcBorders>
              <w:top w:val="nil"/>
              <w:left w:val="nil"/>
              <w:bottom w:val="single" w:sz="8" w:space="0" w:color="5B9BD5"/>
              <w:right w:val="nil"/>
            </w:tcBorders>
            <w:shd w:val="clear" w:color="auto" w:fill="auto"/>
            <w:vAlign w:val="center"/>
            <w:hideMark/>
          </w:tcPr>
          <w:p w14:paraId="652AF851"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Adiantamento para Futuro Aumento de Capital</w:t>
            </w:r>
          </w:p>
        </w:tc>
        <w:tc>
          <w:tcPr>
            <w:tcW w:w="779" w:type="pct"/>
            <w:tcBorders>
              <w:top w:val="nil"/>
              <w:left w:val="nil"/>
              <w:bottom w:val="single" w:sz="8" w:space="0" w:color="5B9BD5"/>
              <w:right w:val="nil"/>
            </w:tcBorders>
            <w:shd w:val="clear" w:color="auto" w:fill="auto"/>
            <w:vAlign w:val="center"/>
            <w:hideMark/>
          </w:tcPr>
          <w:p w14:paraId="3C852EBE"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Lucros ou Prejuízos Acumulados</w:t>
            </w:r>
          </w:p>
        </w:tc>
        <w:tc>
          <w:tcPr>
            <w:tcW w:w="1003" w:type="pct"/>
            <w:tcBorders>
              <w:top w:val="nil"/>
              <w:left w:val="nil"/>
              <w:bottom w:val="nil"/>
              <w:right w:val="nil"/>
            </w:tcBorders>
            <w:shd w:val="clear" w:color="auto" w:fill="auto"/>
            <w:vAlign w:val="center"/>
            <w:hideMark/>
          </w:tcPr>
          <w:p w14:paraId="5C5EF767"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Total</w:t>
            </w:r>
          </w:p>
        </w:tc>
      </w:tr>
      <w:tr w:rsidR="002B1005" w:rsidRPr="002B1005" w14:paraId="43B3C5D7" w14:textId="77777777" w:rsidTr="00F45C53">
        <w:trPr>
          <w:trHeight w:val="227"/>
        </w:trPr>
        <w:tc>
          <w:tcPr>
            <w:tcW w:w="1582" w:type="pct"/>
            <w:tcBorders>
              <w:top w:val="nil"/>
              <w:left w:val="nil"/>
              <w:bottom w:val="nil"/>
              <w:right w:val="nil"/>
            </w:tcBorders>
            <w:shd w:val="clear" w:color="auto" w:fill="auto"/>
            <w:noWrap/>
            <w:vAlign w:val="center"/>
            <w:hideMark/>
          </w:tcPr>
          <w:p w14:paraId="15CA4ADF" w14:textId="77777777" w:rsidR="002B1005" w:rsidRPr="002B1005" w:rsidRDefault="002B1005" w:rsidP="002B1005">
            <w:pPr>
              <w:spacing w:after="0" w:line="240" w:lineRule="auto"/>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Saldo em 1º de janeiro de 2023</w:t>
            </w:r>
          </w:p>
        </w:tc>
        <w:tc>
          <w:tcPr>
            <w:tcW w:w="818" w:type="pct"/>
            <w:tcBorders>
              <w:top w:val="nil"/>
              <w:left w:val="nil"/>
              <w:bottom w:val="nil"/>
              <w:right w:val="nil"/>
            </w:tcBorders>
            <w:shd w:val="clear" w:color="auto" w:fill="auto"/>
            <w:noWrap/>
            <w:vAlign w:val="center"/>
            <w:hideMark/>
          </w:tcPr>
          <w:p w14:paraId="0CA710AD" w14:textId="73223E11"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23.678.774.821</w:t>
            </w:r>
          </w:p>
        </w:tc>
        <w:tc>
          <w:tcPr>
            <w:tcW w:w="818" w:type="pct"/>
            <w:tcBorders>
              <w:top w:val="nil"/>
              <w:left w:val="nil"/>
              <w:bottom w:val="nil"/>
              <w:right w:val="nil"/>
            </w:tcBorders>
            <w:shd w:val="clear" w:color="auto" w:fill="auto"/>
            <w:noWrap/>
            <w:vAlign w:val="center"/>
            <w:hideMark/>
          </w:tcPr>
          <w:p w14:paraId="00377127" w14:textId="5369ED93"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351.003.518</w:t>
            </w:r>
          </w:p>
        </w:tc>
        <w:tc>
          <w:tcPr>
            <w:tcW w:w="779" w:type="pct"/>
            <w:tcBorders>
              <w:top w:val="nil"/>
              <w:left w:val="nil"/>
              <w:bottom w:val="nil"/>
              <w:right w:val="nil"/>
            </w:tcBorders>
            <w:shd w:val="clear" w:color="auto" w:fill="auto"/>
            <w:noWrap/>
            <w:vAlign w:val="center"/>
            <w:hideMark/>
          </w:tcPr>
          <w:p w14:paraId="69FC9066" w14:textId="0DDE4834"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(21.462.946.557)</w:t>
            </w:r>
          </w:p>
        </w:tc>
        <w:tc>
          <w:tcPr>
            <w:tcW w:w="1003" w:type="pct"/>
            <w:tcBorders>
              <w:top w:val="single" w:sz="8" w:space="0" w:color="5B9BD5"/>
              <w:left w:val="nil"/>
              <w:bottom w:val="nil"/>
              <w:right w:val="nil"/>
            </w:tcBorders>
            <w:shd w:val="clear" w:color="auto" w:fill="auto"/>
            <w:noWrap/>
            <w:vAlign w:val="center"/>
            <w:hideMark/>
          </w:tcPr>
          <w:p w14:paraId="193C91D8" w14:textId="7D8BB497"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2.566.831.782</w:t>
            </w:r>
          </w:p>
        </w:tc>
      </w:tr>
      <w:tr w:rsidR="002B1005" w:rsidRPr="002B1005" w14:paraId="1AB73BF6" w14:textId="77777777" w:rsidTr="00F45C53">
        <w:trPr>
          <w:trHeight w:val="227"/>
        </w:trPr>
        <w:tc>
          <w:tcPr>
            <w:tcW w:w="1582" w:type="pct"/>
            <w:tcBorders>
              <w:top w:val="nil"/>
              <w:left w:val="nil"/>
              <w:bottom w:val="nil"/>
              <w:right w:val="nil"/>
            </w:tcBorders>
            <w:shd w:val="clear" w:color="auto" w:fill="auto"/>
            <w:noWrap/>
            <w:vAlign w:val="center"/>
            <w:hideMark/>
          </w:tcPr>
          <w:p w14:paraId="62B98FB0" w14:textId="77777777" w:rsidR="002B1005" w:rsidRPr="002B1005" w:rsidRDefault="002B1005" w:rsidP="002B1005">
            <w:pPr>
              <w:spacing w:after="0" w:line="240" w:lineRule="auto"/>
              <w:rPr>
                <w:rFonts w:ascii="Calibri" w:eastAsia="Times New Roman" w:hAnsi="Calibri" w:cs="Calibri"/>
                <w:color w:val="000000"/>
                <w:sz w:val="16"/>
                <w:szCs w:val="16"/>
              </w:rPr>
            </w:pPr>
            <w:r w:rsidRPr="002B1005">
              <w:rPr>
                <w:rFonts w:ascii="Calibri" w:eastAsia="Times New Roman" w:hAnsi="Calibri" w:cs="Calibri"/>
                <w:color w:val="000000"/>
                <w:sz w:val="16"/>
                <w:szCs w:val="16"/>
              </w:rPr>
              <w:t xml:space="preserve">Resultado Líquido do Período </w:t>
            </w:r>
          </w:p>
        </w:tc>
        <w:tc>
          <w:tcPr>
            <w:tcW w:w="818" w:type="pct"/>
            <w:tcBorders>
              <w:top w:val="nil"/>
              <w:left w:val="nil"/>
              <w:bottom w:val="nil"/>
              <w:right w:val="nil"/>
            </w:tcBorders>
            <w:shd w:val="clear" w:color="auto" w:fill="auto"/>
            <w:noWrap/>
            <w:vAlign w:val="center"/>
            <w:hideMark/>
          </w:tcPr>
          <w:p w14:paraId="03CA30D4" w14:textId="703C4A9C"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818" w:type="pct"/>
            <w:tcBorders>
              <w:top w:val="nil"/>
              <w:left w:val="nil"/>
              <w:bottom w:val="nil"/>
              <w:right w:val="nil"/>
            </w:tcBorders>
            <w:shd w:val="clear" w:color="auto" w:fill="auto"/>
            <w:noWrap/>
            <w:vAlign w:val="center"/>
            <w:hideMark/>
          </w:tcPr>
          <w:p w14:paraId="7EBFD8FA" w14:textId="7CB05CA8"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779" w:type="pct"/>
            <w:tcBorders>
              <w:top w:val="nil"/>
              <w:left w:val="nil"/>
              <w:bottom w:val="nil"/>
              <w:right w:val="nil"/>
            </w:tcBorders>
            <w:shd w:val="clear" w:color="auto" w:fill="auto"/>
            <w:noWrap/>
            <w:vAlign w:val="center"/>
            <w:hideMark/>
          </w:tcPr>
          <w:p w14:paraId="20F3F638" w14:textId="229B3315"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(202.066)</w:t>
            </w:r>
          </w:p>
        </w:tc>
        <w:tc>
          <w:tcPr>
            <w:tcW w:w="1003" w:type="pct"/>
            <w:tcBorders>
              <w:top w:val="nil"/>
              <w:left w:val="nil"/>
              <w:bottom w:val="nil"/>
              <w:right w:val="nil"/>
            </w:tcBorders>
            <w:shd w:val="clear" w:color="auto" w:fill="auto"/>
            <w:noWrap/>
            <w:vAlign w:val="center"/>
            <w:hideMark/>
          </w:tcPr>
          <w:p w14:paraId="4A397E83" w14:textId="6E57ED30"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(202.066)</w:t>
            </w:r>
          </w:p>
        </w:tc>
      </w:tr>
      <w:tr w:rsidR="002B1005" w:rsidRPr="002B1005" w14:paraId="4671E168" w14:textId="77777777" w:rsidTr="00F45C53">
        <w:trPr>
          <w:trHeight w:val="227"/>
        </w:trPr>
        <w:tc>
          <w:tcPr>
            <w:tcW w:w="1582" w:type="pct"/>
            <w:tcBorders>
              <w:top w:val="nil"/>
              <w:left w:val="nil"/>
              <w:bottom w:val="nil"/>
              <w:right w:val="nil"/>
            </w:tcBorders>
            <w:shd w:val="clear" w:color="auto" w:fill="auto"/>
            <w:noWrap/>
            <w:vAlign w:val="center"/>
            <w:hideMark/>
          </w:tcPr>
          <w:p w14:paraId="7A355C5D" w14:textId="77777777" w:rsidR="002B1005" w:rsidRPr="002B1005" w:rsidRDefault="002B1005" w:rsidP="002B1005">
            <w:pPr>
              <w:spacing w:after="0" w:line="240" w:lineRule="auto"/>
              <w:rPr>
                <w:rFonts w:ascii="Calibri" w:eastAsia="Times New Roman" w:hAnsi="Calibri" w:cs="Calibri"/>
                <w:color w:val="000000"/>
                <w:sz w:val="16"/>
                <w:szCs w:val="16"/>
              </w:rPr>
            </w:pPr>
            <w:r w:rsidRPr="002B1005">
              <w:rPr>
                <w:rFonts w:ascii="Calibri" w:eastAsia="Times New Roman" w:hAnsi="Calibri" w:cs="Calibri"/>
                <w:color w:val="000000"/>
                <w:sz w:val="16"/>
                <w:szCs w:val="16"/>
              </w:rPr>
              <w:t>Adiantamento para Futuro Aumento de Capital</w:t>
            </w:r>
          </w:p>
        </w:tc>
        <w:tc>
          <w:tcPr>
            <w:tcW w:w="818" w:type="pct"/>
            <w:tcBorders>
              <w:top w:val="nil"/>
              <w:left w:val="nil"/>
              <w:bottom w:val="nil"/>
              <w:right w:val="nil"/>
            </w:tcBorders>
            <w:shd w:val="clear" w:color="auto" w:fill="auto"/>
            <w:noWrap/>
            <w:vAlign w:val="center"/>
            <w:hideMark/>
          </w:tcPr>
          <w:p w14:paraId="6C255996" w14:textId="327FDC29"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818" w:type="pct"/>
            <w:tcBorders>
              <w:top w:val="nil"/>
              <w:left w:val="nil"/>
              <w:bottom w:val="nil"/>
              <w:right w:val="nil"/>
            </w:tcBorders>
            <w:shd w:val="clear" w:color="auto" w:fill="auto"/>
            <w:noWrap/>
            <w:vAlign w:val="center"/>
            <w:hideMark/>
          </w:tcPr>
          <w:p w14:paraId="6FEACECB" w14:textId="39FEED01"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31.720.272</w:t>
            </w:r>
          </w:p>
        </w:tc>
        <w:tc>
          <w:tcPr>
            <w:tcW w:w="779" w:type="pct"/>
            <w:tcBorders>
              <w:top w:val="nil"/>
              <w:left w:val="nil"/>
              <w:bottom w:val="nil"/>
              <w:right w:val="nil"/>
            </w:tcBorders>
            <w:shd w:val="clear" w:color="auto" w:fill="auto"/>
            <w:noWrap/>
            <w:vAlign w:val="center"/>
            <w:hideMark/>
          </w:tcPr>
          <w:p w14:paraId="1E0C32F7" w14:textId="6D143B64"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1003" w:type="pct"/>
            <w:tcBorders>
              <w:top w:val="nil"/>
              <w:left w:val="nil"/>
              <w:bottom w:val="nil"/>
              <w:right w:val="nil"/>
            </w:tcBorders>
            <w:shd w:val="clear" w:color="auto" w:fill="auto"/>
            <w:noWrap/>
            <w:vAlign w:val="center"/>
            <w:hideMark/>
          </w:tcPr>
          <w:p w14:paraId="550BF2E3" w14:textId="4162AE0B"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31.720.272</w:t>
            </w:r>
          </w:p>
        </w:tc>
      </w:tr>
      <w:tr w:rsidR="002B1005" w:rsidRPr="002B1005" w14:paraId="36A2D57F" w14:textId="77777777" w:rsidTr="00F45C53">
        <w:trPr>
          <w:trHeight w:val="227"/>
        </w:trPr>
        <w:tc>
          <w:tcPr>
            <w:tcW w:w="1582" w:type="pct"/>
            <w:tcBorders>
              <w:top w:val="nil"/>
              <w:left w:val="nil"/>
              <w:bottom w:val="single" w:sz="8" w:space="0" w:color="5B9BD5"/>
              <w:right w:val="nil"/>
            </w:tcBorders>
            <w:shd w:val="clear" w:color="auto" w:fill="auto"/>
            <w:noWrap/>
            <w:vAlign w:val="center"/>
            <w:hideMark/>
          </w:tcPr>
          <w:p w14:paraId="19E11EB0" w14:textId="77777777" w:rsidR="002B1005" w:rsidRPr="002B1005" w:rsidRDefault="002B1005" w:rsidP="002B1005">
            <w:pPr>
              <w:spacing w:after="0" w:line="240" w:lineRule="auto"/>
              <w:rPr>
                <w:rFonts w:ascii="Calibri" w:eastAsia="Times New Roman" w:hAnsi="Calibri" w:cs="Calibri"/>
                <w:color w:val="000000"/>
                <w:sz w:val="16"/>
                <w:szCs w:val="16"/>
              </w:rPr>
            </w:pPr>
            <w:r w:rsidRPr="002B1005">
              <w:rPr>
                <w:rFonts w:ascii="Calibri" w:eastAsia="Times New Roman" w:hAnsi="Calibri" w:cs="Calibri"/>
                <w:color w:val="000000"/>
                <w:sz w:val="16"/>
                <w:szCs w:val="16"/>
              </w:rPr>
              <w:t>Ajustes de Exercícios Anteriores</w:t>
            </w:r>
          </w:p>
        </w:tc>
        <w:tc>
          <w:tcPr>
            <w:tcW w:w="818" w:type="pct"/>
            <w:tcBorders>
              <w:top w:val="nil"/>
              <w:left w:val="nil"/>
              <w:bottom w:val="single" w:sz="8" w:space="0" w:color="5B9BD5"/>
              <w:right w:val="nil"/>
            </w:tcBorders>
            <w:shd w:val="clear" w:color="auto" w:fill="auto"/>
            <w:noWrap/>
            <w:vAlign w:val="center"/>
            <w:hideMark/>
          </w:tcPr>
          <w:p w14:paraId="6C62F97C" w14:textId="59C5A495"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818" w:type="pct"/>
            <w:tcBorders>
              <w:top w:val="nil"/>
              <w:left w:val="nil"/>
              <w:bottom w:val="single" w:sz="8" w:space="0" w:color="5B9BD5"/>
              <w:right w:val="nil"/>
            </w:tcBorders>
            <w:shd w:val="clear" w:color="auto" w:fill="auto"/>
            <w:noWrap/>
            <w:vAlign w:val="center"/>
            <w:hideMark/>
          </w:tcPr>
          <w:p w14:paraId="2C0A090D" w14:textId="05412901"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779" w:type="pct"/>
            <w:tcBorders>
              <w:top w:val="nil"/>
              <w:left w:val="nil"/>
              <w:bottom w:val="single" w:sz="8" w:space="0" w:color="5B9BD5"/>
              <w:right w:val="nil"/>
            </w:tcBorders>
            <w:shd w:val="clear" w:color="auto" w:fill="auto"/>
            <w:noWrap/>
            <w:vAlign w:val="center"/>
            <w:hideMark/>
          </w:tcPr>
          <w:p w14:paraId="180A0D12" w14:textId="3FE955B4"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(3.262.788)</w:t>
            </w:r>
          </w:p>
        </w:tc>
        <w:tc>
          <w:tcPr>
            <w:tcW w:w="1003" w:type="pct"/>
            <w:tcBorders>
              <w:top w:val="nil"/>
              <w:left w:val="nil"/>
              <w:bottom w:val="single" w:sz="8" w:space="0" w:color="5B9BD5"/>
              <w:right w:val="nil"/>
            </w:tcBorders>
            <w:shd w:val="clear" w:color="auto" w:fill="auto"/>
            <w:noWrap/>
            <w:vAlign w:val="center"/>
            <w:hideMark/>
          </w:tcPr>
          <w:p w14:paraId="54A41ABE" w14:textId="44371C88"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(3.262.788)</w:t>
            </w:r>
          </w:p>
        </w:tc>
      </w:tr>
      <w:tr w:rsidR="002B1005" w:rsidRPr="002B1005" w14:paraId="607B741E" w14:textId="77777777" w:rsidTr="00F45C53">
        <w:trPr>
          <w:trHeight w:val="227"/>
        </w:trPr>
        <w:tc>
          <w:tcPr>
            <w:tcW w:w="1582" w:type="pct"/>
            <w:tcBorders>
              <w:top w:val="nil"/>
              <w:left w:val="nil"/>
              <w:bottom w:val="single" w:sz="8" w:space="0" w:color="5B9BD5"/>
              <w:right w:val="nil"/>
            </w:tcBorders>
            <w:shd w:val="clear" w:color="000000" w:fill="DEEAF6"/>
            <w:noWrap/>
            <w:vAlign w:val="center"/>
            <w:hideMark/>
          </w:tcPr>
          <w:p w14:paraId="1FE54740" w14:textId="77777777" w:rsidR="002B1005" w:rsidRPr="002B1005" w:rsidRDefault="002B1005" w:rsidP="002B1005">
            <w:pPr>
              <w:spacing w:after="0" w:line="240" w:lineRule="auto"/>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Saldo em 31 de março de 2023</w:t>
            </w:r>
          </w:p>
        </w:tc>
        <w:tc>
          <w:tcPr>
            <w:tcW w:w="818" w:type="pct"/>
            <w:tcBorders>
              <w:top w:val="nil"/>
              <w:left w:val="nil"/>
              <w:bottom w:val="single" w:sz="8" w:space="0" w:color="5B9BD5"/>
              <w:right w:val="nil"/>
            </w:tcBorders>
            <w:shd w:val="clear" w:color="000000" w:fill="DEEAF6"/>
            <w:noWrap/>
            <w:vAlign w:val="center"/>
            <w:hideMark/>
          </w:tcPr>
          <w:p w14:paraId="39EB1B1F" w14:textId="500E67A9"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23.678.774.821</w:t>
            </w:r>
          </w:p>
        </w:tc>
        <w:tc>
          <w:tcPr>
            <w:tcW w:w="818" w:type="pct"/>
            <w:tcBorders>
              <w:top w:val="nil"/>
              <w:left w:val="nil"/>
              <w:bottom w:val="single" w:sz="8" w:space="0" w:color="5B9BD5"/>
              <w:right w:val="nil"/>
            </w:tcBorders>
            <w:shd w:val="clear" w:color="000000" w:fill="DEEAF6"/>
            <w:noWrap/>
            <w:vAlign w:val="center"/>
            <w:hideMark/>
          </w:tcPr>
          <w:p w14:paraId="0B7C48EF" w14:textId="4E67787B"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382.723.790</w:t>
            </w:r>
          </w:p>
        </w:tc>
        <w:tc>
          <w:tcPr>
            <w:tcW w:w="779" w:type="pct"/>
            <w:tcBorders>
              <w:top w:val="nil"/>
              <w:left w:val="nil"/>
              <w:bottom w:val="single" w:sz="8" w:space="0" w:color="5B9BD5"/>
              <w:right w:val="nil"/>
            </w:tcBorders>
            <w:shd w:val="clear" w:color="000000" w:fill="DEEAF6"/>
            <w:noWrap/>
            <w:vAlign w:val="center"/>
            <w:hideMark/>
          </w:tcPr>
          <w:p w14:paraId="3A06B60B" w14:textId="43C2E4A0"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(21.466.411.411)</w:t>
            </w:r>
          </w:p>
        </w:tc>
        <w:tc>
          <w:tcPr>
            <w:tcW w:w="1003" w:type="pct"/>
            <w:tcBorders>
              <w:top w:val="nil"/>
              <w:left w:val="nil"/>
              <w:bottom w:val="single" w:sz="8" w:space="0" w:color="5B9BD5"/>
              <w:right w:val="nil"/>
            </w:tcBorders>
            <w:shd w:val="clear" w:color="000000" w:fill="DEEAF6"/>
            <w:noWrap/>
            <w:vAlign w:val="center"/>
            <w:hideMark/>
          </w:tcPr>
          <w:p w14:paraId="2E8286D5" w14:textId="0FC56A41"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2.595.087.200</w:t>
            </w:r>
          </w:p>
        </w:tc>
      </w:tr>
      <w:tr w:rsidR="002B1005" w:rsidRPr="002B1005" w14:paraId="182284AA" w14:textId="77777777" w:rsidTr="00F45C53">
        <w:trPr>
          <w:trHeight w:val="227"/>
        </w:trPr>
        <w:tc>
          <w:tcPr>
            <w:tcW w:w="1582" w:type="pct"/>
            <w:tcBorders>
              <w:top w:val="nil"/>
              <w:left w:val="nil"/>
              <w:bottom w:val="nil"/>
              <w:right w:val="nil"/>
            </w:tcBorders>
            <w:shd w:val="clear" w:color="auto" w:fill="auto"/>
            <w:vAlign w:val="center"/>
            <w:hideMark/>
          </w:tcPr>
          <w:p w14:paraId="7B227B76" w14:textId="77777777" w:rsidR="002B1005" w:rsidRPr="002B1005" w:rsidRDefault="002B1005" w:rsidP="002B1005">
            <w:pPr>
              <w:spacing w:after="0" w:line="240" w:lineRule="auto"/>
              <w:jc w:val="right"/>
              <w:rPr>
                <w:rFonts w:ascii="Calibri" w:eastAsia="Times New Roman" w:hAnsi="Calibri" w:cs="Calibri"/>
                <w:b/>
                <w:bCs/>
                <w:color w:val="000000"/>
                <w:sz w:val="16"/>
                <w:szCs w:val="16"/>
              </w:rPr>
            </w:pPr>
          </w:p>
        </w:tc>
        <w:tc>
          <w:tcPr>
            <w:tcW w:w="818" w:type="pct"/>
            <w:tcBorders>
              <w:top w:val="nil"/>
              <w:left w:val="nil"/>
              <w:bottom w:val="nil"/>
              <w:right w:val="nil"/>
            </w:tcBorders>
            <w:shd w:val="clear" w:color="auto" w:fill="auto"/>
            <w:noWrap/>
            <w:vAlign w:val="center"/>
            <w:hideMark/>
          </w:tcPr>
          <w:p w14:paraId="74E75287"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818" w:type="pct"/>
            <w:tcBorders>
              <w:top w:val="nil"/>
              <w:left w:val="nil"/>
              <w:bottom w:val="nil"/>
              <w:right w:val="nil"/>
            </w:tcBorders>
            <w:shd w:val="clear" w:color="auto" w:fill="auto"/>
            <w:noWrap/>
            <w:vAlign w:val="center"/>
            <w:hideMark/>
          </w:tcPr>
          <w:p w14:paraId="6955FE33"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779" w:type="pct"/>
            <w:tcBorders>
              <w:top w:val="nil"/>
              <w:left w:val="nil"/>
              <w:bottom w:val="nil"/>
              <w:right w:val="nil"/>
            </w:tcBorders>
            <w:shd w:val="clear" w:color="auto" w:fill="auto"/>
            <w:noWrap/>
            <w:vAlign w:val="center"/>
            <w:hideMark/>
          </w:tcPr>
          <w:p w14:paraId="2305DFCB" w14:textId="77777777" w:rsidR="002B1005" w:rsidRPr="002B1005" w:rsidRDefault="002B1005" w:rsidP="002B1005">
            <w:pPr>
              <w:spacing w:after="0" w:line="240" w:lineRule="auto"/>
              <w:rPr>
                <w:rFonts w:ascii="Calibri" w:eastAsia="Times New Roman" w:hAnsi="Calibri" w:cs="Calibri"/>
              </w:rPr>
            </w:pPr>
            <w:r w:rsidRPr="002B1005">
              <w:rPr>
                <w:rFonts w:ascii="Calibri" w:eastAsia="Times New Roman" w:hAnsi="Calibri" w:cs="Calibri"/>
              </w:rPr>
              <w:t> </w:t>
            </w:r>
          </w:p>
        </w:tc>
        <w:tc>
          <w:tcPr>
            <w:tcW w:w="1003" w:type="pct"/>
            <w:tcBorders>
              <w:top w:val="nil"/>
              <w:left w:val="nil"/>
              <w:bottom w:val="nil"/>
              <w:right w:val="nil"/>
            </w:tcBorders>
            <w:shd w:val="clear" w:color="auto" w:fill="auto"/>
            <w:noWrap/>
            <w:vAlign w:val="center"/>
            <w:hideMark/>
          </w:tcPr>
          <w:p w14:paraId="33672C7D" w14:textId="77777777" w:rsidR="002B1005" w:rsidRPr="002B1005" w:rsidRDefault="002B1005" w:rsidP="002B1005">
            <w:pPr>
              <w:spacing w:after="0" w:line="240" w:lineRule="auto"/>
              <w:rPr>
                <w:rFonts w:ascii="Calibri" w:eastAsia="Times New Roman" w:hAnsi="Calibri" w:cs="Calibri"/>
              </w:rPr>
            </w:pPr>
            <w:r w:rsidRPr="002B1005">
              <w:rPr>
                <w:rFonts w:ascii="Calibri" w:eastAsia="Times New Roman" w:hAnsi="Calibri" w:cs="Calibri"/>
              </w:rPr>
              <w:t> </w:t>
            </w:r>
          </w:p>
        </w:tc>
      </w:tr>
      <w:tr w:rsidR="002B1005" w:rsidRPr="002B1005" w14:paraId="51256DC0" w14:textId="77777777" w:rsidTr="00F45C53">
        <w:trPr>
          <w:trHeight w:val="227"/>
        </w:trPr>
        <w:tc>
          <w:tcPr>
            <w:tcW w:w="1582" w:type="pct"/>
            <w:tcBorders>
              <w:top w:val="nil"/>
              <w:left w:val="nil"/>
              <w:bottom w:val="nil"/>
              <w:right w:val="nil"/>
            </w:tcBorders>
            <w:shd w:val="clear" w:color="auto" w:fill="auto"/>
            <w:vAlign w:val="center"/>
            <w:hideMark/>
          </w:tcPr>
          <w:p w14:paraId="7F482BA5" w14:textId="77777777" w:rsidR="002B1005" w:rsidRPr="002B1005" w:rsidRDefault="002B1005" w:rsidP="002B1005">
            <w:pPr>
              <w:spacing w:after="0" w:line="240" w:lineRule="auto"/>
              <w:rPr>
                <w:rFonts w:ascii="Calibri" w:eastAsia="Times New Roman" w:hAnsi="Calibri" w:cs="Calibri"/>
              </w:rPr>
            </w:pPr>
          </w:p>
        </w:tc>
        <w:tc>
          <w:tcPr>
            <w:tcW w:w="818" w:type="pct"/>
            <w:tcBorders>
              <w:top w:val="nil"/>
              <w:left w:val="nil"/>
              <w:bottom w:val="nil"/>
              <w:right w:val="nil"/>
            </w:tcBorders>
            <w:shd w:val="clear" w:color="auto" w:fill="auto"/>
            <w:noWrap/>
            <w:vAlign w:val="center"/>
            <w:hideMark/>
          </w:tcPr>
          <w:p w14:paraId="0EBF5A7F"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818" w:type="pct"/>
            <w:tcBorders>
              <w:top w:val="nil"/>
              <w:left w:val="nil"/>
              <w:bottom w:val="nil"/>
              <w:right w:val="nil"/>
            </w:tcBorders>
            <w:shd w:val="clear" w:color="auto" w:fill="auto"/>
            <w:noWrap/>
            <w:vAlign w:val="center"/>
            <w:hideMark/>
          </w:tcPr>
          <w:p w14:paraId="5DFF6FDC"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779" w:type="pct"/>
            <w:tcBorders>
              <w:top w:val="nil"/>
              <w:left w:val="nil"/>
              <w:bottom w:val="nil"/>
              <w:right w:val="nil"/>
            </w:tcBorders>
            <w:shd w:val="clear" w:color="auto" w:fill="auto"/>
            <w:noWrap/>
            <w:vAlign w:val="center"/>
            <w:hideMark/>
          </w:tcPr>
          <w:p w14:paraId="2B732DD4"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7CB1EEDC" w14:textId="77777777" w:rsidR="002B1005" w:rsidRPr="002B1005" w:rsidRDefault="002B1005" w:rsidP="002B1005">
            <w:pPr>
              <w:spacing w:after="0" w:line="240" w:lineRule="auto"/>
              <w:rPr>
                <w:rFonts w:ascii="Times New Roman" w:eastAsia="Times New Roman" w:hAnsi="Times New Roman" w:cs="Times New Roman"/>
                <w:sz w:val="20"/>
                <w:szCs w:val="20"/>
              </w:rPr>
            </w:pPr>
          </w:p>
        </w:tc>
      </w:tr>
      <w:tr w:rsidR="002B1005" w:rsidRPr="002B1005" w14:paraId="61F98E69" w14:textId="77777777" w:rsidTr="00F45C53">
        <w:trPr>
          <w:trHeight w:val="227"/>
        </w:trPr>
        <w:tc>
          <w:tcPr>
            <w:tcW w:w="1582" w:type="pct"/>
            <w:tcBorders>
              <w:top w:val="nil"/>
              <w:left w:val="nil"/>
              <w:bottom w:val="nil"/>
              <w:right w:val="nil"/>
            </w:tcBorders>
            <w:shd w:val="clear" w:color="auto" w:fill="auto"/>
            <w:noWrap/>
            <w:vAlign w:val="center"/>
            <w:hideMark/>
          </w:tcPr>
          <w:p w14:paraId="23F03418"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818" w:type="pct"/>
            <w:tcBorders>
              <w:top w:val="nil"/>
              <w:left w:val="nil"/>
              <w:bottom w:val="nil"/>
              <w:right w:val="nil"/>
            </w:tcBorders>
            <w:shd w:val="clear" w:color="auto" w:fill="auto"/>
            <w:noWrap/>
            <w:vAlign w:val="center"/>
            <w:hideMark/>
          </w:tcPr>
          <w:p w14:paraId="510B5249"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818" w:type="pct"/>
            <w:tcBorders>
              <w:top w:val="nil"/>
              <w:left w:val="nil"/>
              <w:bottom w:val="nil"/>
              <w:right w:val="nil"/>
            </w:tcBorders>
            <w:shd w:val="clear" w:color="auto" w:fill="auto"/>
            <w:noWrap/>
            <w:vAlign w:val="center"/>
            <w:hideMark/>
          </w:tcPr>
          <w:p w14:paraId="3A60A4FE" w14:textId="77777777" w:rsidR="002B1005" w:rsidRPr="002B1005" w:rsidRDefault="002B1005" w:rsidP="002B1005">
            <w:pPr>
              <w:spacing w:after="0" w:line="240" w:lineRule="auto"/>
              <w:rPr>
                <w:rFonts w:ascii="Times New Roman" w:eastAsia="Times New Roman" w:hAnsi="Times New Roman" w:cs="Times New Roman"/>
                <w:sz w:val="20"/>
                <w:szCs w:val="20"/>
              </w:rPr>
            </w:pPr>
          </w:p>
        </w:tc>
        <w:tc>
          <w:tcPr>
            <w:tcW w:w="779" w:type="pct"/>
            <w:tcBorders>
              <w:top w:val="nil"/>
              <w:left w:val="nil"/>
              <w:bottom w:val="nil"/>
              <w:right w:val="nil"/>
            </w:tcBorders>
            <w:shd w:val="clear" w:color="auto" w:fill="auto"/>
            <w:noWrap/>
            <w:vAlign w:val="center"/>
            <w:hideMark/>
          </w:tcPr>
          <w:p w14:paraId="28A68263" w14:textId="77777777" w:rsidR="002B1005" w:rsidRPr="002B1005" w:rsidRDefault="002B1005" w:rsidP="002B1005">
            <w:pPr>
              <w:spacing w:after="0" w:line="240" w:lineRule="auto"/>
              <w:jc w:val="center"/>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16E4C8D7" w14:textId="77777777" w:rsidR="002B1005" w:rsidRPr="002B1005" w:rsidRDefault="002B1005" w:rsidP="002B1005">
            <w:pPr>
              <w:spacing w:after="0" w:line="240" w:lineRule="auto"/>
              <w:rPr>
                <w:rFonts w:ascii="Times New Roman" w:eastAsia="Times New Roman" w:hAnsi="Times New Roman" w:cs="Times New Roman"/>
                <w:sz w:val="20"/>
                <w:szCs w:val="20"/>
              </w:rPr>
            </w:pPr>
          </w:p>
        </w:tc>
      </w:tr>
      <w:tr w:rsidR="002B1005" w:rsidRPr="002B1005" w14:paraId="40F276F5" w14:textId="77777777" w:rsidTr="00F45C53">
        <w:trPr>
          <w:trHeight w:val="227"/>
        </w:trPr>
        <w:tc>
          <w:tcPr>
            <w:tcW w:w="1582" w:type="pct"/>
            <w:tcBorders>
              <w:top w:val="nil"/>
              <w:left w:val="nil"/>
              <w:bottom w:val="single" w:sz="8" w:space="0" w:color="5B9BD5"/>
              <w:right w:val="nil"/>
            </w:tcBorders>
            <w:shd w:val="clear" w:color="auto" w:fill="auto"/>
            <w:vAlign w:val="center"/>
            <w:hideMark/>
          </w:tcPr>
          <w:p w14:paraId="3DD935BA"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Classificação</w:t>
            </w:r>
          </w:p>
        </w:tc>
        <w:tc>
          <w:tcPr>
            <w:tcW w:w="818" w:type="pct"/>
            <w:tcBorders>
              <w:top w:val="nil"/>
              <w:left w:val="nil"/>
              <w:bottom w:val="single" w:sz="8" w:space="0" w:color="5B9BD5"/>
              <w:right w:val="nil"/>
            </w:tcBorders>
            <w:shd w:val="clear" w:color="auto" w:fill="auto"/>
            <w:vAlign w:val="center"/>
            <w:hideMark/>
          </w:tcPr>
          <w:p w14:paraId="50EEE368"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 xml:space="preserve"> Capital Social </w:t>
            </w:r>
          </w:p>
        </w:tc>
        <w:tc>
          <w:tcPr>
            <w:tcW w:w="818" w:type="pct"/>
            <w:tcBorders>
              <w:top w:val="nil"/>
              <w:left w:val="nil"/>
              <w:bottom w:val="single" w:sz="8" w:space="0" w:color="5B9BD5"/>
              <w:right w:val="nil"/>
            </w:tcBorders>
            <w:shd w:val="clear" w:color="auto" w:fill="auto"/>
            <w:vAlign w:val="center"/>
            <w:hideMark/>
          </w:tcPr>
          <w:p w14:paraId="7796E784"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 xml:space="preserve"> Adiantamento para Futuro Aumento de Capital </w:t>
            </w:r>
          </w:p>
        </w:tc>
        <w:tc>
          <w:tcPr>
            <w:tcW w:w="779" w:type="pct"/>
            <w:tcBorders>
              <w:top w:val="nil"/>
              <w:left w:val="nil"/>
              <w:bottom w:val="single" w:sz="8" w:space="0" w:color="5B9BD5"/>
              <w:right w:val="nil"/>
            </w:tcBorders>
            <w:shd w:val="clear" w:color="auto" w:fill="auto"/>
            <w:vAlign w:val="center"/>
            <w:hideMark/>
          </w:tcPr>
          <w:p w14:paraId="733CB1E1"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 xml:space="preserve"> Lucros ou Prejuízos Acumulados </w:t>
            </w:r>
          </w:p>
        </w:tc>
        <w:tc>
          <w:tcPr>
            <w:tcW w:w="1003" w:type="pct"/>
            <w:tcBorders>
              <w:top w:val="nil"/>
              <w:left w:val="nil"/>
              <w:bottom w:val="single" w:sz="8" w:space="0" w:color="5B9BD5"/>
              <w:right w:val="nil"/>
            </w:tcBorders>
            <w:shd w:val="clear" w:color="auto" w:fill="auto"/>
            <w:vAlign w:val="center"/>
            <w:hideMark/>
          </w:tcPr>
          <w:p w14:paraId="7A80F98C" w14:textId="77777777" w:rsidR="002B1005" w:rsidRPr="002B1005" w:rsidRDefault="002B1005" w:rsidP="002B1005">
            <w:pPr>
              <w:spacing w:after="0" w:line="240" w:lineRule="auto"/>
              <w:jc w:val="center"/>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 xml:space="preserve"> Total </w:t>
            </w:r>
          </w:p>
        </w:tc>
      </w:tr>
      <w:tr w:rsidR="002B1005" w:rsidRPr="002B1005" w14:paraId="7AB84AEC" w14:textId="77777777" w:rsidTr="00F45C53">
        <w:trPr>
          <w:trHeight w:val="227"/>
        </w:trPr>
        <w:tc>
          <w:tcPr>
            <w:tcW w:w="1582" w:type="pct"/>
            <w:tcBorders>
              <w:top w:val="nil"/>
              <w:left w:val="nil"/>
              <w:bottom w:val="nil"/>
              <w:right w:val="nil"/>
            </w:tcBorders>
            <w:shd w:val="clear" w:color="auto" w:fill="auto"/>
            <w:noWrap/>
            <w:vAlign w:val="center"/>
            <w:hideMark/>
          </w:tcPr>
          <w:p w14:paraId="30CA5BAA" w14:textId="77777777" w:rsidR="002B1005" w:rsidRPr="002B1005" w:rsidRDefault="002B1005" w:rsidP="002B1005">
            <w:pPr>
              <w:spacing w:after="0" w:line="240" w:lineRule="auto"/>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Saldo em 1º de janeiro de 2024</w:t>
            </w:r>
          </w:p>
        </w:tc>
        <w:tc>
          <w:tcPr>
            <w:tcW w:w="818" w:type="pct"/>
            <w:tcBorders>
              <w:top w:val="nil"/>
              <w:left w:val="nil"/>
              <w:bottom w:val="nil"/>
              <w:right w:val="nil"/>
            </w:tcBorders>
            <w:shd w:val="clear" w:color="auto" w:fill="auto"/>
            <w:noWrap/>
            <w:vAlign w:val="center"/>
            <w:hideMark/>
          </w:tcPr>
          <w:p w14:paraId="5E2B473F" w14:textId="710AA3A7"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24.029.778.338</w:t>
            </w:r>
          </w:p>
        </w:tc>
        <w:tc>
          <w:tcPr>
            <w:tcW w:w="818" w:type="pct"/>
            <w:tcBorders>
              <w:top w:val="nil"/>
              <w:left w:val="nil"/>
              <w:bottom w:val="nil"/>
              <w:right w:val="nil"/>
            </w:tcBorders>
            <w:shd w:val="clear" w:color="auto" w:fill="auto"/>
            <w:noWrap/>
            <w:vAlign w:val="center"/>
            <w:hideMark/>
          </w:tcPr>
          <w:p w14:paraId="3D592875" w14:textId="3299CED3"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134.291.194</w:t>
            </w:r>
          </w:p>
        </w:tc>
        <w:tc>
          <w:tcPr>
            <w:tcW w:w="779" w:type="pct"/>
            <w:tcBorders>
              <w:top w:val="nil"/>
              <w:left w:val="nil"/>
              <w:bottom w:val="nil"/>
              <w:right w:val="nil"/>
            </w:tcBorders>
            <w:shd w:val="clear" w:color="auto" w:fill="auto"/>
            <w:noWrap/>
            <w:vAlign w:val="center"/>
            <w:hideMark/>
          </w:tcPr>
          <w:p w14:paraId="2071F1EA" w14:textId="6B68D6F9"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(21.533.411.528)</w:t>
            </w:r>
          </w:p>
        </w:tc>
        <w:tc>
          <w:tcPr>
            <w:tcW w:w="1003" w:type="pct"/>
            <w:tcBorders>
              <w:top w:val="nil"/>
              <w:left w:val="nil"/>
              <w:bottom w:val="nil"/>
              <w:right w:val="nil"/>
            </w:tcBorders>
            <w:shd w:val="clear" w:color="auto" w:fill="auto"/>
            <w:noWrap/>
            <w:vAlign w:val="center"/>
            <w:hideMark/>
          </w:tcPr>
          <w:p w14:paraId="4E5A5694" w14:textId="3448ABD1"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2.630.658.00</w:t>
            </w:r>
            <w:r w:rsidR="00B755F0">
              <w:rPr>
                <w:rFonts w:ascii="Calibri" w:eastAsia="Times New Roman" w:hAnsi="Calibri" w:cs="Calibri"/>
                <w:b/>
                <w:bCs/>
                <w:color w:val="000000"/>
                <w:sz w:val="16"/>
                <w:szCs w:val="16"/>
              </w:rPr>
              <w:t>5</w:t>
            </w:r>
          </w:p>
        </w:tc>
      </w:tr>
      <w:tr w:rsidR="002B1005" w:rsidRPr="002B1005" w14:paraId="3748E6B8" w14:textId="77777777" w:rsidTr="00F45C53">
        <w:trPr>
          <w:trHeight w:val="227"/>
        </w:trPr>
        <w:tc>
          <w:tcPr>
            <w:tcW w:w="1582" w:type="pct"/>
            <w:tcBorders>
              <w:top w:val="nil"/>
              <w:left w:val="nil"/>
              <w:bottom w:val="nil"/>
              <w:right w:val="nil"/>
            </w:tcBorders>
            <w:shd w:val="clear" w:color="000000" w:fill="FFFFFF"/>
            <w:noWrap/>
            <w:vAlign w:val="center"/>
            <w:hideMark/>
          </w:tcPr>
          <w:p w14:paraId="0B1F33CD" w14:textId="77777777" w:rsidR="002B1005" w:rsidRPr="002B1005" w:rsidRDefault="002B1005" w:rsidP="002B1005">
            <w:pPr>
              <w:spacing w:after="0" w:line="240" w:lineRule="auto"/>
              <w:rPr>
                <w:rFonts w:ascii="Calibri" w:eastAsia="Times New Roman" w:hAnsi="Calibri" w:cs="Calibri"/>
                <w:color w:val="000000"/>
                <w:sz w:val="16"/>
                <w:szCs w:val="16"/>
              </w:rPr>
            </w:pPr>
            <w:r w:rsidRPr="002B1005">
              <w:rPr>
                <w:rFonts w:ascii="Calibri" w:eastAsia="Times New Roman" w:hAnsi="Calibri" w:cs="Calibri"/>
                <w:color w:val="000000"/>
                <w:sz w:val="16"/>
                <w:szCs w:val="16"/>
              </w:rPr>
              <w:t xml:space="preserve">Resultado Líquido do Período </w:t>
            </w:r>
          </w:p>
        </w:tc>
        <w:tc>
          <w:tcPr>
            <w:tcW w:w="818" w:type="pct"/>
            <w:tcBorders>
              <w:top w:val="nil"/>
              <w:left w:val="nil"/>
              <w:bottom w:val="nil"/>
              <w:right w:val="nil"/>
            </w:tcBorders>
            <w:shd w:val="clear" w:color="auto" w:fill="auto"/>
            <w:noWrap/>
            <w:vAlign w:val="center"/>
            <w:hideMark/>
          </w:tcPr>
          <w:p w14:paraId="471300E3" w14:textId="16C552CF"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818" w:type="pct"/>
            <w:tcBorders>
              <w:top w:val="nil"/>
              <w:left w:val="nil"/>
              <w:bottom w:val="nil"/>
              <w:right w:val="nil"/>
            </w:tcBorders>
            <w:shd w:val="clear" w:color="auto" w:fill="auto"/>
            <w:noWrap/>
            <w:vAlign w:val="center"/>
            <w:hideMark/>
          </w:tcPr>
          <w:p w14:paraId="3F15CDE5" w14:textId="7586D266"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779" w:type="pct"/>
            <w:tcBorders>
              <w:top w:val="nil"/>
              <w:left w:val="nil"/>
              <w:bottom w:val="nil"/>
              <w:right w:val="nil"/>
            </w:tcBorders>
            <w:shd w:val="clear" w:color="auto" w:fill="auto"/>
            <w:noWrap/>
            <w:vAlign w:val="center"/>
            <w:hideMark/>
          </w:tcPr>
          <w:p w14:paraId="4288A455" w14:textId="3E9EC435"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31.212.137</w:t>
            </w:r>
          </w:p>
        </w:tc>
        <w:tc>
          <w:tcPr>
            <w:tcW w:w="1003" w:type="pct"/>
            <w:tcBorders>
              <w:top w:val="nil"/>
              <w:left w:val="nil"/>
              <w:bottom w:val="nil"/>
              <w:right w:val="nil"/>
            </w:tcBorders>
            <w:shd w:val="clear" w:color="auto" w:fill="auto"/>
            <w:noWrap/>
            <w:vAlign w:val="center"/>
            <w:hideMark/>
          </w:tcPr>
          <w:p w14:paraId="0F151810" w14:textId="1CB352E4"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31.212.137</w:t>
            </w:r>
          </w:p>
        </w:tc>
      </w:tr>
      <w:tr w:rsidR="002B1005" w:rsidRPr="002B1005" w14:paraId="155C9390" w14:textId="77777777" w:rsidTr="00F45C53">
        <w:trPr>
          <w:trHeight w:val="227"/>
        </w:trPr>
        <w:tc>
          <w:tcPr>
            <w:tcW w:w="1582" w:type="pct"/>
            <w:tcBorders>
              <w:top w:val="nil"/>
              <w:left w:val="nil"/>
              <w:bottom w:val="nil"/>
              <w:right w:val="nil"/>
            </w:tcBorders>
            <w:shd w:val="clear" w:color="auto" w:fill="auto"/>
            <w:noWrap/>
            <w:vAlign w:val="center"/>
            <w:hideMark/>
          </w:tcPr>
          <w:p w14:paraId="2A868CE2" w14:textId="77777777" w:rsidR="002B1005" w:rsidRPr="002B1005" w:rsidRDefault="002B1005" w:rsidP="002B1005">
            <w:pPr>
              <w:spacing w:after="0" w:line="240" w:lineRule="auto"/>
              <w:rPr>
                <w:rFonts w:ascii="Calibri" w:eastAsia="Times New Roman" w:hAnsi="Calibri" w:cs="Calibri"/>
                <w:color w:val="000000"/>
                <w:sz w:val="16"/>
                <w:szCs w:val="16"/>
              </w:rPr>
            </w:pPr>
            <w:r w:rsidRPr="002B1005">
              <w:rPr>
                <w:rFonts w:ascii="Calibri" w:eastAsia="Times New Roman" w:hAnsi="Calibri" w:cs="Calibri"/>
                <w:color w:val="000000"/>
                <w:sz w:val="16"/>
                <w:szCs w:val="16"/>
              </w:rPr>
              <w:t>Adiantamento para Futuro Aumento de Capital</w:t>
            </w:r>
          </w:p>
        </w:tc>
        <w:tc>
          <w:tcPr>
            <w:tcW w:w="818" w:type="pct"/>
            <w:tcBorders>
              <w:top w:val="nil"/>
              <w:left w:val="nil"/>
              <w:bottom w:val="nil"/>
              <w:right w:val="nil"/>
            </w:tcBorders>
            <w:shd w:val="clear" w:color="auto" w:fill="auto"/>
            <w:noWrap/>
            <w:vAlign w:val="center"/>
            <w:hideMark/>
          </w:tcPr>
          <w:p w14:paraId="06D7942B" w14:textId="11DB856D"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818" w:type="pct"/>
            <w:tcBorders>
              <w:top w:val="nil"/>
              <w:left w:val="nil"/>
              <w:bottom w:val="nil"/>
              <w:right w:val="nil"/>
            </w:tcBorders>
            <w:shd w:val="clear" w:color="auto" w:fill="auto"/>
            <w:noWrap/>
            <w:vAlign w:val="center"/>
            <w:hideMark/>
          </w:tcPr>
          <w:p w14:paraId="175BF5D6" w14:textId="61A082E4"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32.128.790</w:t>
            </w:r>
          </w:p>
        </w:tc>
        <w:tc>
          <w:tcPr>
            <w:tcW w:w="779" w:type="pct"/>
            <w:tcBorders>
              <w:top w:val="nil"/>
              <w:left w:val="nil"/>
              <w:bottom w:val="nil"/>
              <w:right w:val="nil"/>
            </w:tcBorders>
            <w:shd w:val="clear" w:color="auto" w:fill="auto"/>
            <w:noWrap/>
            <w:vAlign w:val="center"/>
            <w:hideMark/>
          </w:tcPr>
          <w:p w14:paraId="3DF2DFC5" w14:textId="1B8AEF85"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w:t>
            </w:r>
          </w:p>
        </w:tc>
        <w:tc>
          <w:tcPr>
            <w:tcW w:w="1003" w:type="pct"/>
            <w:tcBorders>
              <w:top w:val="nil"/>
              <w:left w:val="nil"/>
              <w:bottom w:val="nil"/>
              <w:right w:val="nil"/>
            </w:tcBorders>
            <w:shd w:val="clear" w:color="auto" w:fill="auto"/>
            <w:noWrap/>
            <w:vAlign w:val="center"/>
            <w:hideMark/>
          </w:tcPr>
          <w:p w14:paraId="297F57EB" w14:textId="41823E17" w:rsidR="002B1005" w:rsidRPr="002B1005" w:rsidRDefault="002B1005" w:rsidP="002B1005">
            <w:pPr>
              <w:spacing w:after="0" w:line="240" w:lineRule="auto"/>
              <w:jc w:val="right"/>
              <w:rPr>
                <w:rFonts w:ascii="Calibri" w:eastAsia="Times New Roman" w:hAnsi="Calibri" w:cs="Calibri"/>
                <w:color w:val="000000"/>
                <w:sz w:val="16"/>
                <w:szCs w:val="16"/>
              </w:rPr>
            </w:pPr>
            <w:r w:rsidRPr="002B1005">
              <w:rPr>
                <w:rFonts w:ascii="Calibri" w:eastAsia="Times New Roman" w:hAnsi="Calibri" w:cs="Calibri"/>
                <w:color w:val="000000"/>
                <w:sz w:val="16"/>
                <w:szCs w:val="16"/>
              </w:rPr>
              <w:t>32.128.790</w:t>
            </w:r>
          </w:p>
        </w:tc>
      </w:tr>
      <w:tr w:rsidR="002B1005" w:rsidRPr="002B1005" w14:paraId="602EC6B3" w14:textId="77777777" w:rsidTr="00F45C53">
        <w:trPr>
          <w:trHeight w:val="227"/>
        </w:trPr>
        <w:tc>
          <w:tcPr>
            <w:tcW w:w="1582" w:type="pct"/>
            <w:tcBorders>
              <w:top w:val="nil"/>
              <w:left w:val="nil"/>
              <w:bottom w:val="single" w:sz="8" w:space="0" w:color="5B9BD5"/>
              <w:right w:val="nil"/>
            </w:tcBorders>
            <w:shd w:val="clear" w:color="000000" w:fill="DEEAF6"/>
            <w:noWrap/>
            <w:vAlign w:val="center"/>
            <w:hideMark/>
          </w:tcPr>
          <w:p w14:paraId="1B95AFD7" w14:textId="77777777" w:rsidR="002B1005" w:rsidRPr="002B1005" w:rsidRDefault="002B1005" w:rsidP="002B1005">
            <w:pPr>
              <w:spacing w:after="0" w:line="240" w:lineRule="auto"/>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Saldo em 31 de março de 2024</w:t>
            </w:r>
          </w:p>
        </w:tc>
        <w:tc>
          <w:tcPr>
            <w:tcW w:w="818" w:type="pct"/>
            <w:tcBorders>
              <w:top w:val="nil"/>
              <w:left w:val="nil"/>
              <w:bottom w:val="single" w:sz="8" w:space="0" w:color="5B9BD5"/>
              <w:right w:val="nil"/>
            </w:tcBorders>
            <w:shd w:val="clear" w:color="000000" w:fill="DEEAF6"/>
            <w:noWrap/>
            <w:vAlign w:val="center"/>
            <w:hideMark/>
          </w:tcPr>
          <w:p w14:paraId="58878B3E" w14:textId="79B10323"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24.029.778.338</w:t>
            </w:r>
          </w:p>
        </w:tc>
        <w:tc>
          <w:tcPr>
            <w:tcW w:w="818" w:type="pct"/>
            <w:tcBorders>
              <w:top w:val="nil"/>
              <w:left w:val="nil"/>
              <w:bottom w:val="single" w:sz="8" w:space="0" w:color="5B9BD5"/>
              <w:right w:val="nil"/>
            </w:tcBorders>
            <w:shd w:val="clear" w:color="000000" w:fill="DEEAF6"/>
            <w:noWrap/>
            <w:vAlign w:val="center"/>
            <w:hideMark/>
          </w:tcPr>
          <w:p w14:paraId="62F5B5F1" w14:textId="37E01F65"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166.419.984</w:t>
            </w:r>
          </w:p>
        </w:tc>
        <w:tc>
          <w:tcPr>
            <w:tcW w:w="779" w:type="pct"/>
            <w:tcBorders>
              <w:top w:val="nil"/>
              <w:left w:val="nil"/>
              <w:bottom w:val="single" w:sz="8" w:space="0" w:color="5B9BD5"/>
              <w:right w:val="nil"/>
            </w:tcBorders>
            <w:shd w:val="clear" w:color="000000" w:fill="DEEAF6"/>
            <w:noWrap/>
            <w:vAlign w:val="center"/>
            <w:hideMark/>
          </w:tcPr>
          <w:p w14:paraId="0751D863" w14:textId="539359FE"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(21.502.199.391)</w:t>
            </w:r>
          </w:p>
        </w:tc>
        <w:tc>
          <w:tcPr>
            <w:tcW w:w="1003" w:type="pct"/>
            <w:tcBorders>
              <w:top w:val="nil"/>
              <w:left w:val="nil"/>
              <w:bottom w:val="single" w:sz="8" w:space="0" w:color="5B9BD5"/>
              <w:right w:val="nil"/>
            </w:tcBorders>
            <w:shd w:val="clear" w:color="000000" w:fill="DEEAF6"/>
            <w:noWrap/>
            <w:vAlign w:val="center"/>
            <w:hideMark/>
          </w:tcPr>
          <w:p w14:paraId="69E70EC7" w14:textId="326377D6" w:rsidR="002B1005" w:rsidRPr="002B1005" w:rsidRDefault="002B1005" w:rsidP="002B1005">
            <w:pPr>
              <w:spacing w:after="0" w:line="240" w:lineRule="auto"/>
              <w:jc w:val="right"/>
              <w:rPr>
                <w:rFonts w:ascii="Calibri" w:eastAsia="Times New Roman" w:hAnsi="Calibri" w:cs="Calibri"/>
                <w:b/>
                <w:bCs/>
                <w:color w:val="000000"/>
                <w:sz w:val="16"/>
                <w:szCs w:val="16"/>
              </w:rPr>
            </w:pPr>
            <w:r w:rsidRPr="002B1005">
              <w:rPr>
                <w:rFonts w:ascii="Calibri" w:eastAsia="Times New Roman" w:hAnsi="Calibri" w:cs="Calibri"/>
                <w:b/>
                <w:bCs/>
                <w:color w:val="000000"/>
                <w:sz w:val="16"/>
                <w:szCs w:val="16"/>
              </w:rPr>
              <w:t>2.693.998.93</w:t>
            </w:r>
            <w:r w:rsidR="000046D6">
              <w:rPr>
                <w:rFonts w:ascii="Calibri" w:eastAsia="Times New Roman" w:hAnsi="Calibri" w:cs="Calibri"/>
                <w:b/>
                <w:bCs/>
                <w:color w:val="000000"/>
                <w:sz w:val="16"/>
                <w:szCs w:val="16"/>
              </w:rPr>
              <w:t>1</w:t>
            </w:r>
          </w:p>
        </w:tc>
      </w:tr>
    </w:tbl>
    <w:p w14:paraId="1D6EF552" w14:textId="77777777" w:rsidR="00B52F3A" w:rsidRDefault="00B52F3A" w:rsidP="00094403"/>
    <w:p w14:paraId="71667688" w14:textId="77777777" w:rsidR="00B52F3A" w:rsidRDefault="00B52F3A" w:rsidP="00094403"/>
    <w:p w14:paraId="3234C3BB" w14:textId="77777777" w:rsidR="00490FCA" w:rsidRDefault="00791418" w:rsidP="00490FCA">
      <w:pPr>
        <w:pStyle w:val="Ttulo2"/>
      </w:pPr>
      <w:bookmarkStart w:id="4" w:name="_Toc184926657"/>
      <w:r w:rsidRPr="00490FCA">
        <w:t>Demonstração do Resultado Abrangente</w:t>
      </w:r>
      <w:bookmarkEnd w:id="4"/>
    </w:p>
    <w:p w14:paraId="0CD6A8AE" w14:textId="4298F037" w:rsidR="00294022" w:rsidRDefault="00791418" w:rsidP="00E946D5">
      <w:pPr>
        <w:rPr>
          <w:rFonts w:ascii="Calibri" w:eastAsia="Times New Roman" w:hAnsi="Calibri" w:cs="Calibri"/>
          <w:i/>
          <w:iCs/>
          <w:color w:val="2F75B5"/>
          <w:sz w:val="16"/>
          <w:szCs w:val="16"/>
        </w:rPr>
      </w:pPr>
      <w:r w:rsidRPr="00044087">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w:t>
      </w:r>
      <w:r w:rsidRPr="00044087">
        <w:rPr>
          <w:rFonts w:ascii="Calibri" w:eastAsia="Times New Roman" w:hAnsi="Calibri" w:cs="Calibri"/>
          <w:color w:val="2F75B5"/>
          <w:sz w:val="16"/>
          <w:szCs w:val="16"/>
        </w:rPr>
        <w:t xml:space="preserve"> de 202</w:t>
      </w:r>
      <w:r>
        <w:rPr>
          <w:rFonts w:ascii="Calibri" w:eastAsia="Times New Roman" w:hAnsi="Calibri" w:cs="Calibri"/>
          <w:color w:val="2F75B5"/>
          <w:sz w:val="16"/>
          <w:szCs w:val="16"/>
        </w:rPr>
        <w:t>4</w:t>
      </w:r>
      <w:r w:rsidRPr="00044087">
        <w:rPr>
          <w:rFonts w:ascii="Calibri" w:eastAsia="Times New Roman" w:hAnsi="Calibri" w:cs="Calibri"/>
          <w:color w:val="2F75B5"/>
          <w:sz w:val="16"/>
          <w:szCs w:val="16"/>
        </w:rPr>
        <w:t xml:space="preserve"> e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 de</w:t>
      </w:r>
      <w:r w:rsidRPr="00044087">
        <w:rPr>
          <w:rFonts w:ascii="Calibri" w:eastAsia="Times New Roman" w:hAnsi="Calibri" w:cs="Calibri"/>
          <w:color w:val="2F75B5"/>
          <w:sz w:val="16"/>
          <w:szCs w:val="16"/>
        </w:rPr>
        <w:t xml:space="preserve"> 202</w:t>
      </w:r>
      <w:r>
        <w:rPr>
          <w:rFonts w:ascii="Calibri" w:eastAsia="Times New Roman" w:hAnsi="Calibri" w:cs="Calibri"/>
          <w:color w:val="2F75B5"/>
          <w:sz w:val="16"/>
          <w:szCs w:val="16"/>
        </w:rPr>
        <w:t>3</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7889"/>
        <w:gridCol w:w="1289"/>
        <w:gridCol w:w="1289"/>
      </w:tblGrid>
      <w:tr w:rsidR="00A92637" w:rsidRPr="00A92637" w14:paraId="00323997" w14:textId="77777777" w:rsidTr="008E0AF4">
        <w:trPr>
          <w:trHeight w:val="227"/>
        </w:trPr>
        <w:tc>
          <w:tcPr>
            <w:tcW w:w="6942" w:type="dxa"/>
            <w:tcBorders>
              <w:top w:val="nil"/>
              <w:left w:val="nil"/>
              <w:bottom w:val="single" w:sz="8" w:space="0" w:color="5B9BD5"/>
              <w:right w:val="nil"/>
            </w:tcBorders>
            <w:shd w:val="clear" w:color="auto" w:fill="auto"/>
            <w:noWrap/>
            <w:vAlign w:val="center"/>
            <w:hideMark/>
          </w:tcPr>
          <w:p w14:paraId="4DFB7BF2" w14:textId="77777777" w:rsidR="00A92637" w:rsidRPr="00A92637" w:rsidRDefault="00A92637" w:rsidP="00A92637">
            <w:pPr>
              <w:spacing w:after="0" w:line="240" w:lineRule="auto"/>
              <w:rPr>
                <w:rFonts w:ascii="Aptos Narrow" w:eastAsia="Times New Roman" w:hAnsi="Aptos Narrow" w:cs="Times New Roman"/>
                <w:color w:val="000000"/>
                <w:sz w:val="16"/>
                <w:szCs w:val="16"/>
              </w:rPr>
            </w:pPr>
            <w:r w:rsidRPr="00A92637">
              <w:rPr>
                <w:rFonts w:ascii="Aptos Narrow" w:eastAsia="Times New Roman" w:hAnsi="Aptos Narrow" w:cs="Times New Roman"/>
                <w:color w:val="000000"/>
                <w:sz w:val="16"/>
                <w:szCs w:val="16"/>
              </w:rPr>
              <w:t> </w:t>
            </w:r>
          </w:p>
        </w:tc>
        <w:tc>
          <w:tcPr>
            <w:tcW w:w="1134" w:type="dxa"/>
            <w:tcBorders>
              <w:top w:val="nil"/>
              <w:left w:val="nil"/>
              <w:bottom w:val="single" w:sz="8" w:space="0" w:color="5B9BD5"/>
              <w:right w:val="nil"/>
            </w:tcBorders>
            <w:shd w:val="clear" w:color="auto" w:fill="auto"/>
            <w:vAlign w:val="center"/>
            <w:hideMark/>
          </w:tcPr>
          <w:p w14:paraId="43CED8F7" w14:textId="77777777" w:rsidR="00A92637" w:rsidRPr="00A92637" w:rsidRDefault="00A92637" w:rsidP="00A92637">
            <w:pPr>
              <w:spacing w:after="0" w:line="240" w:lineRule="auto"/>
              <w:jc w:val="right"/>
              <w:rPr>
                <w:rFonts w:ascii="Aptos Narrow" w:eastAsia="Times New Roman" w:hAnsi="Aptos Narrow" w:cs="Times New Roman"/>
                <w:b/>
                <w:bCs/>
                <w:color w:val="000000"/>
                <w:sz w:val="16"/>
                <w:szCs w:val="16"/>
              </w:rPr>
            </w:pPr>
            <w:r w:rsidRPr="00A92637">
              <w:rPr>
                <w:rFonts w:ascii="Aptos Narrow" w:eastAsia="Times New Roman" w:hAnsi="Aptos Narrow" w:cs="Times New Roman"/>
                <w:b/>
                <w:bCs/>
                <w:color w:val="000000"/>
                <w:sz w:val="16"/>
                <w:szCs w:val="16"/>
              </w:rPr>
              <w:t>31/03/2024</w:t>
            </w:r>
          </w:p>
        </w:tc>
        <w:tc>
          <w:tcPr>
            <w:tcW w:w="1134" w:type="dxa"/>
            <w:tcBorders>
              <w:top w:val="nil"/>
              <w:left w:val="nil"/>
              <w:bottom w:val="single" w:sz="8" w:space="0" w:color="5B9BD5"/>
              <w:right w:val="nil"/>
            </w:tcBorders>
            <w:shd w:val="clear" w:color="auto" w:fill="auto"/>
            <w:vAlign w:val="center"/>
            <w:hideMark/>
          </w:tcPr>
          <w:p w14:paraId="716664B4" w14:textId="77777777" w:rsidR="00A92637" w:rsidRPr="00A92637" w:rsidRDefault="00A92637" w:rsidP="00A92637">
            <w:pPr>
              <w:spacing w:after="0" w:line="240" w:lineRule="auto"/>
              <w:jc w:val="right"/>
              <w:rPr>
                <w:rFonts w:ascii="Aptos Narrow" w:eastAsia="Times New Roman" w:hAnsi="Aptos Narrow" w:cs="Times New Roman"/>
                <w:b/>
                <w:bCs/>
                <w:color w:val="000000"/>
                <w:sz w:val="16"/>
                <w:szCs w:val="16"/>
              </w:rPr>
            </w:pPr>
            <w:r w:rsidRPr="00A92637">
              <w:rPr>
                <w:rFonts w:ascii="Aptos Narrow" w:eastAsia="Times New Roman" w:hAnsi="Aptos Narrow" w:cs="Times New Roman"/>
                <w:b/>
                <w:bCs/>
                <w:color w:val="000000"/>
                <w:sz w:val="16"/>
                <w:szCs w:val="16"/>
              </w:rPr>
              <w:t>31/03/2023</w:t>
            </w:r>
          </w:p>
        </w:tc>
      </w:tr>
      <w:tr w:rsidR="00A92637" w:rsidRPr="00A92637" w14:paraId="5E051783" w14:textId="77777777" w:rsidTr="008E0AF4">
        <w:trPr>
          <w:trHeight w:val="227"/>
        </w:trPr>
        <w:tc>
          <w:tcPr>
            <w:tcW w:w="6942" w:type="dxa"/>
            <w:tcBorders>
              <w:top w:val="nil"/>
              <w:left w:val="nil"/>
              <w:bottom w:val="single" w:sz="8" w:space="0" w:color="5B9BD5"/>
              <w:right w:val="nil"/>
            </w:tcBorders>
            <w:shd w:val="clear" w:color="000000" w:fill="DAE9F8"/>
            <w:noWrap/>
            <w:vAlign w:val="center"/>
            <w:hideMark/>
          </w:tcPr>
          <w:p w14:paraId="21D8146C" w14:textId="77777777" w:rsidR="00A92637" w:rsidRPr="00A92637" w:rsidRDefault="00A92637" w:rsidP="00A92637">
            <w:pPr>
              <w:spacing w:after="0" w:line="240" w:lineRule="auto"/>
              <w:rPr>
                <w:rFonts w:ascii="Aptos Narrow" w:eastAsia="Times New Roman" w:hAnsi="Aptos Narrow" w:cs="Times New Roman"/>
                <w:b/>
                <w:bCs/>
                <w:color w:val="000000"/>
                <w:sz w:val="16"/>
                <w:szCs w:val="16"/>
              </w:rPr>
            </w:pPr>
            <w:r w:rsidRPr="00A92637">
              <w:rPr>
                <w:rFonts w:ascii="Aptos Narrow" w:eastAsia="Times New Roman" w:hAnsi="Aptos Narrow" w:cs="Times New Roman"/>
                <w:b/>
                <w:bCs/>
                <w:color w:val="000000"/>
                <w:sz w:val="16"/>
                <w:szCs w:val="16"/>
              </w:rPr>
              <w:t>Lucro/Prejuízo Líquido do Período</w:t>
            </w:r>
          </w:p>
        </w:tc>
        <w:tc>
          <w:tcPr>
            <w:tcW w:w="1134" w:type="dxa"/>
            <w:tcBorders>
              <w:top w:val="nil"/>
              <w:left w:val="nil"/>
              <w:bottom w:val="single" w:sz="8" w:space="0" w:color="5B9BD5"/>
              <w:right w:val="nil"/>
            </w:tcBorders>
            <w:shd w:val="clear" w:color="000000" w:fill="DAE9F8"/>
            <w:noWrap/>
            <w:vAlign w:val="center"/>
            <w:hideMark/>
          </w:tcPr>
          <w:p w14:paraId="79944069" w14:textId="55871C34" w:rsidR="00A92637" w:rsidRPr="00A92637" w:rsidRDefault="00A92637" w:rsidP="00A92637">
            <w:pPr>
              <w:spacing w:after="0" w:line="240" w:lineRule="auto"/>
              <w:jc w:val="right"/>
              <w:rPr>
                <w:rFonts w:ascii="Aptos Narrow" w:eastAsia="Times New Roman" w:hAnsi="Aptos Narrow" w:cs="Times New Roman"/>
                <w:b/>
                <w:bCs/>
                <w:color w:val="000000"/>
                <w:sz w:val="16"/>
                <w:szCs w:val="16"/>
              </w:rPr>
            </w:pPr>
            <w:r w:rsidRPr="00A92637">
              <w:rPr>
                <w:rFonts w:ascii="Aptos Narrow" w:eastAsia="Times New Roman" w:hAnsi="Aptos Narrow" w:cs="Times New Roman"/>
                <w:b/>
                <w:bCs/>
                <w:color w:val="000000"/>
                <w:sz w:val="16"/>
                <w:szCs w:val="16"/>
              </w:rPr>
              <w:t xml:space="preserve"> 31.212.137 </w:t>
            </w:r>
          </w:p>
        </w:tc>
        <w:tc>
          <w:tcPr>
            <w:tcW w:w="1134" w:type="dxa"/>
            <w:tcBorders>
              <w:top w:val="nil"/>
              <w:left w:val="nil"/>
              <w:bottom w:val="single" w:sz="8" w:space="0" w:color="5B9BD5"/>
              <w:right w:val="nil"/>
            </w:tcBorders>
            <w:shd w:val="clear" w:color="000000" w:fill="DAE9F8"/>
            <w:noWrap/>
            <w:vAlign w:val="center"/>
            <w:hideMark/>
          </w:tcPr>
          <w:p w14:paraId="4777E7D1" w14:textId="22DDCCA8" w:rsidR="00A92637" w:rsidRPr="00A92637" w:rsidRDefault="00A92637" w:rsidP="00A92637">
            <w:pPr>
              <w:spacing w:after="0" w:line="240" w:lineRule="auto"/>
              <w:jc w:val="right"/>
              <w:rPr>
                <w:rFonts w:ascii="Aptos Narrow" w:eastAsia="Times New Roman" w:hAnsi="Aptos Narrow" w:cs="Times New Roman"/>
                <w:b/>
                <w:bCs/>
                <w:color w:val="000000"/>
                <w:sz w:val="16"/>
                <w:szCs w:val="16"/>
              </w:rPr>
            </w:pPr>
            <w:r w:rsidRPr="00A92637">
              <w:rPr>
                <w:rFonts w:ascii="Aptos Narrow" w:eastAsia="Times New Roman" w:hAnsi="Aptos Narrow" w:cs="Times New Roman"/>
                <w:b/>
                <w:bCs/>
                <w:color w:val="000000"/>
                <w:sz w:val="16"/>
                <w:szCs w:val="16"/>
              </w:rPr>
              <w:t xml:space="preserve"> (202.066)</w:t>
            </w:r>
          </w:p>
        </w:tc>
      </w:tr>
      <w:tr w:rsidR="00A92637" w:rsidRPr="00A92637" w14:paraId="4B6D2A67" w14:textId="77777777" w:rsidTr="008E0AF4">
        <w:trPr>
          <w:trHeight w:val="227"/>
        </w:trPr>
        <w:tc>
          <w:tcPr>
            <w:tcW w:w="6942" w:type="dxa"/>
            <w:tcBorders>
              <w:top w:val="nil"/>
              <w:left w:val="nil"/>
              <w:bottom w:val="single" w:sz="8" w:space="0" w:color="5B9BD5"/>
              <w:right w:val="nil"/>
            </w:tcBorders>
            <w:shd w:val="clear" w:color="auto" w:fill="auto"/>
            <w:noWrap/>
            <w:vAlign w:val="center"/>
            <w:hideMark/>
          </w:tcPr>
          <w:p w14:paraId="0463ED96" w14:textId="47DD2774" w:rsidR="00A92637" w:rsidRPr="00A92637" w:rsidRDefault="004C1518" w:rsidP="00A92637">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A92637" w:rsidRPr="00A92637">
              <w:rPr>
                <w:rFonts w:ascii="Calibri" w:eastAsia="Times New Roman" w:hAnsi="Calibri" w:cs="Calibri"/>
                <w:color w:val="000000"/>
                <w:sz w:val="16"/>
                <w:szCs w:val="16"/>
              </w:rPr>
              <w:t>Ajustes de Exercícios Anteriores</w:t>
            </w:r>
          </w:p>
        </w:tc>
        <w:tc>
          <w:tcPr>
            <w:tcW w:w="1134" w:type="dxa"/>
            <w:tcBorders>
              <w:top w:val="nil"/>
              <w:left w:val="nil"/>
              <w:bottom w:val="single" w:sz="8" w:space="0" w:color="5B9BD5"/>
              <w:right w:val="nil"/>
            </w:tcBorders>
            <w:shd w:val="clear" w:color="auto" w:fill="auto"/>
            <w:noWrap/>
            <w:vAlign w:val="center"/>
            <w:hideMark/>
          </w:tcPr>
          <w:p w14:paraId="089E43AD" w14:textId="57538091" w:rsidR="00A92637" w:rsidRPr="00A92637" w:rsidRDefault="00A92637" w:rsidP="00A92637">
            <w:pPr>
              <w:spacing w:after="0" w:line="240" w:lineRule="auto"/>
              <w:jc w:val="right"/>
              <w:rPr>
                <w:rFonts w:ascii="Aptos Narrow" w:eastAsia="Times New Roman" w:hAnsi="Aptos Narrow" w:cs="Times New Roman"/>
                <w:color w:val="000000"/>
                <w:sz w:val="16"/>
                <w:szCs w:val="16"/>
              </w:rPr>
            </w:pPr>
            <w:r w:rsidRPr="00A92637">
              <w:rPr>
                <w:rFonts w:ascii="Aptos Narrow" w:eastAsia="Times New Roman" w:hAnsi="Aptos Narrow" w:cs="Times New Roman"/>
                <w:color w:val="000000"/>
                <w:sz w:val="16"/>
                <w:szCs w:val="16"/>
              </w:rPr>
              <w:t xml:space="preserve">- </w:t>
            </w:r>
          </w:p>
        </w:tc>
        <w:tc>
          <w:tcPr>
            <w:tcW w:w="1134" w:type="dxa"/>
            <w:tcBorders>
              <w:top w:val="nil"/>
              <w:left w:val="nil"/>
              <w:bottom w:val="single" w:sz="8" w:space="0" w:color="5B9BD5"/>
              <w:right w:val="nil"/>
            </w:tcBorders>
            <w:shd w:val="clear" w:color="auto" w:fill="auto"/>
            <w:noWrap/>
            <w:vAlign w:val="center"/>
            <w:hideMark/>
          </w:tcPr>
          <w:p w14:paraId="3A96EF75" w14:textId="39780F32" w:rsidR="00A92637" w:rsidRPr="00A92637" w:rsidRDefault="00A92637" w:rsidP="00A92637">
            <w:pPr>
              <w:spacing w:after="0" w:line="240" w:lineRule="auto"/>
              <w:jc w:val="right"/>
              <w:rPr>
                <w:rFonts w:ascii="Aptos Narrow" w:eastAsia="Times New Roman" w:hAnsi="Aptos Narrow" w:cs="Times New Roman"/>
                <w:color w:val="000000"/>
                <w:sz w:val="16"/>
                <w:szCs w:val="16"/>
              </w:rPr>
            </w:pPr>
            <w:r w:rsidRPr="00A92637">
              <w:rPr>
                <w:rFonts w:ascii="Aptos Narrow" w:eastAsia="Times New Roman" w:hAnsi="Aptos Narrow" w:cs="Times New Roman"/>
                <w:color w:val="000000"/>
                <w:sz w:val="16"/>
                <w:szCs w:val="16"/>
              </w:rPr>
              <w:t>(3.262.788)</w:t>
            </w:r>
          </w:p>
        </w:tc>
      </w:tr>
      <w:tr w:rsidR="00A92637" w:rsidRPr="00A92637" w14:paraId="74386FAA" w14:textId="77777777" w:rsidTr="008E0AF4">
        <w:trPr>
          <w:trHeight w:val="227"/>
        </w:trPr>
        <w:tc>
          <w:tcPr>
            <w:tcW w:w="6942" w:type="dxa"/>
            <w:tcBorders>
              <w:top w:val="nil"/>
              <w:left w:val="nil"/>
              <w:bottom w:val="single" w:sz="8" w:space="0" w:color="5B9BD5"/>
              <w:right w:val="nil"/>
            </w:tcBorders>
            <w:shd w:val="clear" w:color="000000" w:fill="DAE9F8"/>
            <w:noWrap/>
            <w:vAlign w:val="center"/>
            <w:hideMark/>
          </w:tcPr>
          <w:p w14:paraId="36009586" w14:textId="77777777" w:rsidR="00A92637" w:rsidRPr="00A92637" w:rsidRDefault="00A92637" w:rsidP="00A92637">
            <w:pPr>
              <w:spacing w:after="0" w:line="240" w:lineRule="auto"/>
              <w:rPr>
                <w:rFonts w:ascii="Calibri" w:eastAsia="Times New Roman" w:hAnsi="Calibri" w:cs="Calibri"/>
                <w:b/>
                <w:bCs/>
                <w:color w:val="000000"/>
                <w:sz w:val="16"/>
                <w:szCs w:val="16"/>
              </w:rPr>
            </w:pPr>
            <w:r w:rsidRPr="00A92637">
              <w:rPr>
                <w:rFonts w:ascii="Calibri" w:eastAsia="Times New Roman" w:hAnsi="Calibri" w:cs="Calibri"/>
                <w:b/>
                <w:bCs/>
                <w:color w:val="000000"/>
                <w:sz w:val="16"/>
                <w:szCs w:val="16"/>
              </w:rPr>
              <w:t>Resultado Líquido Abrangente do Período</w:t>
            </w:r>
          </w:p>
        </w:tc>
        <w:tc>
          <w:tcPr>
            <w:tcW w:w="1134" w:type="dxa"/>
            <w:tcBorders>
              <w:top w:val="nil"/>
              <w:left w:val="nil"/>
              <w:bottom w:val="single" w:sz="8" w:space="0" w:color="5B9BD5"/>
              <w:right w:val="nil"/>
            </w:tcBorders>
            <w:shd w:val="clear" w:color="000000" w:fill="DAE9F8"/>
            <w:noWrap/>
            <w:vAlign w:val="center"/>
            <w:hideMark/>
          </w:tcPr>
          <w:p w14:paraId="4F7502EE" w14:textId="4DEBC6CE" w:rsidR="00A92637" w:rsidRPr="00A92637" w:rsidRDefault="00A92637" w:rsidP="00A92637">
            <w:pPr>
              <w:spacing w:after="0" w:line="240" w:lineRule="auto"/>
              <w:jc w:val="right"/>
              <w:rPr>
                <w:rFonts w:ascii="Calibri" w:eastAsia="Times New Roman" w:hAnsi="Calibri" w:cs="Calibri"/>
                <w:b/>
                <w:bCs/>
                <w:color w:val="000000"/>
                <w:sz w:val="16"/>
                <w:szCs w:val="16"/>
              </w:rPr>
            </w:pPr>
            <w:r w:rsidRPr="00A92637">
              <w:rPr>
                <w:rFonts w:ascii="Calibri" w:eastAsia="Times New Roman" w:hAnsi="Calibri" w:cs="Calibri"/>
                <w:b/>
                <w:bCs/>
                <w:color w:val="000000"/>
                <w:sz w:val="16"/>
                <w:szCs w:val="16"/>
              </w:rPr>
              <w:t xml:space="preserve"> 31.212.137 </w:t>
            </w:r>
          </w:p>
        </w:tc>
        <w:tc>
          <w:tcPr>
            <w:tcW w:w="1134" w:type="dxa"/>
            <w:tcBorders>
              <w:top w:val="nil"/>
              <w:left w:val="nil"/>
              <w:bottom w:val="single" w:sz="8" w:space="0" w:color="5B9BD5"/>
              <w:right w:val="nil"/>
            </w:tcBorders>
            <w:shd w:val="clear" w:color="000000" w:fill="DAE9F8"/>
            <w:noWrap/>
            <w:vAlign w:val="center"/>
            <w:hideMark/>
          </w:tcPr>
          <w:p w14:paraId="56FE48B7" w14:textId="6936BE46" w:rsidR="00A92637" w:rsidRPr="00A92637" w:rsidRDefault="00A92637" w:rsidP="00A92637">
            <w:pPr>
              <w:spacing w:after="0" w:line="240" w:lineRule="auto"/>
              <w:jc w:val="right"/>
              <w:rPr>
                <w:rFonts w:ascii="Calibri" w:eastAsia="Times New Roman" w:hAnsi="Calibri" w:cs="Calibri"/>
                <w:b/>
                <w:bCs/>
                <w:color w:val="000000"/>
                <w:sz w:val="16"/>
                <w:szCs w:val="16"/>
              </w:rPr>
            </w:pPr>
            <w:r w:rsidRPr="00A92637">
              <w:rPr>
                <w:rFonts w:ascii="Calibri" w:eastAsia="Times New Roman" w:hAnsi="Calibri" w:cs="Calibri"/>
                <w:b/>
                <w:bCs/>
                <w:color w:val="000000"/>
                <w:sz w:val="16"/>
                <w:szCs w:val="16"/>
              </w:rPr>
              <w:t>(3.464.854)</w:t>
            </w:r>
          </w:p>
        </w:tc>
      </w:tr>
    </w:tbl>
    <w:p w14:paraId="773A93FA" w14:textId="77777777" w:rsidR="008B2D63" w:rsidRDefault="008B2D63" w:rsidP="00094403"/>
    <w:p w14:paraId="1DC3B203" w14:textId="276441E6" w:rsidR="00FA451E" w:rsidRPr="00594A14" w:rsidRDefault="00594A14" w:rsidP="00594A14">
      <w:pPr>
        <w:spacing w:after="0" w:line="240" w:lineRule="auto"/>
        <w:jc w:val="center"/>
        <w:rPr>
          <w:rFonts w:ascii="Aptos Narrow" w:eastAsia="Times New Roman" w:hAnsi="Aptos Narrow" w:cs="Calibri"/>
          <w:color w:val="000000"/>
          <w:sz w:val="16"/>
          <w:szCs w:val="16"/>
        </w:rPr>
      </w:pPr>
      <w:r w:rsidRPr="00594A14">
        <w:rPr>
          <w:rFonts w:ascii="Aptos Narrow" w:eastAsia="Times New Roman" w:hAnsi="Aptos Narrow" w:cs="Calibri"/>
          <w:color w:val="000000"/>
          <w:sz w:val="16"/>
          <w:szCs w:val="16"/>
        </w:rPr>
        <w:t>(As Notas Explicativas são parte integrante das demonstrações financeiras)</w:t>
      </w:r>
    </w:p>
    <w:p w14:paraId="0AC34F29" w14:textId="77777777" w:rsidR="00FA451E" w:rsidRDefault="00FA451E" w:rsidP="00094403"/>
    <w:p w14:paraId="3EEDEBF9" w14:textId="77777777" w:rsidR="003F5321" w:rsidRDefault="003F5321" w:rsidP="00094403"/>
    <w:p w14:paraId="78CCF4B4" w14:textId="77777777" w:rsidR="00294022" w:rsidRDefault="00294022" w:rsidP="00094403"/>
    <w:p w14:paraId="72A5DD3A" w14:textId="77777777" w:rsidR="00B44E6F" w:rsidRDefault="00B44E6F" w:rsidP="00094403"/>
    <w:p w14:paraId="0593C1E7" w14:textId="77777777" w:rsidR="00B44E6F" w:rsidRDefault="00B44E6F" w:rsidP="00094403"/>
    <w:p w14:paraId="5024F26F" w14:textId="77777777" w:rsidR="00083F54" w:rsidRDefault="00083F54">
      <w:pPr>
        <w:rPr>
          <w:rStyle w:val="Ttulo2Char"/>
        </w:rPr>
      </w:pPr>
      <w:r>
        <w:rPr>
          <w:rStyle w:val="Ttulo2Char"/>
        </w:rPr>
        <w:br w:type="page"/>
      </w:r>
    </w:p>
    <w:p w14:paraId="70FC1C43" w14:textId="77777777" w:rsidR="00E946D5" w:rsidRDefault="00602110" w:rsidP="00E06A3E">
      <w:pPr>
        <w:pStyle w:val="Ttulo2"/>
        <w:spacing w:after="0"/>
        <w:rPr>
          <w:rStyle w:val="Ttulo2Char"/>
        </w:rPr>
      </w:pPr>
      <w:bookmarkStart w:id="5" w:name="_Toc184926658"/>
      <w:r w:rsidRPr="008A09CF">
        <w:lastRenderedPageBreak/>
        <w:t>Demonstração do Fluxo de Caixa</w:t>
      </w:r>
      <w:bookmarkEnd w:id="5"/>
    </w:p>
    <w:p w14:paraId="307DFDBF" w14:textId="60A03A40" w:rsidR="00602110" w:rsidRPr="00602110" w:rsidRDefault="00602110" w:rsidP="00602110">
      <w:pPr>
        <w:spacing w:after="240" w:line="240" w:lineRule="auto"/>
        <w:rPr>
          <w:rFonts w:ascii="Calibri" w:eastAsia="Times New Roman" w:hAnsi="Calibri" w:cs="Calibri"/>
          <w:i/>
          <w:iCs/>
          <w:color w:val="2F75B5"/>
          <w:sz w:val="16"/>
          <w:szCs w:val="16"/>
        </w:rPr>
      </w:pPr>
      <w:r w:rsidRPr="00044087">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w:t>
      </w:r>
      <w:r w:rsidRPr="00044087">
        <w:rPr>
          <w:rFonts w:ascii="Calibri" w:eastAsia="Times New Roman" w:hAnsi="Calibri" w:cs="Calibri"/>
          <w:color w:val="2F75B5"/>
          <w:sz w:val="16"/>
          <w:szCs w:val="16"/>
        </w:rPr>
        <w:t xml:space="preserve"> de 202</w:t>
      </w:r>
      <w:r>
        <w:rPr>
          <w:rFonts w:ascii="Calibri" w:eastAsia="Times New Roman" w:hAnsi="Calibri" w:cs="Calibri"/>
          <w:color w:val="2F75B5"/>
          <w:sz w:val="16"/>
          <w:szCs w:val="16"/>
        </w:rPr>
        <w:t>4</w:t>
      </w:r>
      <w:r w:rsidRPr="00044087">
        <w:rPr>
          <w:rFonts w:ascii="Calibri" w:eastAsia="Times New Roman" w:hAnsi="Calibri" w:cs="Calibri"/>
          <w:color w:val="2F75B5"/>
          <w:sz w:val="16"/>
          <w:szCs w:val="16"/>
        </w:rPr>
        <w:t xml:space="preserve"> e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 de</w:t>
      </w:r>
      <w:r w:rsidRPr="00044087">
        <w:rPr>
          <w:rFonts w:ascii="Calibri" w:eastAsia="Times New Roman" w:hAnsi="Calibri" w:cs="Calibri"/>
          <w:color w:val="2F75B5"/>
          <w:sz w:val="16"/>
          <w:szCs w:val="16"/>
        </w:rPr>
        <w:t xml:space="preserve"> 202</w:t>
      </w:r>
      <w:r>
        <w:rPr>
          <w:rFonts w:ascii="Calibri" w:eastAsia="Times New Roman" w:hAnsi="Calibri" w:cs="Calibri"/>
          <w:color w:val="2F75B5"/>
          <w:sz w:val="16"/>
          <w:szCs w:val="16"/>
        </w:rPr>
        <w:t>3</w:t>
      </w:r>
      <w:r w:rsidRPr="00044087">
        <w:rPr>
          <w:rFonts w:ascii="Calibri" w:eastAsia="Times New Roman" w:hAnsi="Calibri" w:cs="Calibri"/>
          <w:color w:val="2F75B5"/>
          <w:sz w:val="16"/>
          <w:szCs w:val="16"/>
        </w:rPr>
        <w:br/>
      </w:r>
      <w:r>
        <w:rPr>
          <w:rFonts w:ascii="Calibri" w:eastAsia="Times New Roman" w:hAnsi="Calibri" w:cs="Calibri"/>
          <w:i/>
          <w:iCs/>
          <w:color w:val="2F75B5"/>
          <w:sz w:val="16"/>
          <w:szCs w:val="16"/>
        </w:rPr>
        <w:t xml:space="preserve">Método Indireto - </w:t>
      </w:r>
      <w:r w:rsidRPr="00454736">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7849"/>
        <w:gridCol w:w="1288"/>
        <w:gridCol w:w="1330"/>
      </w:tblGrid>
      <w:tr w:rsidR="00E1085B" w:rsidRPr="00E1085B" w14:paraId="7C871657" w14:textId="77777777" w:rsidTr="00E1085B">
        <w:trPr>
          <w:trHeight w:val="227"/>
        </w:trPr>
        <w:tc>
          <w:tcPr>
            <w:tcW w:w="6909" w:type="dxa"/>
            <w:tcBorders>
              <w:top w:val="nil"/>
              <w:left w:val="nil"/>
              <w:bottom w:val="single" w:sz="8" w:space="0" w:color="156082"/>
              <w:right w:val="nil"/>
            </w:tcBorders>
            <w:shd w:val="clear" w:color="auto" w:fill="auto"/>
            <w:noWrap/>
            <w:vAlign w:val="center"/>
            <w:hideMark/>
          </w:tcPr>
          <w:p w14:paraId="1D86EFFA" w14:textId="77777777" w:rsidR="00E1085B" w:rsidRPr="00E1085B" w:rsidRDefault="00E1085B" w:rsidP="00E1085B">
            <w:pPr>
              <w:spacing w:after="0" w:line="240" w:lineRule="auto"/>
              <w:rPr>
                <w:rFonts w:ascii="Calibri" w:eastAsia="Times New Roman" w:hAnsi="Calibri" w:cs="Calibri"/>
                <w:color w:val="000000"/>
                <w:sz w:val="16"/>
                <w:szCs w:val="16"/>
              </w:rPr>
            </w:pPr>
            <w:r w:rsidRPr="00E1085B">
              <w:rPr>
                <w:rFonts w:ascii="Calibri" w:eastAsia="Times New Roman" w:hAnsi="Calibri" w:cs="Calibri"/>
                <w:color w:val="000000"/>
                <w:sz w:val="16"/>
                <w:szCs w:val="16"/>
              </w:rPr>
              <w:t> </w:t>
            </w:r>
          </w:p>
        </w:tc>
        <w:tc>
          <w:tcPr>
            <w:tcW w:w="1134" w:type="dxa"/>
            <w:tcBorders>
              <w:top w:val="nil"/>
              <w:left w:val="nil"/>
              <w:bottom w:val="single" w:sz="8" w:space="0" w:color="156082"/>
              <w:right w:val="nil"/>
            </w:tcBorders>
            <w:shd w:val="clear" w:color="auto" w:fill="auto"/>
            <w:vAlign w:val="center"/>
            <w:hideMark/>
          </w:tcPr>
          <w:p w14:paraId="5CB0FE1E" w14:textId="77777777" w:rsidR="00E1085B" w:rsidRPr="00E1085B" w:rsidRDefault="00E1085B" w:rsidP="00E1085B">
            <w:pPr>
              <w:spacing w:after="0" w:line="240" w:lineRule="auto"/>
              <w:jc w:val="right"/>
              <w:rPr>
                <w:rFonts w:ascii="Calibri" w:eastAsia="Times New Roman" w:hAnsi="Calibri" w:cs="Calibri"/>
                <w:b/>
                <w:bCs/>
                <w:color w:val="000000"/>
                <w:sz w:val="16"/>
                <w:szCs w:val="16"/>
              </w:rPr>
            </w:pPr>
            <w:r w:rsidRPr="00E1085B">
              <w:rPr>
                <w:rFonts w:ascii="Calibri" w:eastAsia="Times New Roman" w:hAnsi="Calibri" w:cs="Calibri"/>
                <w:b/>
                <w:bCs/>
                <w:color w:val="000000"/>
                <w:sz w:val="16"/>
                <w:szCs w:val="16"/>
              </w:rPr>
              <w:t>01/01/2024 a</w:t>
            </w:r>
            <w:r w:rsidRPr="00E1085B">
              <w:rPr>
                <w:rFonts w:ascii="Calibri" w:eastAsia="Times New Roman" w:hAnsi="Calibri" w:cs="Calibri"/>
                <w:b/>
                <w:bCs/>
                <w:color w:val="000000"/>
                <w:sz w:val="16"/>
                <w:szCs w:val="16"/>
              </w:rPr>
              <w:br/>
              <w:t> 31/03/2024</w:t>
            </w:r>
          </w:p>
        </w:tc>
        <w:tc>
          <w:tcPr>
            <w:tcW w:w="1134" w:type="dxa"/>
            <w:tcBorders>
              <w:top w:val="nil"/>
              <w:left w:val="nil"/>
              <w:bottom w:val="single" w:sz="8" w:space="0" w:color="156082"/>
              <w:right w:val="nil"/>
            </w:tcBorders>
            <w:shd w:val="clear" w:color="auto" w:fill="auto"/>
            <w:vAlign w:val="center"/>
            <w:hideMark/>
          </w:tcPr>
          <w:p w14:paraId="0D11BCDD" w14:textId="001067F8"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01/01/2023 a </w:t>
            </w:r>
            <w:r w:rsidRPr="00E1085B">
              <w:rPr>
                <w:rFonts w:ascii="Calibri" w:eastAsia="Times New Roman" w:hAnsi="Calibri" w:cs="Calibri"/>
                <w:b/>
                <w:bCs/>
                <w:sz w:val="16"/>
                <w:szCs w:val="16"/>
              </w:rPr>
              <w:br/>
              <w:t> 31/03/2023 (Reclassificado)</w:t>
            </w:r>
          </w:p>
        </w:tc>
      </w:tr>
      <w:tr w:rsidR="00E1085B" w:rsidRPr="00E1085B" w14:paraId="67903041" w14:textId="77777777" w:rsidTr="00E1085B">
        <w:trPr>
          <w:trHeight w:val="227"/>
        </w:trPr>
        <w:tc>
          <w:tcPr>
            <w:tcW w:w="6909" w:type="dxa"/>
            <w:tcBorders>
              <w:top w:val="nil"/>
              <w:left w:val="nil"/>
              <w:bottom w:val="nil"/>
              <w:right w:val="nil"/>
            </w:tcBorders>
            <w:shd w:val="clear" w:color="auto" w:fill="auto"/>
            <w:noWrap/>
            <w:vAlign w:val="bottom"/>
            <w:hideMark/>
          </w:tcPr>
          <w:p w14:paraId="65710050" w14:textId="77777777" w:rsidR="00E1085B" w:rsidRPr="00E1085B" w:rsidRDefault="00E1085B" w:rsidP="00E1085B">
            <w:pPr>
              <w:spacing w:after="0" w:line="240" w:lineRule="auto"/>
              <w:jc w:val="right"/>
              <w:rPr>
                <w:rFonts w:ascii="Calibri" w:eastAsia="Times New Roman" w:hAnsi="Calibri" w:cs="Calibri"/>
                <w:b/>
                <w:bCs/>
                <w:sz w:val="16"/>
                <w:szCs w:val="16"/>
              </w:rPr>
            </w:pPr>
          </w:p>
        </w:tc>
        <w:tc>
          <w:tcPr>
            <w:tcW w:w="1134" w:type="dxa"/>
            <w:tcBorders>
              <w:top w:val="nil"/>
              <w:left w:val="nil"/>
              <w:bottom w:val="nil"/>
              <w:right w:val="nil"/>
            </w:tcBorders>
            <w:shd w:val="clear" w:color="auto" w:fill="auto"/>
            <w:vAlign w:val="bottom"/>
            <w:hideMark/>
          </w:tcPr>
          <w:p w14:paraId="3B25EEE1"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394A0435"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4513E63B" w14:textId="77777777" w:rsidTr="00E1085B">
        <w:trPr>
          <w:trHeight w:val="227"/>
        </w:trPr>
        <w:tc>
          <w:tcPr>
            <w:tcW w:w="6909" w:type="dxa"/>
            <w:tcBorders>
              <w:top w:val="nil"/>
              <w:left w:val="nil"/>
              <w:bottom w:val="nil"/>
              <w:right w:val="nil"/>
            </w:tcBorders>
            <w:shd w:val="clear" w:color="auto" w:fill="auto"/>
            <w:noWrap/>
            <w:vAlign w:val="bottom"/>
            <w:hideMark/>
          </w:tcPr>
          <w:p w14:paraId="21982700" w14:textId="77777777" w:rsidR="00E1085B" w:rsidRPr="00E1085B" w:rsidRDefault="00E1085B" w:rsidP="00E1085B">
            <w:pPr>
              <w:spacing w:after="0" w:line="240" w:lineRule="auto"/>
              <w:jc w:val="center"/>
              <w:rPr>
                <w:rFonts w:ascii="Calibri" w:eastAsia="Times New Roman" w:hAnsi="Calibri" w:cs="Calibri"/>
                <w:b/>
                <w:bCs/>
                <w:sz w:val="16"/>
                <w:szCs w:val="16"/>
              </w:rPr>
            </w:pPr>
            <w:r w:rsidRPr="00E1085B">
              <w:rPr>
                <w:rFonts w:ascii="Calibri" w:eastAsia="Times New Roman" w:hAnsi="Calibri" w:cs="Calibri"/>
                <w:b/>
                <w:bCs/>
                <w:sz w:val="16"/>
                <w:szCs w:val="16"/>
              </w:rPr>
              <w:t xml:space="preserve"> FLUXOS DE CAIXA DAS ATIVIDADES OPERACIONAIS </w:t>
            </w:r>
          </w:p>
        </w:tc>
        <w:tc>
          <w:tcPr>
            <w:tcW w:w="1134" w:type="dxa"/>
            <w:tcBorders>
              <w:top w:val="nil"/>
              <w:left w:val="nil"/>
              <w:bottom w:val="nil"/>
              <w:right w:val="nil"/>
            </w:tcBorders>
            <w:shd w:val="clear" w:color="auto" w:fill="auto"/>
            <w:noWrap/>
            <w:vAlign w:val="bottom"/>
            <w:hideMark/>
          </w:tcPr>
          <w:p w14:paraId="651CE85D" w14:textId="77777777" w:rsidR="00E1085B" w:rsidRPr="00E1085B" w:rsidRDefault="00E1085B" w:rsidP="00E1085B">
            <w:pPr>
              <w:spacing w:after="0" w:line="240" w:lineRule="auto"/>
              <w:jc w:val="right"/>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210B2EEC"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447CF68C" w14:textId="77777777" w:rsidTr="00E1085B">
        <w:trPr>
          <w:trHeight w:val="227"/>
        </w:trPr>
        <w:tc>
          <w:tcPr>
            <w:tcW w:w="6909" w:type="dxa"/>
            <w:tcBorders>
              <w:top w:val="nil"/>
              <w:left w:val="nil"/>
              <w:bottom w:val="nil"/>
              <w:right w:val="nil"/>
            </w:tcBorders>
            <w:shd w:val="clear" w:color="auto" w:fill="auto"/>
            <w:noWrap/>
            <w:vAlign w:val="bottom"/>
            <w:hideMark/>
          </w:tcPr>
          <w:p w14:paraId="27743EC0" w14:textId="77777777" w:rsidR="00E1085B" w:rsidRPr="00E1085B" w:rsidRDefault="00E1085B" w:rsidP="00E1085B">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31981302"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321E039A"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41923DB0" w14:textId="77777777" w:rsidTr="00E1085B">
        <w:trPr>
          <w:trHeight w:val="227"/>
        </w:trPr>
        <w:tc>
          <w:tcPr>
            <w:tcW w:w="6909" w:type="dxa"/>
            <w:tcBorders>
              <w:top w:val="nil"/>
              <w:left w:val="nil"/>
              <w:bottom w:val="nil"/>
              <w:right w:val="nil"/>
            </w:tcBorders>
            <w:shd w:val="clear" w:color="auto" w:fill="auto"/>
            <w:noWrap/>
            <w:vAlign w:val="bottom"/>
            <w:hideMark/>
          </w:tcPr>
          <w:p w14:paraId="090B3D44" w14:textId="040A898F"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Resultado do Exercício antes dos Tributos s/ Lucro (IR/CSLL) </w:t>
            </w:r>
          </w:p>
        </w:tc>
        <w:tc>
          <w:tcPr>
            <w:tcW w:w="1134" w:type="dxa"/>
            <w:tcBorders>
              <w:top w:val="nil"/>
              <w:left w:val="nil"/>
              <w:bottom w:val="nil"/>
              <w:right w:val="nil"/>
            </w:tcBorders>
            <w:shd w:val="clear" w:color="auto" w:fill="auto"/>
            <w:noWrap/>
            <w:vAlign w:val="bottom"/>
            <w:hideMark/>
          </w:tcPr>
          <w:p w14:paraId="0F3A1C78" w14:textId="1BBC647F"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33.968.020 </w:t>
            </w:r>
          </w:p>
        </w:tc>
        <w:tc>
          <w:tcPr>
            <w:tcW w:w="1134" w:type="dxa"/>
            <w:tcBorders>
              <w:top w:val="nil"/>
              <w:left w:val="nil"/>
              <w:bottom w:val="nil"/>
              <w:right w:val="nil"/>
            </w:tcBorders>
            <w:shd w:val="clear" w:color="auto" w:fill="auto"/>
            <w:noWrap/>
            <w:vAlign w:val="bottom"/>
            <w:hideMark/>
          </w:tcPr>
          <w:p w14:paraId="4362D500" w14:textId="4082749C"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(202.066)</w:t>
            </w:r>
          </w:p>
        </w:tc>
      </w:tr>
      <w:tr w:rsidR="00E1085B" w:rsidRPr="00E1085B" w14:paraId="68A2D13F" w14:textId="77777777" w:rsidTr="00E1085B">
        <w:trPr>
          <w:trHeight w:val="227"/>
        </w:trPr>
        <w:tc>
          <w:tcPr>
            <w:tcW w:w="6909" w:type="dxa"/>
            <w:tcBorders>
              <w:top w:val="nil"/>
              <w:left w:val="nil"/>
              <w:bottom w:val="nil"/>
              <w:right w:val="nil"/>
            </w:tcBorders>
            <w:shd w:val="clear" w:color="auto" w:fill="auto"/>
            <w:noWrap/>
            <w:vAlign w:val="bottom"/>
            <w:hideMark/>
          </w:tcPr>
          <w:p w14:paraId="225556DD" w14:textId="77777777" w:rsidR="00E1085B" w:rsidRPr="00E1085B" w:rsidRDefault="00E1085B" w:rsidP="00E1085B">
            <w:pPr>
              <w:spacing w:after="0" w:line="240" w:lineRule="auto"/>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3EF23287"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6C894181"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B7C9A29" w14:textId="77777777" w:rsidTr="00E1085B">
        <w:trPr>
          <w:trHeight w:val="227"/>
        </w:trPr>
        <w:tc>
          <w:tcPr>
            <w:tcW w:w="6909" w:type="dxa"/>
            <w:tcBorders>
              <w:top w:val="nil"/>
              <w:left w:val="nil"/>
              <w:bottom w:val="nil"/>
              <w:right w:val="nil"/>
            </w:tcBorders>
            <w:shd w:val="clear" w:color="auto" w:fill="auto"/>
            <w:noWrap/>
            <w:vAlign w:val="bottom"/>
            <w:hideMark/>
          </w:tcPr>
          <w:p w14:paraId="49424091" w14:textId="234BD69E"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Ajustes do resultado do per</w:t>
            </w:r>
            <w:r>
              <w:rPr>
                <w:rFonts w:ascii="Calibri" w:eastAsia="Times New Roman" w:hAnsi="Calibri" w:cs="Calibri"/>
                <w:b/>
                <w:bCs/>
                <w:sz w:val="16"/>
                <w:szCs w:val="16"/>
              </w:rPr>
              <w:t>í</w:t>
            </w:r>
            <w:r w:rsidRPr="00E1085B">
              <w:rPr>
                <w:rFonts w:ascii="Calibri" w:eastAsia="Times New Roman" w:hAnsi="Calibri" w:cs="Calibri"/>
                <w:b/>
                <w:bCs/>
                <w:sz w:val="16"/>
                <w:szCs w:val="16"/>
              </w:rPr>
              <w:t xml:space="preserve">odo </w:t>
            </w:r>
          </w:p>
        </w:tc>
        <w:tc>
          <w:tcPr>
            <w:tcW w:w="1134" w:type="dxa"/>
            <w:tcBorders>
              <w:top w:val="nil"/>
              <w:left w:val="nil"/>
              <w:bottom w:val="nil"/>
              <w:right w:val="nil"/>
            </w:tcBorders>
            <w:shd w:val="clear" w:color="auto" w:fill="auto"/>
            <w:noWrap/>
            <w:vAlign w:val="bottom"/>
            <w:hideMark/>
          </w:tcPr>
          <w:p w14:paraId="0DB3DCFC" w14:textId="52B723D9"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(77.712.804)</w:t>
            </w:r>
          </w:p>
        </w:tc>
        <w:tc>
          <w:tcPr>
            <w:tcW w:w="1134" w:type="dxa"/>
            <w:tcBorders>
              <w:top w:val="nil"/>
              <w:left w:val="nil"/>
              <w:bottom w:val="nil"/>
              <w:right w:val="nil"/>
            </w:tcBorders>
            <w:shd w:val="clear" w:color="auto" w:fill="auto"/>
            <w:noWrap/>
            <w:vAlign w:val="bottom"/>
            <w:hideMark/>
          </w:tcPr>
          <w:p w14:paraId="48316F03" w14:textId="2A75DF1B"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(42.563.676)</w:t>
            </w:r>
          </w:p>
        </w:tc>
      </w:tr>
      <w:tr w:rsidR="00E1085B" w:rsidRPr="00E1085B" w14:paraId="0BCADA98" w14:textId="77777777" w:rsidTr="00E1085B">
        <w:trPr>
          <w:trHeight w:val="227"/>
        </w:trPr>
        <w:tc>
          <w:tcPr>
            <w:tcW w:w="6909" w:type="dxa"/>
            <w:tcBorders>
              <w:top w:val="nil"/>
              <w:left w:val="nil"/>
              <w:bottom w:val="nil"/>
              <w:right w:val="nil"/>
            </w:tcBorders>
            <w:shd w:val="clear" w:color="auto" w:fill="auto"/>
            <w:noWrap/>
            <w:vAlign w:val="bottom"/>
            <w:hideMark/>
          </w:tcPr>
          <w:p w14:paraId="6632E917" w14:textId="7C7F515D"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Depreciação e Amortização </w:t>
            </w:r>
          </w:p>
        </w:tc>
        <w:tc>
          <w:tcPr>
            <w:tcW w:w="1134" w:type="dxa"/>
            <w:tcBorders>
              <w:top w:val="nil"/>
              <w:left w:val="nil"/>
              <w:bottom w:val="nil"/>
              <w:right w:val="nil"/>
            </w:tcBorders>
            <w:shd w:val="clear" w:color="auto" w:fill="auto"/>
            <w:noWrap/>
            <w:vAlign w:val="bottom"/>
            <w:hideMark/>
          </w:tcPr>
          <w:p w14:paraId="4A24FB29" w14:textId="105B278B"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1.620.156 </w:t>
            </w:r>
          </w:p>
        </w:tc>
        <w:tc>
          <w:tcPr>
            <w:tcW w:w="1134" w:type="dxa"/>
            <w:tcBorders>
              <w:top w:val="nil"/>
              <w:left w:val="nil"/>
              <w:bottom w:val="nil"/>
              <w:right w:val="nil"/>
            </w:tcBorders>
            <w:shd w:val="clear" w:color="auto" w:fill="auto"/>
            <w:noWrap/>
            <w:vAlign w:val="bottom"/>
            <w:hideMark/>
          </w:tcPr>
          <w:p w14:paraId="07C42BA4" w14:textId="6B75DCCE"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2.737.548 </w:t>
            </w:r>
          </w:p>
        </w:tc>
      </w:tr>
      <w:tr w:rsidR="00E1085B" w:rsidRPr="00E1085B" w14:paraId="06291910" w14:textId="77777777" w:rsidTr="00E1085B">
        <w:trPr>
          <w:trHeight w:val="227"/>
        </w:trPr>
        <w:tc>
          <w:tcPr>
            <w:tcW w:w="6909" w:type="dxa"/>
            <w:tcBorders>
              <w:top w:val="nil"/>
              <w:left w:val="nil"/>
              <w:bottom w:val="nil"/>
              <w:right w:val="nil"/>
            </w:tcBorders>
            <w:shd w:val="clear" w:color="auto" w:fill="auto"/>
            <w:noWrap/>
            <w:vAlign w:val="bottom"/>
            <w:hideMark/>
          </w:tcPr>
          <w:p w14:paraId="0030AC8D" w14:textId="110C251E"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Despesa Financeira Arrendamento Mercantil </w:t>
            </w:r>
          </w:p>
        </w:tc>
        <w:tc>
          <w:tcPr>
            <w:tcW w:w="1134" w:type="dxa"/>
            <w:tcBorders>
              <w:top w:val="nil"/>
              <w:left w:val="nil"/>
              <w:bottom w:val="nil"/>
              <w:right w:val="nil"/>
            </w:tcBorders>
            <w:shd w:val="clear" w:color="auto" w:fill="auto"/>
            <w:noWrap/>
            <w:vAlign w:val="bottom"/>
            <w:hideMark/>
          </w:tcPr>
          <w:p w14:paraId="66583A98" w14:textId="6BFEBED0"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153.372 </w:t>
            </w:r>
          </w:p>
        </w:tc>
        <w:tc>
          <w:tcPr>
            <w:tcW w:w="1134" w:type="dxa"/>
            <w:tcBorders>
              <w:top w:val="nil"/>
              <w:left w:val="nil"/>
              <w:bottom w:val="nil"/>
              <w:right w:val="nil"/>
            </w:tcBorders>
            <w:shd w:val="clear" w:color="auto" w:fill="auto"/>
            <w:noWrap/>
            <w:vAlign w:val="bottom"/>
            <w:hideMark/>
          </w:tcPr>
          <w:p w14:paraId="61CCBADA" w14:textId="1DA9AC1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335.467 </w:t>
            </w:r>
          </w:p>
        </w:tc>
      </w:tr>
      <w:tr w:rsidR="00E1085B" w:rsidRPr="00E1085B" w14:paraId="20BB7303" w14:textId="77777777" w:rsidTr="00E1085B">
        <w:trPr>
          <w:trHeight w:val="227"/>
        </w:trPr>
        <w:tc>
          <w:tcPr>
            <w:tcW w:w="6909" w:type="dxa"/>
            <w:tcBorders>
              <w:top w:val="nil"/>
              <w:left w:val="nil"/>
              <w:bottom w:val="nil"/>
              <w:right w:val="nil"/>
            </w:tcBorders>
            <w:shd w:val="clear" w:color="auto" w:fill="auto"/>
            <w:noWrap/>
            <w:vAlign w:val="bottom"/>
            <w:hideMark/>
          </w:tcPr>
          <w:p w14:paraId="71B32272" w14:textId="19F89E0F"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Resultado de Equivalência Patrimonial </w:t>
            </w:r>
          </w:p>
        </w:tc>
        <w:tc>
          <w:tcPr>
            <w:tcW w:w="1134" w:type="dxa"/>
            <w:tcBorders>
              <w:top w:val="nil"/>
              <w:left w:val="nil"/>
              <w:bottom w:val="nil"/>
              <w:right w:val="nil"/>
            </w:tcBorders>
            <w:shd w:val="clear" w:color="auto" w:fill="auto"/>
            <w:noWrap/>
            <w:vAlign w:val="bottom"/>
            <w:hideMark/>
          </w:tcPr>
          <w:p w14:paraId="003D72FE" w14:textId="71E0B23E"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5.044.895 </w:t>
            </w:r>
          </w:p>
        </w:tc>
        <w:tc>
          <w:tcPr>
            <w:tcW w:w="1134" w:type="dxa"/>
            <w:tcBorders>
              <w:top w:val="nil"/>
              <w:left w:val="nil"/>
              <w:bottom w:val="nil"/>
              <w:right w:val="nil"/>
            </w:tcBorders>
            <w:shd w:val="clear" w:color="auto" w:fill="auto"/>
            <w:noWrap/>
            <w:vAlign w:val="bottom"/>
            <w:hideMark/>
          </w:tcPr>
          <w:p w14:paraId="50712C40" w14:textId="4EDD633E"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2.791.778 </w:t>
            </w:r>
          </w:p>
        </w:tc>
      </w:tr>
      <w:tr w:rsidR="00E1085B" w:rsidRPr="00E1085B" w14:paraId="1D7B3C8F" w14:textId="77777777" w:rsidTr="00E1085B">
        <w:trPr>
          <w:trHeight w:val="227"/>
        </w:trPr>
        <w:tc>
          <w:tcPr>
            <w:tcW w:w="6909" w:type="dxa"/>
            <w:tcBorders>
              <w:top w:val="nil"/>
              <w:left w:val="nil"/>
              <w:bottom w:val="nil"/>
              <w:right w:val="nil"/>
            </w:tcBorders>
            <w:shd w:val="clear" w:color="auto" w:fill="auto"/>
            <w:noWrap/>
            <w:vAlign w:val="bottom"/>
            <w:hideMark/>
          </w:tcPr>
          <w:p w14:paraId="52380132" w14:textId="71D454BA"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Subvenção do Tesouro Nacional - repasse para custeio/pessoal </w:t>
            </w:r>
          </w:p>
        </w:tc>
        <w:tc>
          <w:tcPr>
            <w:tcW w:w="1134" w:type="dxa"/>
            <w:tcBorders>
              <w:top w:val="nil"/>
              <w:left w:val="nil"/>
              <w:bottom w:val="nil"/>
              <w:right w:val="nil"/>
            </w:tcBorders>
            <w:shd w:val="clear" w:color="auto" w:fill="auto"/>
            <w:noWrap/>
            <w:vAlign w:val="bottom"/>
            <w:hideMark/>
          </w:tcPr>
          <w:p w14:paraId="4992C377" w14:textId="2F58F6D4"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(58.172.981)</w:t>
            </w:r>
          </w:p>
        </w:tc>
        <w:tc>
          <w:tcPr>
            <w:tcW w:w="1134" w:type="dxa"/>
            <w:tcBorders>
              <w:top w:val="nil"/>
              <w:left w:val="nil"/>
              <w:bottom w:val="nil"/>
              <w:right w:val="nil"/>
            </w:tcBorders>
            <w:shd w:val="clear" w:color="auto" w:fill="auto"/>
            <w:noWrap/>
            <w:vAlign w:val="bottom"/>
            <w:hideMark/>
          </w:tcPr>
          <w:p w14:paraId="1E618014" w14:textId="0CA457D7"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(47.699.598)</w:t>
            </w:r>
          </w:p>
        </w:tc>
      </w:tr>
      <w:tr w:rsidR="00E1085B" w:rsidRPr="00E1085B" w14:paraId="2E61633B" w14:textId="77777777" w:rsidTr="00E1085B">
        <w:trPr>
          <w:trHeight w:val="227"/>
        </w:trPr>
        <w:tc>
          <w:tcPr>
            <w:tcW w:w="6909" w:type="dxa"/>
            <w:tcBorders>
              <w:top w:val="nil"/>
              <w:left w:val="nil"/>
              <w:bottom w:val="nil"/>
              <w:right w:val="nil"/>
            </w:tcBorders>
            <w:shd w:val="clear" w:color="auto" w:fill="auto"/>
            <w:noWrap/>
            <w:vAlign w:val="bottom"/>
            <w:hideMark/>
          </w:tcPr>
          <w:p w14:paraId="1BCF03C2" w14:textId="79C35502"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Resultado na Baixa de Ativos Imobilizados / Intangíveis </w:t>
            </w:r>
          </w:p>
        </w:tc>
        <w:tc>
          <w:tcPr>
            <w:tcW w:w="1134" w:type="dxa"/>
            <w:tcBorders>
              <w:top w:val="nil"/>
              <w:left w:val="nil"/>
              <w:bottom w:val="nil"/>
              <w:right w:val="nil"/>
            </w:tcBorders>
            <w:shd w:val="clear" w:color="auto" w:fill="auto"/>
            <w:noWrap/>
            <w:vAlign w:val="bottom"/>
            <w:hideMark/>
          </w:tcPr>
          <w:p w14:paraId="6FCFD9BA" w14:textId="5BE3DBA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7.115 </w:t>
            </w:r>
          </w:p>
        </w:tc>
        <w:tc>
          <w:tcPr>
            <w:tcW w:w="1134" w:type="dxa"/>
            <w:tcBorders>
              <w:top w:val="nil"/>
              <w:left w:val="nil"/>
              <w:bottom w:val="nil"/>
              <w:right w:val="nil"/>
            </w:tcBorders>
            <w:shd w:val="clear" w:color="auto" w:fill="auto"/>
            <w:noWrap/>
            <w:vAlign w:val="bottom"/>
            <w:hideMark/>
          </w:tcPr>
          <w:p w14:paraId="13E0B3E0" w14:textId="53A796ED"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 </w:t>
            </w:r>
          </w:p>
        </w:tc>
      </w:tr>
      <w:tr w:rsidR="00E1085B" w:rsidRPr="00E1085B" w14:paraId="0F8E6CCE" w14:textId="77777777" w:rsidTr="00E1085B">
        <w:trPr>
          <w:trHeight w:val="227"/>
        </w:trPr>
        <w:tc>
          <w:tcPr>
            <w:tcW w:w="6909" w:type="dxa"/>
            <w:tcBorders>
              <w:top w:val="nil"/>
              <w:left w:val="nil"/>
              <w:bottom w:val="nil"/>
              <w:right w:val="nil"/>
            </w:tcBorders>
            <w:shd w:val="clear" w:color="auto" w:fill="auto"/>
            <w:noWrap/>
            <w:vAlign w:val="bottom"/>
            <w:hideMark/>
          </w:tcPr>
          <w:p w14:paraId="69289384" w14:textId="55A12E3A"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Provisões para Contingências Judiciais </w:t>
            </w:r>
          </w:p>
        </w:tc>
        <w:tc>
          <w:tcPr>
            <w:tcW w:w="1134" w:type="dxa"/>
            <w:tcBorders>
              <w:top w:val="nil"/>
              <w:left w:val="nil"/>
              <w:bottom w:val="nil"/>
              <w:right w:val="nil"/>
            </w:tcBorders>
            <w:shd w:val="clear" w:color="auto" w:fill="auto"/>
            <w:noWrap/>
            <w:vAlign w:val="bottom"/>
            <w:hideMark/>
          </w:tcPr>
          <w:p w14:paraId="54B01AED" w14:textId="7AB0D486"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(26.365.361)</w:t>
            </w:r>
          </w:p>
        </w:tc>
        <w:tc>
          <w:tcPr>
            <w:tcW w:w="1134" w:type="dxa"/>
            <w:tcBorders>
              <w:top w:val="nil"/>
              <w:left w:val="nil"/>
              <w:bottom w:val="nil"/>
              <w:right w:val="nil"/>
            </w:tcBorders>
            <w:shd w:val="clear" w:color="auto" w:fill="auto"/>
            <w:noWrap/>
            <w:vAlign w:val="bottom"/>
            <w:hideMark/>
          </w:tcPr>
          <w:p w14:paraId="0305C620" w14:textId="36BAD43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(728.871)</w:t>
            </w:r>
          </w:p>
        </w:tc>
      </w:tr>
      <w:tr w:rsidR="00E1085B" w:rsidRPr="00E1085B" w14:paraId="65AE75E1" w14:textId="77777777" w:rsidTr="00E1085B">
        <w:trPr>
          <w:trHeight w:val="227"/>
        </w:trPr>
        <w:tc>
          <w:tcPr>
            <w:tcW w:w="6909" w:type="dxa"/>
            <w:tcBorders>
              <w:top w:val="nil"/>
              <w:left w:val="nil"/>
              <w:bottom w:val="nil"/>
              <w:right w:val="nil"/>
            </w:tcBorders>
            <w:shd w:val="clear" w:color="auto" w:fill="auto"/>
            <w:noWrap/>
            <w:vAlign w:val="bottom"/>
            <w:hideMark/>
          </w:tcPr>
          <w:p w14:paraId="65F0D0A3" w14:textId="77777777" w:rsidR="00E1085B" w:rsidRPr="00E1085B" w:rsidRDefault="00E1085B" w:rsidP="00E1085B">
            <w:pPr>
              <w:spacing w:after="0" w:line="240" w:lineRule="auto"/>
              <w:rPr>
                <w:rFonts w:ascii="Calibri" w:eastAsia="Times New Roman" w:hAnsi="Calibri" w:cs="Calibri"/>
                <w:sz w:val="16"/>
                <w:szCs w:val="16"/>
              </w:rPr>
            </w:pPr>
          </w:p>
        </w:tc>
        <w:tc>
          <w:tcPr>
            <w:tcW w:w="1134" w:type="dxa"/>
            <w:tcBorders>
              <w:top w:val="nil"/>
              <w:left w:val="nil"/>
              <w:bottom w:val="nil"/>
              <w:right w:val="nil"/>
            </w:tcBorders>
            <w:shd w:val="clear" w:color="auto" w:fill="auto"/>
            <w:noWrap/>
            <w:vAlign w:val="bottom"/>
            <w:hideMark/>
          </w:tcPr>
          <w:p w14:paraId="6280D7BA"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03E0E499"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F242A01" w14:textId="77777777" w:rsidTr="00E1085B">
        <w:trPr>
          <w:trHeight w:val="227"/>
        </w:trPr>
        <w:tc>
          <w:tcPr>
            <w:tcW w:w="6909" w:type="dxa"/>
            <w:tcBorders>
              <w:top w:val="nil"/>
              <w:left w:val="nil"/>
              <w:bottom w:val="nil"/>
              <w:right w:val="nil"/>
            </w:tcBorders>
            <w:shd w:val="clear" w:color="auto" w:fill="auto"/>
            <w:noWrap/>
            <w:vAlign w:val="bottom"/>
            <w:hideMark/>
          </w:tcPr>
          <w:p w14:paraId="70ED30B2" w14:textId="77777777" w:rsidR="00E1085B" w:rsidRPr="00E1085B" w:rsidRDefault="00E1085B" w:rsidP="00E1085B">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56721573"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71ADAF1F"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9548B0B" w14:textId="77777777" w:rsidTr="00E1085B">
        <w:trPr>
          <w:trHeight w:val="227"/>
        </w:trPr>
        <w:tc>
          <w:tcPr>
            <w:tcW w:w="6909" w:type="dxa"/>
            <w:tcBorders>
              <w:top w:val="nil"/>
              <w:left w:val="nil"/>
              <w:bottom w:val="nil"/>
              <w:right w:val="nil"/>
            </w:tcBorders>
            <w:shd w:val="clear" w:color="auto" w:fill="auto"/>
            <w:noWrap/>
            <w:vAlign w:val="bottom"/>
            <w:hideMark/>
          </w:tcPr>
          <w:p w14:paraId="196C3804" w14:textId="2F75308F"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Resultado do Exercício Ajustado </w:t>
            </w:r>
          </w:p>
        </w:tc>
        <w:tc>
          <w:tcPr>
            <w:tcW w:w="1134" w:type="dxa"/>
            <w:tcBorders>
              <w:top w:val="nil"/>
              <w:left w:val="nil"/>
              <w:bottom w:val="nil"/>
              <w:right w:val="nil"/>
            </w:tcBorders>
            <w:shd w:val="clear" w:color="auto" w:fill="auto"/>
            <w:noWrap/>
            <w:vAlign w:val="bottom"/>
            <w:hideMark/>
          </w:tcPr>
          <w:p w14:paraId="67ADA826" w14:textId="0D037894"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(43.744.784)</w:t>
            </w:r>
          </w:p>
        </w:tc>
        <w:tc>
          <w:tcPr>
            <w:tcW w:w="1134" w:type="dxa"/>
            <w:tcBorders>
              <w:top w:val="nil"/>
              <w:left w:val="nil"/>
              <w:bottom w:val="nil"/>
              <w:right w:val="nil"/>
            </w:tcBorders>
            <w:shd w:val="clear" w:color="auto" w:fill="auto"/>
            <w:noWrap/>
            <w:vAlign w:val="bottom"/>
            <w:hideMark/>
          </w:tcPr>
          <w:p w14:paraId="0C18AA93" w14:textId="338DD4FE"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(42.765.742)</w:t>
            </w:r>
          </w:p>
        </w:tc>
      </w:tr>
      <w:tr w:rsidR="00E1085B" w:rsidRPr="00E1085B" w14:paraId="65EBCA21" w14:textId="77777777" w:rsidTr="00E1085B">
        <w:trPr>
          <w:trHeight w:val="227"/>
        </w:trPr>
        <w:tc>
          <w:tcPr>
            <w:tcW w:w="6909" w:type="dxa"/>
            <w:tcBorders>
              <w:top w:val="nil"/>
              <w:left w:val="nil"/>
              <w:bottom w:val="nil"/>
              <w:right w:val="nil"/>
            </w:tcBorders>
            <w:shd w:val="clear" w:color="auto" w:fill="auto"/>
            <w:noWrap/>
            <w:vAlign w:val="bottom"/>
            <w:hideMark/>
          </w:tcPr>
          <w:p w14:paraId="2B66DCF8" w14:textId="77777777" w:rsidR="00E1085B" w:rsidRPr="00E1085B" w:rsidRDefault="00E1085B" w:rsidP="00E1085B">
            <w:pPr>
              <w:spacing w:after="0" w:line="240" w:lineRule="auto"/>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2437E3DF"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0F2DAA52"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5B59CDB7" w14:textId="77777777" w:rsidTr="00E1085B">
        <w:trPr>
          <w:trHeight w:val="227"/>
        </w:trPr>
        <w:tc>
          <w:tcPr>
            <w:tcW w:w="6909" w:type="dxa"/>
            <w:tcBorders>
              <w:top w:val="nil"/>
              <w:left w:val="nil"/>
              <w:bottom w:val="nil"/>
              <w:right w:val="nil"/>
            </w:tcBorders>
            <w:shd w:val="clear" w:color="auto" w:fill="auto"/>
            <w:noWrap/>
            <w:vAlign w:val="bottom"/>
            <w:hideMark/>
          </w:tcPr>
          <w:p w14:paraId="21B632A0" w14:textId="3DD4AA87"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Aumento ou Redução nos Ativos </w:t>
            </w:r>
          </w:p>
        </w:tc>
        <w:tc>
          <w:tcPr>
            <w:tcW w:w="1134" w:type="dxa"/>
            <w:tcBorders>
              <w:top w:val="nil"/>
              <w:left w:val="nil"/>
              <w:bottom w:val="nil"/>
              <w:right w:val="nil"/>
            </w:tcBorders>
            <w:shd w:val="clear" w:color="auto" w:fill="auto"/>
            <w:noWrap/>
            <w:vAlign w:val="bottom"/>
            <w:hideMark/>
          </w:tcPr>
          <w:p w14:paraId="65C0E769" w14:textId="358CF4DD"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(12.849.745)</w:t>
            </w:r>
          </w:p>
        </w:tc>
        <w:tc>
          <w:tcPr>
            <w:tcW w:w="1134" w:type="dxa"/>
            <w:tcBorders>
              <w:top w:val="nil"/>
              <w:left w:val="nil"/>
              <w:bottom w:val="nil"/>
              <w:right w:val="nil"/>
            </w:tcBorders>
            <w:shd w:val="clear" w:color="auto" w:fill="auto"/>
            <w:noWrap/>
            <w:vAlign w:val="bottom"/>
            <w:hideMark/>
          </w:tcPr>
          <w:p w14:paraId="347A8555" w14:textId="52A361E8"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670.788 </w:t>
            </w:r>
          </w:p>
        </w:tc>
      </w:tr>
      <w:tr w:rsidR="00E1085B" w:rsidRPr="00E1085B" w14:paraId="77F196F2" w14:textId="77777777" w:rsidTr="00E1085B">
        <w:trPr>
          <w:trHeight w:val="227"/>
        </w:trPr>
        <w:tc>
          <w:tcPr>
            <w:tcW w:w="6909" w:type="dxa"/>
            <w:tcBorders>
              <w:top w:val="nil"/>
              <w:left w:val="nil"/>
              <w:bottom w:val="nil"/>
              <w:right w:val="nil"/>
            </w:tcBorders>
            <w:shd w:val="clear" w:color="auto" w:fill="auto"/>
            <w:noWrap/>
            <w:vAlign w:val="bottom"/>
            <w:hideMark/>
          </w:tcPr>
          <w:p w14:paraId="1F35DC65" w14:textId="237754B1"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Permissões para Uso de Pátios </w:t>
            </w:r>
          </w:p>
        </w:tc>
        <w:tc>
          <w:tcPr>
            <w:tcW w:w="1134" w:type="dxa"/>
            <w:tcBorders>
              <w:top w:val="nil"/>
              <w:left w:val="nil"/>
              <w:bottom w:val="nil"/>
              <w:right w:val="nil"/>
            </w:tcBorders>
            <w:shd w:val="clear" w:color="auto" w:fill="auto"/>
            <w:noWrap/>
            <w:vAlign w:val="bottom"/>
            <w:hideMark/>
          </w:tcPr>
          <w:p w14:paraId="7054CC48" w14:textId="62C4F20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(2.331.195)</w:t>
            </w:r>
          </w:p>
        </w:tc>
        <w:tc>
          <w:tcPr>
            <w:tcW w:w="1134" w:type="dxa"/>
            <w:tcBorders>
              <w:top w:val="nil"/>
              <w:left w:val="nil"/>
              <w:bottom w:val="nil"/>
              <w:right w:val="nil"/>
            </w:tcBorders>
            <w:shd w:val="clear" w:color="auto" w:fill="auto"/>
            <w:noWrap/>
            <w:vAlign w:val="bottom"/>
            <w:hideMark/>
          </w:tcPr>
          <w:p w14:paraId="002DCBD7" w14:textId="6098EFA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27.978 </w:t>
            </w:r>
          </w:p>
        </w:tc>
      </w:tr>
      <w:tr w:rsidR="00E1085B" w:rsidRPr="00E1085B" w14:paraId="499585AC" w14:textId="77777777" w:rsidTr="00E1085B">
        <w:trPr>
          <w:trHeight w:val="227"/>
        </w:trPr>
        <w:tc>
          <w:tcPr>
            <w:tcW w:w="6909" w:type="dxa"/>
            <w:tcBorders>
              <w:top w:val="nil"/>
              <w:left w:val="nil"/>
              <w:bottom w:val="nil"/>
              <w:right w:val="nil"/>
            </w:tcBorders>
            <w:shd w:val="clear" w:color="auto" w:fill="auto"/>
            <w:noWrap/>
            <w:vAlign w:val="bottom"/>
            <w:hideMark/>
          </w:tcPr>
          <w:p w14:paraId="0A38C9B0" w14:textId="33F8DA2D"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TEDs e Acordos</w:t>
            </w:r>
          </w:p>
        </w:tc>
        <w:tc>
          <w:tcPr>
            <w:tcW w:w="1134" w:type="dxa"/>
            <w:tcBorders>
              <w:top w:val="nil"/>
              <w:left w:val="nil"/>
              <w:bottom w:val="nil"/>
              <w:right w:val="nil"/>
            </w:tcBorders>
            <w:shd w:val="clear" w:color="auto" w:fill="auto"/>
            <w:noWrap/>
            <w:vAlign w:val="bottom"/>
            <w:hideMark/>
          </w:tcPr>
          <w:p w14:paraId="3F9E2BE5" w14:textId="421D9414"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(10.679.015)</w:t>
            </w:r>
          </w:p>
        </w:tc>
        <w:tc>
          <w:tcPr>
            <w:tcW w:w="1134" w:type="dxa"/>
            <w:tcBorders>
              <w:top w:val="nil"/>
              <w:left w:val="nil"/>
              <w:bottom w:val="nil"/>
              <w:right w:val="nil"/>
            </w:tcBorders>
            <w:shd w:val="clear" w:color="auto" w:fill="auto"/>
            <w:noWrap/>
            <w:vAlign w:val="center"/>
            <w:hideMark/>
          </w:tcPr>
          <w:p w14:paraId="3206CA8E" w14:textId="20D5FE8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(89.115)</w:t>
            </w:r>
          </w:p>
        </w:tc>
      </w:tr>
      <w:tr w:rsidR="00E1085B" w:rsidRPr="00E1085B" w14:paraId="7E3EB2C1" w14:textId="77777777" w:rsidTr="00E1085B">
        <w:trPr>
          <w:trHeight w:val="227"/>
        </w:trPr>
        <w:tc>
          <w:tcPr>
            <w:tcW w:w="6909" w:type="dxa"/>
            <w:tcBorders>
              <w:top w:val="nil"/>
              <w:left w:val="nil"/>
              <w:bottom w:val="nil"/>
              <w:right w:val="nil"/>
            </w:tcBorders>
            <w:shd w:val="clear" w:color="auto" w:fill="auto"/>
            <w:noWrap/>
            <w:vAlign w:val="bottom"/>
            <w:hideMark/>
          </w:tcPr>
          <w:p w14:paraId="0835FA65" w14:textId="6CD6BBF3"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Depósitos Judiciais </w:t>
            </w:r>
          </w:p>
        </w:tc>
        <w:tc>
          <w:tcPr>
            <w:tcW w:w="1134" w:type="dxa"/>
            <w:tcBorders>
              <w:top w:val="nil"/>
              <w:left w:val="nil"/>
              <w:bottom w:val="nil"/>
              <w:right w:val="nil"/>
            </w:tcBorders>
            <w:shd w:val="clear" w:color="auto" w:fill="auto"/>
            <w:noWrap/>
            <w:vAlign w:val="bottom"/>
            <w:hideMark/>
          </w:tcPr>
          <w:p w14:paraId="19D39F2E" w14:textId="3F37271A"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52.458 </w:t>
            </w:r>
          </w:p>
        </w:tc>
        <w:tc>
          <w:tcPr>
            <w:tcW w:w="1134" w:type="dxa"/>
            <w:tcBorders>
              <w:top w:val="nil"/>
              <w:left w:val="nil"/>
              <w:bottom w:val="nil"/>
              <w:right w:val="nil"/>
            </w:tcBorders>
            <w:shd w:val="clear" w:color="auto" w:fill="auto"/>
            <w:noWrap/>
            <w:vAlign w:val="center"/>
            <w:hideMark/>
          </w:tcPr>
          <w:p w14:paraId="668E5ACF" w14:textId="6CCB6884"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605.145 </w:t>
            </w:r>
          </w:p>
        </w:tc>
      </w:tr>
      <w:tr w:rsidR="00E1085B" w:rsidRPr="00E1085B" w14:paraId="1ABE51EA" w14:textId="77777777" w:rsidTr="00E1085B">
        <w:trPr>
          <w:trHeight w:val="227"/>
        </w:trPr>
        <w:tc>
          <w:tcPr>
            <w:tcW w:w="6909" w:type="dxa"/>
            <w:tcBorders>
              <w:top w:val="nil"/>
              <w:left w:val="nil"/>
              <w:bottom w:val="nil"/>
              <w:right w:val="nil"/>
            </w:tcBorders>
            <w:shd w:val="clear" w:color="auto" w:fill="auto"/>
            <w:noWrap/>
            <w:vAlign w:val="bottom"/>
            <w:hideMark/>
          </w:tcPr>
          <w:p w14:paraId="465C841C" w14:textId="04F53DAF"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Demais Créditos e Valores</w:t>
            </w:r>
          </w:p>
        </w:tc>
        <w:tc>
          <w:tcPr>
            <w:tcW w:w="1134" w:type="dxa"/>
            <w:tcBorders>
              <w:top w:val="nil"/>
              <w:left w:val="nil"/>
              <w:bottom w:val="nil"/>
              <w:right w:val="nil"/>
            </w:tcBorders>
            <w:shd w:val="clear" w:color="auto" w:fill="auto"/>
            <w:noWrap/>
            <w:vAlign w:val="bottom"/>
            <w:hideMark/>
          </w:tcPr>
          <w:p w14:paraId="6644F286" w14:textId="60EB7986"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349.356 </w:t>
            </w:r>
          </w:p>
        </w:tc>
        <w:tc>
          <w:tcPr>
            <w:tcW w:w="1134" w:type="dxa"/>
            <w:tcBorders>
              <w:top w:val="nil"/>
              <w:left w:val="nil"/>
              <w:bottom w:val="nil"/>
              <w:right w:val="nil"/>
            </w:tcBorders>
            <w:shd w:val="clear" w:color="auto" w:fill="auto"/>
            <w:noWrap/>
            <w:vAlign w:val="center"/>
            <w:hideMark/>
          </w:tcPr>
          <w:p w14:paraId="7E18DC09" w14:textId="5DCA1A9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493.965 </w:t>
            </w:r>
          </w:p>
        </w:tc>
      </w:tr>
      <w:tr w:rsidR="00E1085B" w:rsidRPr="00E1085B" w14:paraId="16D6ACF2" w14:textId="77777777" w:rsidTr="00E1085B">
        <w:trPr>
          <w:trHeight w:val="227"/>
        </w:trPr>
        <w:tc>
          <w:tcPr>
            <w:tcW w:w="6909" w:type="dxa"/>
            <w:tcBorders>
              <w:top w:val="nil"/>
              <w:left w:val="nil"/>
              <w:bottom w:val="nil"/>
              <w:right w:val="nil"/>
            </w:tcBorders>
            <w:shd w:val="clear" w:color="auto" w:fill="auto"/>
            <w:noWrap/>
            <w:vAlign w:val="bottom"/>
            <w:hideMark/>
          </w:tcPr>
          <w:p w14:paraId="12592F3D" w14:textId="4F4C2556"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Outros ativos </w:t>
            </w:r>
          </w:p>
        </w:tc>
        <w:tc>
          <w:tcPr>
            <w:tcW w:w="1134" w:type="dxa"/>
            <w:tcBorders>
              <w:top w:val="nil"/>
              <w:left w:val="nil"/>
              <w:bottom w:val="nil"/>
              <w:right w:val="nil"/>
            </w:tcBorders>
            <w:shd w:val="clear" w:color="auto" w:fill="auto"/>
            <w:noWrap/>
            <w:vAlign w:val="bottom"/>
            <w:hideMark/>
          </w:tcPr>
          <w:p w14:paraId="0275F79A" w14:textId="1299C5A2"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(241.349)</w:t>
            </w:r>
          </w:p>
        </w:tc>
        <w:tc>
          <w:tcPr>
            <w:tcW w:w="1134" w:type="dxa"/>
            <w:tcBorders>
              <w:top w:val="nil"/>
              <w:left w:val="nil"/>
              <w:bottom w:val="nil"/>
              <w:right w:val="nil"/>
            </w:tcBorders>
            <w:shd w:val="clear" w:color="auto" w:fill="auto"/>
            <w:noWrap/>
            <w:vAlign w:val="center"/>
            <w:hideMark/>
          </w:tcPr>
          <w:p w14:paraId="02A88A84" w14:textId="68F83F20"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(367.185)</w:t>
            </w:r>
          </w:p>
        </w:tc>
      </w:tr>
      <w:tr w:rsidR="00E1085B" w:rsidRPr="00E1085B" w14:paraId="42E354C6" w14:textId="77777777" w:rsidTr="00E1085B">
        <w:trPr>
          <w:trHeight w:val="227"/>
        </w:trPr>
        <w:tc>
          <w:tcPr>
            <w:tcW w:w="6909" w:type="dxa"/>
            <w:tcBorders>
              <w:top w:val="nil"/>
              <w:left w:val="nil"/>
              <w:bottom w:val="nil"/>
              <w:right w:val="nil"/>
            </w:tcBorders>
            <w:shd w:val="clear" w:color="auto" w:fill="auto"/>
            <w:noWrap/>
            <w:vAlign w:val="bottom"/>
            <w:hideMark/>
          </w:tcPr>
          <w:p w14:paraId="44B572DC" w14:textId="229EC8F3"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Aumento ou Redução nos Passivos </w:t>
            </w:r>
          </w:p>
        </w:tc>
        <w:tc>
          <w:tcPr>
            <w:tcW w:w="1134" w:type="dxa"/>
            <w:tcBorders>
              <w:top w:val="nil"/>
              <w:left w:val="nil"/>
              <w:bottom w:val="nil"/>
              <w:right w:val="nil"/>
            </w:tcBorders>
            <w:shd w:val="clear" w:color="auto" w:fill="auto"/>
            <w:noWrap/>
            <w:vAlign w:val="bottom"/>
            <w:hideMark/>
          </w:tcPr>
          <w:p w14:paraId="000447EC" w14:textId="601DF5C4"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2.531.610 </w:t>
            </w:r>
          </w:p>
        </w:tc>
        <w:tc>
          <w:tcPr>
            <w:tcW w:w="1134" w:type="dxa"/>
            <w:tcBorders>
              <w:top w:val="nil"/>
              <w:left w:val="nil"/>
              <w:bottom w:val="nil"/>
              <w:right w:val="nil"/>
            </w:tcBorders>
            <w:shd w:val="clear" w:color="auto" w:fill="auto"/>
            <w:noWrap/>
            <w:vAlign w:val="center"/>
            <w:hideMark/>
          </w:tcPr>
          <w:p w14:paraId="3F47DC83" w14:textId="54EE2CD1"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623.385 </w:t>
            </w:r>
          </w:p>
        </w:tc>
      </w:tr>
      <w:tr w:rsidR="00E1085B" w:rsidRPr="00E1085B" w14:paraId="1F0D7C23" w14:textId="77777777" w:rsidTr="00E1085B">
        <w:trPr>
          <w:trHeight w:val="227"/>
        </w:trPr>
        <w:tc>
          <w:tcPr>
            <w:tcW w:w="6909" w:type="dxa"/>
            <w:tcBorders>
              <w:top w:val="nil"/>
              <w:left w:val="nil"/>
              <w:bottom w:val="nil"/>
              <w:right w:val="nil"/>
            </w:tcBorders>
            <w:shd w:val="clear" w:color="auto" w:fill="auto"/>
            <w:noWrap/>
            <w:vAlign w:val="bottom"/>
            <w:hideMark/>
          </w:tcPr>
          <w:p w14:paraId="263806B3" w14:textId="37412803"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Fornecedores</w:t>
            </w:r>
          </w:p>
        </w:tc>
        <w:tc>
          <w:tcPr>
            <w:tcW w:w="1134" w:type="dxa"/>
            <w:tcBorders>
              <w:top w:val="nil"/>
              <w:left w:val="nil"/>
              <w:bottom w:val="nil"/>
              <w:right w:val="nil"/>
            </w:tcBorders>
            <w:shd w:val="clear" w:color="auto" w:fill="auto"/>
            <w:noWrap/>
            <w:vAlign w:val="bottom"/>
            <w:hideMark/>
          </w:tcPr>
          <w:p w14:paraId="4E65C18A" w14:textId="39FF63AB"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1.203.512 </w:t>
            </w:r>
          </w:p>
        </w:tc>
        <w:tc>
          <w:tcPr>
            <w:tcW w:w="1134" w:type="dxa"/>
            <w:tcBorders>
              <w:top w:val="nil"/>
              <w:left w:val="nil"/>
              <w:bottom w:val="nil"/>
              <w:right w:val="nil"/>
            </w:tcBorders>
            <w:shd w:val="clear" w:color="auto" w:fill="auto"/>
            <w:noWrap/>
            <w:vAlign w:val="center"/>
            <w:hideMark/>
          </w:tcPr>
          <w:p w14:paraId="30BEB409" w14:textId="2D25AA06"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(1.599.139)</w:t>
            </w:r>
          </w:p>
        </w:tc>
      </w:tr>
      <w:tr w:rsidR="00E1085B" w:rsidRPr="00E1085B" w14:paraId="318A13B8" w14:textId="77777777" w:rsidTr="00E1085B">
        <w:trPr>
          <w:trHeight w:val="227"/>
        </w:trPr>
        <w:tc>
          <w:tcPr>
            <w:tcW w:w="6909" w:type="dxa"/>
            <w:tcBorders>
              <w:top w:val="nil"/>
              <w:left w:val="nil"/>
              <w:bottom w:val="nil"/>
              <w:right w:val="nil"/>
            </w:tcBorders>
            <w:shd w:val="clear" w:color="auto" w:fill="auto"/>
            <w:noWrap/>
            <w:vAlign w:val="bottom"/>
            <w:hideMark/>
          </w:tcPr>
          <w:p w14:paraId="63600D66" w14:textId="59A8D7C6"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Receitas Diferidas </w:t>
            </w:r>
          </w:p>
        </w:tc>
        <w:tc>
          <w:tcPr>
            <w:tcW w:w="1134" w:type="dxa"/>
            <w:tcBorders>
              <w:top w:val="nil"/>
              <w:left w:val="nil"/>
              <w:bottom w:val="nil"/>
              <w:right w:val="nil"/>
            </w:tcBorders>
            <w:shd w:val="clear" w:color="auto" w:fill="auto"/>
            <w:noWrap/>
            <w:vAlign w:val="bottom"/>
            <w:hideMark/>
          </w:tcPr>
          <w:p w14:paraId="76EEF537" w14:textId="1FDD43F1"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1.073.558 </w:t>
            </w:r>
          </w:p>
        </w:tc>
        <w:tc>
          <w:tcPr>
            <w:tcW w:w="1134" w:type="dxa"/>
            <w:tcBorders>
              <w:top w:val="nil"/>
              <w:left w:val="nil"/>
              <w:bottom w:val="nil"/>
              <w:right w:val="nil"/>
            </w:tcBorders>
            <w:shd w:val="clear" w:color="auto" w:fill="auto"/>
            <w:noWrap/>
            <w:vAlign w:val="center"/>
            <w:hideMark/>
          </w:tcPr>
          <w:p w14:paraId="48424627" w14:textId="1FCA8FC2"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(1.361.996)</w:t>
            </w:r>
          </w:p>
        </w:tc>
      </w:tr>
      <w:tr w:rsidR="00E1085B" w:rsidRPr="00E1085B" w14:paraId="172F45D1" w14:textId="77777777" w:rsidTr="00E1085B">
        <w:trPr>
          <w:trHeight w:val="227"/>
        </w:trPr>
        <w:tc>
          <w:tcPr>
            <w:tcW w:w="6909" w:type="dxa"/>
            <w:tcBorders>
              <w:top w:val="nil"/>
              <w:left w:val="nil"/>
              <w:bottom w:val="nil"/>
              <w:right w:val="nil"/>
            </w:tcBorders>
            <w:shd w:val="clear" w:color="auto" w:fill="auto"/>
            <w:noWrap/>
            <w:vAlign w:val="bottom"/>
            <w:hideMark/>
          </w:tcPr>
          <w:p w14:paraId="1923539C" w14:textId="3D6ABB38"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Termo de Execução Descentralizada </w:t>
            </w:r>
          </w:p>
        </w:tc>
        <w:tc>
          <w:tcPr>
            <w:tcW w:w="1134" w:type="dxa"/>
            <w:tcBorders>
              <w:top w:val="nil"/>
              <w:left w:val="nil"/>
              <w:bottom w:val="nil"/>
              <w:right w:val="nil"/>
            </w:tcBorders>
            <w:shd w:val="clear" w:color="auto" w:fill="auto"/>
            <w:noWrap/>
            <w:vAlign w:val="bottom"/>
            <w:hideMark/>
          </w:tcPr>
          <w:p w14:paraId="7B4B525F" w14:textId="5B180E04"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 </w:t>
            </w:r>
          </w:p>
        </w:tc>
        <w:tc>
          <w:tcPr>
            <w:tcW w:w="1134" w:type="dxa"/>
            <w:tcBorders>
              <w:top w:val="nil"/>
              <w:left w:val="nil"/>
              <w:bottom w:val="nil"/>
              <w:right w:val="nil"/>
            </w:tcBorders>
            <w:shd w:val="clear" w:color="auto" w:fill="auto"/>
            <w:noWrap/>
            <w:vAlign w:val="center"/>
            <w:hideMark/>
          </w:tcPr>
          <w:p w14:paraId="13A40A63" w14:textId="74ED547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39.895 </w:t>
            </w:r>
          </w:p>
        </w:tc>
      </w:tr>
      <w:tr w:rsidR="00E1085B" w:rsidRPr="00E1085B" w14:paraId="64195ED6" w14:textId="77777777" w:rsidTr="00E1085B">
        <w:trPr>
          <w:trHeight w:val="227"/>
        </w:trPr>
        <w:tc>
          <w:tcPr>
            <w:tcW w:w="6909" w:type="dxa"/>
            <w:tcBorders>
              <w:top w:val="nil"/>
              <w:left w:val="nil"/>
              <w:bottom w:val="nil"/>
              <w:right w:val="nil"/>
            </w:tcBorders>
            <w:shd w:val="clear" w:color="auto" w:fill="auto"/>
            <w:noWrap/>
            <w:vAlign w:val="bottom"/>
            <w:hideMark/>
          </w:tcPr>
          <w:p w14:paraId="0B963234" w14:textId="429D2996"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Outros passivos </w:t>
            </w:r>
          </w:p>
        </w:tc>
        <w:tc>
          <w:tcPr>
            <w:tcW w:w="1134" w:type="dxa"/>
            <w:tcBorders>
              <w:top w:val="nil"/>
              <w:left w:val="nil"/>
              <w:bottom w:val="nil"/>
              <w:right w:val="nil"/>
            </w:tcBorders>
            <w:shd w:val="clear" w:color="auto" w:fill="auto"/>
            <w:noWrap/>
            <w:vAlign w:val="bottom"/>
            <w:hideMark/>
          </w:tcPr>
          <w:p w14:paraId="1C10AF1D" w14:textId="6E65D33A"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254.540 </w:t>
            </w:r>
          </w:p>
        </w:tc>
        <w:tc>
          <w:tcPr>
            <w:tcW w:w="1134" w:type="dxa"/>
            <w:tcBorders>
              <w:top w:val="nil"/>
              <w:left w:val="nil"/>
              <w:bottom w:val="nil"/>
              <w:right w:val="nil"/>
            </w:tcBorders>
            <w:shd w:val="clear" w:color="auto" w:fill="auto"/>
            <w:noWrap/>
            <w:vAlign w:val="center"/>
            <w:hideMark/>
          </w:tcPr>
          <w:p w14:paraId="471AA42E" w14:textId="11B3FCC5"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3.544.625 </w:t>
            </w:r>
          </w:p>
        </w:tc>
      </w:tr>
      <w:tr w:rsidR="00E1085B" w:rsidRPr="00E1085B" w14:paraId="18616754" w14:textId="77777777" w:rsidTr="00E1085B">
        <w:trPr>
          <w:trHeight w:val="227"/>
        </w:trPr>
        <w:tc>
          <w:tcPr>
            <w:tcW w:w="6909" w:type="dxa"/>
            <w:tcBorders>
              <w:top w:val="nil"/>
              <w:left w:val="nil"/>
              <w:bottom w:val="nil"/>
              <w:right w:val="nil"/>
            </w:tcBorders>
            <w:shd w:val="clear" w:color="auto" w:fill="auto"/>
            <w:noWrap/>
            <w:vAlign w:val="bottom"/>
            <w:hideMark/>
          </w:tcPr>
          <w:p w14:paraId="3C5827B0" w14:textId="77777777" w:rsidR="00E1085B" w:rsidRPr="00E1085B" w:rsidRDefault="00E1085B" w:rsidP="00E1085B">
            <w:pPr>
              <w:spacing w:after="0" w:line="240" w:lineRule="auto"/>
              <w:jc w:val="right"/>
              <w:rPr>
                <w:rFonts w:ascii="Calibri" w:eastAsia="Times New Roman" w:hAnsi="Calibri" w:cs="Calibri"/>
                <w:sz w:val="16"/>
                <w:szCs w:val="16"/>
              </w:rPr>
            </w:pPr>
          </w:p>
        </w:tc>
        <w:tc>
          <w:tcPr>
            <w:tcW w:w="1134" w:type="dxa"/>
            <w:tcBorders>
              <w:top w:val="nil"/>
              <w:left w:val="nil"/>
              <w:bottom w:val="nil"/>
              <w:right w:val="nil"/>
            </w:tcBorders>
            <w:shd w:val="clear" w:color="auto" w:fill="auto"/>
            <w:noWrap/>
            <w:vAlign w:val="bottom"/>
            <w:hideMark/>
          </w:tcPr>
          <w:p w14:paraId="1CF74CA7"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5644619B"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129BDD1" w14:textId="77777777" w:rsidTr="00E1085B">
        <w:trPr>
          <w:trHeight w:val="227"/>
        </w:trPr>
        <w:tc>
          <w:tcPr>
            <w:tcW w:w="6909" w:type="dxa"/>
            <w:tcBorders>
              <w:top w:val="nil"/>
              <w:left w:val="nil"/>
              <w:bottom w:val="nil"/>
              <w:right w:val="nil"/>
            </w:tcBorders>
            <w:shd w:val="clear" w:color="auto" w:fill="auto"/>
            <w:noWrap/>
            <w:vAlign w:val="bottom"/>
            <w:hideMark/>
          </w:tcPr>
          <w:p w14:paraId="6BC5CA32" w14:textId="40F4BDB3"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 Caixa Líquido Proveniente das Atividades Operacionais </w:t>
            </w:r>
          </w:p>
        </w:tc>
        <w:tc>
          <w:tcPr>
            <w:tcW w:w="1134" w:type="dxa"/>
            <w:tcBorders>
              <w:top w:val="nil"/>
              <w:left w:val="nil"/>
              <w:bottom w:val="nil"/>
              <w:right w:val="nil"/>
            </w:tcBorders>
            <w:shd w:val="clear" w:color="auto" w:fill="auto"/>
            <w:noWrap/>
            <w:vAlign w:val="bottom"/>
            <w:hideMark/>
          </w:tcPr>
          <w:p w14:paraId="1DEAC159" w14:textId="1B4BB159"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(54.062.919)</w:t>
            </w:r>
          </w:p>
        </w:tc>
        <w:tc>
          <w:tcPr>
            <w:tcW w:w="1134" w:type="dxa"/>
            <w:tcBorders>
              <w:top w:val="nil"/>
              <w:left w:val="nil"/>
              <w:bottom w:val="nil"/>
              <w:right w:val="nil"/>
            </w:tcBorders>
            <w:shd w:val="clear" w:color="auto" w:fill="auto"/>
            <w:noWrap/>
            <w:vAlign w:val="bottom"/>
            <w:hideMark/>
          </w:tcPr>
          <w:p w14:paraId="52083D6F" w14:textId="44010CB6"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(41.471.569)</w:t>
            </w:r>
          </w:p>
        </w:tc>
      </w:tr>
      <w:tr w:rsidR="00E1085B" w:rsidRPr="00E1085B" w14:paraId="23BCD463" w14:textId="77777777" w:rsidTr="00E1085B">
        <w:trPr>
          <w:trHeight w:val="227"/>
        </w:trPr>
        <w:tc>
          <w:tcPr>
            <w:tcW w:w="6909" w:type="dxa"/>
            <w:tcBorders>
              <w:top w:val="nil"/>
              <w:left w:val="nil"/>
              <w:bottom w:val="nil"/>
              <w:right w:val="nil"/>
            </w:tcBorders>
            <w:shd w:val="clear" w:color="auto" w:fill="auto"/>
            <w:noWrap/>
            <w:vAlign w:val="bottom"/>
            <w:hideMark/>
          </w:tcPr>
          <w:p w14:paraId="5963C361" w14:textId="22513BF5" w:rsidR="00E1085B" w:rsidRPr="00E1085B" w:rsidRDefault="00E1085B" w:rsidP="00E1085B">
            <w:pPr>
              <w:spacing w:after="0" w:line="240" w:lineRule="auto"/>
              <w:rPr>
                <w:rFonts w:ascii="Calibri" w:eastAsia="Times New Roman" w:hAnsi="Calibri" w:cs="Calibri"/>
                <w:sz w:val="16"/>
                <w:szCs w:val="16"/>
              </w:rPr>
            </w:pPr>
            <w:r w:rsidRPr="00E1085B">
              <w:rPr>
                <w:rFonts w:ascii="Calibri" w:eastAsia="Times New Roman" w:hAnsi="Calibri" w:cs="Calibri"/>
                <w:sz w:val="16"/>
                <w:szCs w:val="16"/>
              </w:rPr>
              <w:t xml:space="preserve"> </w:t>
            </w:r>
            <w:r w:rsidR="00D87233">
              <w:rPr>
                <w:rFonts w:ascii="Calibri" w:eastAsia="Times New Roman" w:hAnsi="Calibri" w:cs="Calibri"/>
                <w:sz w:val="16"/>
                <w:szCs w:val="16"/>
              </w:rPr>
              <w:t xml:space="preserve">      </w:t>
            </w:r>
            <w:r w:rsidRPr="00E1085B">
              <w:rPr>
                <w:rFonts w:ascii="Calibri" w:eastAsia="Times New Roman" w:hAnsi="Calibri" w:cs="Calibri"/>
                <w:sz w:val="16"/>
                <w:szCs w:val="16"/>
              </w:rPr>
              <w:t xml:space="preserve">Juros Pagos (Arrendamento Direito de Uso) </w:t>
            </w:r>
          </w:p>
        </w:tc>
        <w:tc>
          <w:tcPr>
            <w:tcW w:w="1134" w:type="dxa"/>
            <w:tcBorders>
              <w:top w:val="nil"/>
              <w:left w:val="nil"/>
              <w:bottom w:val="nil"/>
              <w:right w:val="nil"/>
            </w:tcBorders>
            <w:shd w:val="clear" w:color="auto" w:fill="auto"/>
            <w:noWrap/>
            <w:vAlign w:val="bottom"/>
            <w:hideMark/>
          </w:tcPr>
          <w:p w14:paraId="634B52E0" w14:textId="7D4C9AD9"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(153.372)</w:t>
            </w:r>
          </w:p>
        </w:tc>
        <w:tc>
          <w:tcPr>
            <w:tcW w:w="1134" w:type="dxa"/>
            <w:tcBorders>
              <w:top w:val="nil"/>
              <w:left w:val="nil"/>
              <w:bottom w:val="nil"/>
              <w:right w:val="nil"/>
            </w:tcBorders>
            <w:shd w:val="clear" w:color="auto" w:fill="auto"/>
            <w:noWrap/>
            <w:vAlign w:val="bottom"/>
            <w:hideMark/>
          </w:tcPr>
          <w:p w14:paraId="5BB75821" w14:textId="79879950"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(335.467)</w:t>
            </w:r>
          </w:p>
        </w:tc>
      </w:tr>
      <w:tr w:rsidR="00E1085B" w:rsidRPr="00E1085B" w14:paraId="3D946753" w14:textId="77777777" w:rsidTr="00E1085B">
        <w:trPr>
          <w:trHeight w:val="227"/>
        </w:trPr>
        <w:tc>
          <w:tcPr>
            <w:tcW w:w="6909" w:type="dxa"/>
            <w:tcBorders>
              <w:top w:val="nil"/>
              <w:left w:val="nil"/>
              <w:bottom w:val="nil"/>
              <w:right w:val="nil"/>
            </w:tcBorders>
            <w:shd w:val="clear" w:color="auto" w:fill="auto"/>
            <w:noWrap/>
            <w:vAlign w:val="bottom"/>
            <w:hideMark/>
          </w:tcPr>
          <w:p w14:paraId="1E2CB11C" w14:textId="2175DF07"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IR e CSLL pagos no exercício </w:t>
            </w:r>
          </w:p>
        </w:tc>
        <w:tc>
          <w:tcPr>
            <w:tcW w:w="1134" w:type="dxa"/>
            <w:tcBorders>
              <w:top w:val="nil"/>
              <w:left w:val="nil"/>
              <w:bottom w:val="nil"/>
              <w:right w:val="nil"/>
            </w:tcBorders>
            <w:shd w:val="clear" w:color="auto" w:fill="auto"/>
            <w:noWrap/>
            <w:vAlign w:val="bottom"/>
            <w:hideMark/>
          </w:tcPr>
          <w:p w14:paraId="33933C2A" w14:textId="428E3F5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(2.755.883)</w:t>
            </w:r>
          </w:p>
        </w:tc>
        <w:tc>
          <w:tcPr>
            <w:tcW w:w="1134" w:type="dxa"/>
            <w:tcBorders>
              <w:top w:val="nil"/>
              <w:left w:val="nil"/>
              <w:bottom w:val="nil"/>
              <w:right w:val="nil"/>
            </w:tcBorders>
            <w:shd w:val="clear" w:color="auto" w:fill="auto"/>
            <w:noWrap/>
            <w:vAlign w:val="bottom"/>
            <w:hideMark/>
          </w:tcPr>
          <w:p w14:paraId="3277EB8E" w14:textId="5CEFBEE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 </w:t>
            </w:r>
          </w:p>
        </w:tc>
      </w:tr>
      <w:tr w:rsidR="00E1085B" w:rsidRPr="00E1085B" w14:paraId="75E339AF" w14:textId="77777777" w:rsidTr="00E1085B">
        <w:trPr>
          <w:trHeight w:val="227"/>
        </w:trPr>
        <w:tc>
          <w:tcPr>
            <w:tcW w:w="6909" w:type="dxa"/>
            <w:tcBorders>
              <w:top w:val="nil"/>
              <w:left w:val="nil"/>
              <w:bottom w:val="nil"/>
              <w:right w:val="nil"/>
            </w:tcBorders>
            <w:shd w:val="clear" w:color="auto" w:fill="auto"/>
            <w:noWrap/>
            <w:vAlign w:val="bottom"/>
            <w:hideMark/>
          </w:tcPr>
          <w:p w14:paraId="014CB299" w14:textId="747AED24"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 Caixa Líquido Gerado ou Consumido nas atividades operacionais </w:t>
            </w:r>
          </w:p>
        </w:tc>
        <w:tc>
          <w:tcPr>
            <w:tcW w:w="1134" w:type="dxa"/>
            <w:tcBorders>
              <w:top w:val="nil"/>
              <w:left w:val="nil"/>
              <w:bottom w:val="nil"/>
              <w:right w:val="nil"/>
            </w:tcBorders>
            <w:shd w:val="clear" w:color="auto" w:fill="auto"/>
            <w:noWrap/>
            <w:vAlign w:val="bottom"/>
            <w:hideMark/>
          </w:tcPr>
          <w:p w14:paraId="766C4A15" w14:textId="6181752F"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(56.972.174)</w:t>
            </w:r>
          </w:p>
        </w:tc>
        <w:tc>
          <w:tcPr>
            <w:tcW w:w="1134" w:type="dxa"/>
            <w:tcBorders>
              <w:top w:val="nil"/>
              <w:left w:val="nil"/>
              <w:bottom w:val="nil"/>
              <w:right w:val="nil"/>
            </w:tcBorders>
            <w:shd w:val="clear" w:color="auto" w:fill="auto"/>
            <w:noWrap/>
            <w:vAlign w:val="bottom"/>
            <w:hideMark/>
          </w:tcPr>
          <w:p w14:paraId="3362F1CE" w14:textId="1C6A395E"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(41.807.036)</w:t>
            </w:r>
          </w:p>
        </w:tc>
      </w:tr>
      <w:tr w:rsidR="00E1085B" w:rsidRPr="00E1085B" w14:paraId="4C0F04AD" w14:textId="77777777" w:rsidTr="00E1085B">
        <w:trPr>
          <w:trHeight w:val="227"/>
        </w:trPr>
        <w:tc>
          <w:tcPr>
            <w:tcW w:w="6909" w:type="dxa"/>
            <w:tcBorders>
              <w:top w:val="nil"/>
              <w:left w:val="nil"/>
              <w:bottom w:val="nil"/>
              <w:right w:val="nil"/>
            </w:tcBorders>
            <w:shd w:val="clear" w:color="auto" w:fill="auto"/>
            <w:noWrap/>
            <w:vAlign w:val="bottom"/>
            <w:hideMark/>
          </w:tcPr>
          <w:p w14:paraId="2928E437" w14:textId="77777777" w:rsidR="00E1085B" w:rsidRPr="00E1085B" w:rsidRDefault="00E1085B" w:rsidP="00E1085B">
            <w:pPr>
              <w:spacing w:after="0" w:line="240" w:lineRule="auto"/>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20C7CC5A"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2BF75F48"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3D054EC1" w14:textId="77777777" w:rsidTr="00E1085B">
        <w:trPr>
          <w:trHeight w:val="227"/>
        </w:trPr>
        <w:tc>
          <w:tcPr>
            <w:tcW w:w="6909" w:type="dxa"/>
            <w:tcBorders>
              <w:top w:val="nil"/>
              <w:left w:val="nil"/>
              <w:bottom w:val="nil"/>
              <w:right w:val="nil"/>
            </w:tcBorders>
            <w:shd w:val="clear" w:color="auto" w:fill="auto"/>
            <w:noWrap/>
            <w:vAlign w:val="bottom"/>
            <w:hideMark/>
          </w:tcPr>
          <w:p w14:paraId="77335189" w14:textId="77777777" w:rsidR="00E1085B" w:rsidRPr="00E1085B" w:rsidRDefault="00E1085B" w:rsidP="00E1085B">
            <w:pPr>
              <w:spacing w:after="0" w:line="240" w:lineRule="auto"/>
              <w:jc w:val="center"/>
              <w:rPr>
                <w:rFonts w:ascii="Calibri" w:eastAsia="Times New Roman" w:hAnsi="Calibri" w:cs="Calibri"/>
                <w:b/>
                <w:bCs/>
                <w:sz w:val="16"/>
                <w:szCs w:val="16"/>
              </w:rPr>
            </w:pPr>
            <w:r w:rsidRPr="00E1085B">
              <w:rPr>
                <w:rFonts w:ascii="Calibri" w:eastAsia="Times New Roman" w:hAnsi="Calibri" w:cs="Calibri"/>
                <w:b/>
                <w:bCs/>
                <w:sz w:val="16"/>
                <w:szCs w:val="16"/>
              </w:rPr>
              <w:t xml:space="preserve"> FLUXOS DE CAIXA DAS ATIVIDADES DE INVESTIMENTOS </w:t>
            </w:r>
          </w:p>
        </w:tc>
        <w:tc>
          <w:tcPr>
            <w:tcW w:w="1134" w:type="dxa"/>
            <w:tcBorders>
              <w:top w:val="nil"/>
              <w:left w:val="nil"/>
              <w:bottom w:val="nil"/>
              <w:right w:val="nil"/>
            </w:tcBorders>
            <w:shd w:val="clear" w:color="auto" w:fill="auto"/>
            <w:noWrap/>
            <w:vAlign w:val="bottom"/>
            <w:hideMark/>
          </w:tcPr>
          <w:p w14:paraId="06CBFC2B" w14:textId="77777777" w:rsidR="00E1085B" w:rsidRPr="00E1085B" w:rsidRDefault="00E1085B" w:rsidP="00E1085B">
            <w:pPr>
              <w:spacing w:after="0" w:line="240" w:lineRule="auto"/>
              <w:jc w:val="right"/>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5A95B9CA"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E53964C" w14:textId="77777777" w:rsidTr="00E1085B">
        <w:trPr>
          <w:trHeight w:val="227"/>
        </w:trPr>
        <w:tc>
          <w:tcPr>
            <w:tcW w:w="6909" w:type="dxa"/>
            <w:tcBorders>
              <w:top w:val="nil"/>
              <w:left w:val="nil"/>
              <w:bottom w:val="nil"/>
              <w:right w:val="nil"/>
            </w:tcBorders>
            <w:shd w:val="clear" w:color="auto" w:fill="auto"/>
            <w:noWrap/>
            <w:vAlign w:val="bottom"/>
            <w:hideMark/>
          </w:tcPr>
          <w:p w14:paraId="0FAB09D3" w14:textId="77777777" w:rsidR="00E1085B" w:rsidRPr="00E1085B" w:rsidRDefault="00E1085B" w:rsidP="00E1085B">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2FA4909C"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574C89E9"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09C84D09" w14:textId="77777777" w:rsidTr="00E1085B">
        <w:trPr>
          <w:trHeight w:val="227"/>
        </w:trPr>
        <w:tc>
          <w:tcPr>
            <w:tcW w:w="6909" w:type="dxa"/>
            <w:tcBorders>
              <w:top w:val="nil"/>
              <w:left w:val="nil"/>
              <w:bottom w:val="nil"/>
              <w:right w:val="nil"/>
            </w:tcBorders>
            <w:shd w:val="clear" w:color="auto" w:fill="auto"/>
            <w:noWrap/>
            <w:vAlign w:val="bottom"/>
            <w:hideMark/>
          </w:tcPr>
          <w:p w14:paraId="57B9B59A" w14:textId="41F9CBC9"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Aquisição de Imobilizado </w:t>
            </w:r>
          </w:p>
        </w:tc>
        <w:tc>
          <w:tcPr>
            <w:tcW w:w="1134" w:type="dxa"/>
            <w:tcBorders>
              <w:top w:val="nil"/>
              <w:left w:val="nil"/>
              <w:bottom w:val="nil"/>
              <w:right w:val="nil"/>
            </w:tcBorders>
            <w:shd w:val="clear" w:color="auto" w:fill="auto"/>
            <w:noWrap/>
            <w:vAlign w:val="bottom"/>
            <w:hideMark/>
          </w:tcPr>
          <w:p w14:paraId="0A78C68A" w14:textId="77860181"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(23.373.926)</w:t>
            </w:r>
          </w:p>
        </w:tc>
        <w:tc>
          <w:tcPr>
            <w:tcW w:w="1134" w:type="dxa"/>
            <w:tcBorders>
              <w:top w:val="nil"/>
              <w:left w:val="nil"/>
              <w:bottom w:val="nil"/>
              <w:right w:val="nil"/>
            </w:tcBorders>
            <w:shd w:val="clear" w:color="auto" w:fill="auto"/>
            <w:noWrap/>
            <w:vAlign w:val="bottom"/>
            <w:hideMark/>
          </w:tcPr>
          <w:p w14:paraId="56655DB2" w14:textId="6E9E9158"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(28.433.071)</w:t>
            </w:r>
          </w:p>
        </w:tc>
      </w:tr>
      <w:tr w:rsidR="00E1085B" w:rsidRPr="00E1085B" w14:paraId="22BE5AD7" w14:textId="77777777" w:rsidTr="00E1085B">
        <w:trPr>
          <w:trHeight w:val="227"/>
        </w:trPr>
        <w:tc>
          <w:tcPr>
            <w:tcW w:w="6909" w:type="dxa"/>
            <w:tcBorders>
              <w:top w:val="nil"/>
              <w:left w:val="nil"/>
              <w:bottom w:val="nil"/>
              <w:right w:val="nil"/>
            </w:tcBorders>
            <w:shd w:val="clear" w:color="auto" w:fill="auto"/>
            <w:noWrap/>
            <w:vAlign w:val="bottom"/>
            <w:hideMark/>
          </w:tcPr>
          <w:p w14:paraId="643FFDCD" w14:textId="270BB95C"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Aquisição de Intangível </w:t>
            </w:r>
          </w:p>
        </w:tc>
        <w:tc>
          <w:tcPr>
            <w:tcW w:w="1134" w:type="dxa"/>
            <w:tcBorders>
              <w:top w:val="nil"/>
              <w:left w:val="nil"/>
              <w:bottom w:val="nil"/>
              <w:right w:val="nil"/>
            </w:tcBorders>
            <w:shd w:val="clear" w:color="auto" w:fill="auto"/>
            <w:noWrap/>
            <w:vAlign w:val="bottom"/>
            <w:hideMark/>
          </w:tcPr>
          <w:p w14:paraId="05F88FC5" w14:textId="0D3F3A40"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(4.015.811)</w:t>
            </w:r>
          </w:p>
        </w:tc>
        <w:tc>
          <w:tcPr>
            <w:tcW w:w="1134" w:type="dxa"/>
            <w:tcBorders>
              <w:top w:val="nil"/>
              <w:left w:val="nil"/>
              <w:bottom w:val="nil"/>
              <w:right w:val="nil"/>
            </w:tcBorders>
            <w:shd w:val="clear" w:color="auto" w:fill="auto"/>
            <w:noWrap/>
            <w:vAlign w:val="bottom"/>
            <w:hideMark/>
          </w:tcPr>
          <w:p w14:paraId="2BB03A6E" w14:textId="76AEF326"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(3.115.461)</w:t>
            </w:r>
          </w:p>
        </w:tc>
      </w:tr>
      <w:tr w:rsidR="00E1085B" w:rsidRPr="00E1085B" w14:paraId="36F8FD3A" w14:textId="77777777" w:rsidTr="00E1085B">
        <w:trPr>
          <w:trHeight w:val="227"/>
        </w:trPr>
        <w:tc>
          <w:tcPr>
            <w:tcW w:w="6909" w:type="dxa"/>
            <w:tcBorders>
              <w:top w:val="nil"/>
              <w:left w:val="nil"/>
              <w:bottom w:val="nil"/>
              <w:right w:val="nil"/>
            </w:tcBorders>
            <w:shd w:val="clear" w:color="auto" w:fill="auto"/>
            <w:noWrap/>
            <w:vAlign w:val="bottom"/>
            <w:hideMark/>
          </w:tcPr>
          <w:p w14:paraId="7BAFAB84" w14:textId="6D626DC7"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 Disponibilidades liquidas geradas (aplicadas) nas atividades de investimentos </w:t>
            </w:r>
          </w:p>
        </w:tc>
        <w:tc>
          <w:tcPr>
            <w:tcW w:w="1134" w:type="dxa"/>
            <w:tcBorders>
              <w:top w:val="nil"/>
              <w:left w:val="nil"/>
              <w:bottom w:val="nil"/>
              <w:right w:val="nil"/>
            </w:tcBorders>
            <w:shd w:val="clear" w:color="auto" w:fill="auto"/>
            <w:noWrap/>
            <w:vAlign w:val="bottom"/>
            <w:hideMark/>
          </w:tcPr>
          <w:p w14:paraId="1D53D6C0" w14:textId="3EFC2453"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(27.389.737)</w:t>
            </w:r>
          </w:p>
        </w:tc>
        <w:tc>
          <w:tcPr>
            <w:tcW w:w="1134" w:type="dxa"/>
            <w:tcBorders>
              <w:top w:val="nil"/>
              <w:left w:val="nil"/>
              <w:bottom w:val="nil"/>
              <w:right w:val="nil"/>
            </w:tcBorders>
            <w:shd w:val="clear" w:color="auto" w:fill="auto"/>
            <w:noWrap/>
            <w:vAlign w:val="bottom"/>
            <w:hideMark/>
          </w:tcPr>
          <w:p w14:paraId="34623787" w14:textId="15DBA657"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(31.548.532)</w:t>
            </w:r>
          </w:p>
        </w:tc>
      </w:tr>
      <w:tr w:rsidR="00E1085B" w:rsidRPr="00E1085B" w14:paraId="61DCB953" w14:textId="77777777" w:rsidTr="00E1085B">
        <w:trPr>
          <w:trHeight w:val="227"/>
        </w:trPr>
        <w:tc>
          <w:tcPr>
            <w:tcW w:w="6909" w:type="dxa"/>
            <w:tcBorders>
              <w:top w:val="nil"/>
              <w:left w:val="nil"/>
              <w:bottom w:val="nil"/>
              <w:right w:val="nil"/>
            </w:tcBorders>
            <w:shd w:val="clear" w:color="auto" w:fill="auto"/>
            <w:noWrap/>
            <w:vAlign w:val="bottom"/>
            <w:hideMark/>
          </w:tcPr>
          <w:p w14:paraId="091762FB" w14:textId="77777777" w:rsidR="00E1085B" w:rsidRPr="00E1085B" w:rsidRDefault="00E1085B" w:rsidP="00E1085B">
            <w:pPr>
              <w:spacing w:after="0" w:line="240" w:lineRule="auto"/>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613CE08B"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777F1886"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5DE94E0B" w14:textId="77777777" w:rsidTr="00E1085B">
        <w:trPr>
          <w:trHeight w:val="227"/>
        </w:trPr>
        <w:tc>
          <w:tcPr>
            <w:tcW w:w="6909" w:type="dxa"/>
            <w:tcBorders>
              <w:top w:val="nil"/>
              <w:left w:val="nil"/>
              <w:bottom w:val="nil"/>
              <w:right w:val="nil"/>
            </w:tcBorders>
            <w:shd w:val="clear" w:color="auto" w:fill="auto"/>
            <w:noWrap/>
            <w:vAlign w:val="bottom"/>
            <w:hideMark/>
          </w:tcPr>
          <w:p w14:paraId="6BBE8DAD" w14:textId="77777777" w:rsidR="00E1085B" w:rsidRPr="00E1085B" w:rsidRDefault="00E1085B" w:rsidP="00E1085B">
            <w:pPr>
              <w:spacing w:after="0" w:line="240" w:lineRule="auto"/>
              <w:jc w:val="center"/>
              <w:rPr>
                <w:rFonts w:ascii="Calibri" w:eastAsia="Times New Roman" w:hAnsi="Calibri" w:cs="Calibri"/>
                <w:b/>
                <w:bCs/>
                <w:sz w:val="16"/>
                <w:szCs w:val="16"/>
              </w:rPr>
            </w:pPr>
            <w:r w:rsidRPr="00E1085B">
              <w:rPr>
                <w:rFonts w:ascii="Calibri" w:eastAsia="Times New Roman" w:hAnsi="Calibri" w:cs="Calibri"/>
                <w:b/>
                <w:bCs/>
                <w:sz w:val="16"/>
                <w:szCs w:val="16"/>
              </w:rPr>
              <w:t xml:space="preserve"> FLUXOS DE CAIXA DAS ATIVIDADES DE FINANCIAMENTO </w:t>
            </w:r>
          </w:p>
        </w:tc>
        <w:tc>
          <w:tcPr>
            <w:tcW w:w="1134" w:type="dxa"/>
            <w:tcBorders>
              <w:top w:val="nil"/>
              <w:left w:val="nil"/>
              <w:bottom w:val="nil"/>
              <w:right w:val="nil"/>
            </w:tcBorders>
            <w:shd w:val="clear" w:color="auto" w:fill="auto"/>
            <w:noWrap/>
            <w:vAlign w:val="bottom"/>
            <w:hideMark/>
          </w:tcPr>
          <w:p w14:paraId="084E0E9A" w14:textId="77777777" w:rsidR="00E1085B" w:rsidRPr="00E1085B" w:rsidRDefault="00E1085B" w:rsidP="00E1085B">
            <w:pPr>
              <w:spacing w:after="0" w:line="240" w:lineRule="auto"/>
              <w:jc w:val="right"/>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bottom"/>
            <w:hideMark/>
          </w:tcPr>
          <w:p w14:paraId="3592DB06"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F8DE4FC" w14:textId="77777777" w:rsidTr="00E1085B">
        <w:trPr>
          <w:trHeight w:val="227"/>
        </w:trPr>
        <w:tc>
          <w:tcPr>
            <w:tcW w:w="6909" w:type="dxa"/>
            <w:tcBorders>
              <w:top w:val="nil"/>
              <w:left w:val="nil"/>
              <w:bottom w:val="nil"/>
              <w:right w:val="nil"/>
            </w:tcBorders>
            <w:shd w:val="clear" w:color="auto" w:fill="auto"/>
            <w:noWrap/>
            <w:vAlign w:val="bottom"/>
            <w:hideMark/>
          </w:tcPr>
          <w:p w14:paraId="5A63E62B" w14:textId="77777777" w:rsidR="00E1085B" w:rsidRPr="00E1085B" w:rsidRDefault="00E1085B" w:rsidP="00E1085B">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4581E839"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23B69C10"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2F770333" w14:textId="77777777" w:rsidTr="00E1085B">
        <w:trPr>
          <w:trHeight w:val="227"/>
        </w:trPr>
        <w:tc>
          <w:tcPr>
            <w:tcW w:w="6909" w:type="dxa"/>
            <w:tcBorders>
              <w:top w:val="nil"/>
              <w:left w:val="nil"/>
              <w:bottom w:val="nil"/>
              <w:right w:val="nil"/>
            </w:tcBorders>
            <w:shd w:val="clear" w:color="auto" w:fill="auto"/>
            <w:noWrap/>
            <w:vAlign w:val="bottom"/>
            <w:hideMark/>
          </w:tcPr>
          <w:p w14:paraId="719662D9" w14:textId="07D2C203"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Créditos Recebidos da União - AFAC </w:t>
            </w:r>
          </w:p>
        </w:tc>
        <w:tc>
          <w:tcPr>
            <w:tcW w:w="1134" w:type="dxa"/>
            <w:tcBorders>
              <w:top w:val="nil"/>
              <w:left w:val="nil"/>
              <w:bottom w:val="nil"/>
              <w:right w:val="nil"/>
            </w:tcBorders>
            <w:shd w:val="clear" w:color="auto" w:fill="auto"/>
            <w:noWrap/>
            <w:vAlign w:val="bottom"/>
            <w:hideMark/>
          </w:tcPr>
          <w:p w14:paraId="315B0DBA" w14:textId="6E63A21F"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32.128.790 </w:t>
            </w:r>
          </w:p>
        </w:tc>
        <w:tc>
          <w:tcPr>
            <w:tcW w:w="1134" w:type="dxa"/>
            <w:tcBorders>
              <w:top w:val="nil"/>
              <w:left w:val="nil"/>
              <w:bottom w:val="nil"/>
              <w:right w:val="nil"/>
            </w:tcBorders>
            <w:shd w:val="clear" w:color="auto" w:fill="auto"/>
            <w:noWrap/>
            <w:vAlign w:val="bottom"/>
            <w:hideMark/>
          </w:tcPr>
          <w:p w14:paraId="0D2A6BD2" w14:textId="1F0B3F7A"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31.720.272 </w:t>
            </w:r>
          </w:p>
        </w:tc>
      </w:tr>
      <w:tr w:rsidR="00E1085B" w:rsidRPr="00E1085B" w14:paraId="42E3FC72" w14:textId="77777777" w:rsidTr="00E1085B">
        <w:trPr>
          <w:trHeight w:val="227"/>
        </w:trPr>
        <w:tc>
          <w:tcPr>
            <w:tcW w:w="6909" w:type="dxa"/>
            <w:tcBorders>
              <w:top w:val="nil"/>
              <w:left w:val="nil"/>
              <w:bottom w:val="nil"/>
              <w:right w:val="nil"/>
            </w:tcBorders>
            <w:shd w:val="clear" w:color="auto" w:fill="auto"/>
            <w:noWrap/>
            <w:vAlign w:val="bottom"/>
            <w:hideMark/>
          </w:tcPr>
          <w:p w14:paraId="03C27FF1" w14:textId="3B699A6C"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Subvenção do Tesouro Nacional - repasse para custeio/pessoal </w:t>
            </w:r>
          </w:p>
        </w:tc>
        <w:tc>
          <w:tcPr>
            <w:tcW w:w="1134" w:type="dxa"/>
            <w:tcBorders>
              <w:top w:val="nil"/>
              <w:left w:val="nil"/>
              <w:bottom w:val="nil"/>
              <w:right w:val="nil"/>
            </w:tcBorders>
            <w:shd w:val="clear" w:color="auto" w:fill="auto"/>
            <w:noWrap/>
            <w:vAlign w:val="bottom"/>
            <w:hideMark/>
          </w:tcPr>
          <w:p w14:paraId="57B2EDCE" w14:textId="08F0572B"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58.172.981 </w:t>
            </w:r>
          </w:p>
        </w:tc>
        <w:tc>
          <w:tcPr>
            <w:tcW w:w="1134" w:type="dxa"/>
            <w:tcBorders>
              <w:top w:val="nil"/>
              <w:left w:val="nil"/>
              <w:bottom w:val="nil"/>
              <w:right w:val="nil"/>
            </w:tcBorders>
            <w:shd w:val="clear" w:color="auto" w:fill="auto"/>
            <w:noWrap/>
            <w:vAlign w:val="bottom"/>
            <w:hideMark/>
          </w:tcPr>
          <w:p w14:paraId="0659ECF4" w14:textId="0C008B75"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 47.699.598 </w:t>
            </w:r>
          </w:p>
        </w:tc>
      </w:tr>
      <w:tr w:rsidR="00E1085B" w:rsidRPr="00E1085B" w14:paraId="167B401D" w14:textId="77777777" w:rsidTr="00E1085B">
        <w:trPr>
          <w:trHeight w:val="227"/>
        </w:trPr>
        <w:tc>
          <w:tcPr>
            <w:tcW w:w="6909" w:type="dxa"/>
            <w:tcBorders>
              <w:top w:val="nil"/>
              <w:left w:val="nil"/>
              <w:bottom w:val="nil"/>
              <w:right w:val="nil"/>
            </w:tcBorders>
            <w:shd w:val="clear" w:color="auto" w:fill="auto"/>
            <w:noWrap/>
            <w:vAlign w:val="bottom"/>
            <w:hideMark/>
          </w:tcPr>
          <w:p w14:paraId="3F5876E8" w14:textId="5D55F6F3"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Pagamento de Passivos de Arrendamento (Direito de Uso) </w:t>
            </w:r>
          </w:p>
        </w:tc>
        <w:tc>
          <w:tcPr>
            <w:tcW w:w="1134" w:type="dxa"/>
            <w:tcBorders>
              <w:top w:val="nil"/>
              <w:left w:val="nil"/>
              <w:bottom w:val="nil"/>
              <w:right w:val="nil"/>
            </w:tcBorders>
            <w:shd w:val="clear" w:color="auto" w:fill="auto"/>
            <w:noWrap/>
            <w:vAlign w:val="bottom"/>
            <w:hideMark/>
          </w:tcPr>
          <w:p w14:paraId="3FD685C9" w14:textId="55CFD7EB"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(1.026.817)</w:t>
            </w:r>
          </w:p>
        </w:tc>
        <w:tc>
          <w:tcPr>
            <w:tcW w:w="1134" w:type="dxa"/>
            <w:tcBorders>
              <w:top w:val="nil"/>
              <w:left w:val="nil"/>
              <w:bottom w:val="nil"/>
              <w:right w:val="nil"/>
            </w:tcBorders>
            <w:shd w:val="clear" w:color="auto" w:fill="auto"/>
            <w:noWrap/>
            <w:vAlign w:val="bottom"/>
            <w:hideMark/>
          </w:tcPr>
          <w:p w14:paraId="23D75241" w14:textId="0D22AB00"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(1.552.442)</w:t>
            </w:r>
          </w:p>
        </w:tc>
      </w:tr>
      <w:tr w:rsidR="00E1085B" w:rsidRPr="00E1085B" w14:paraId="622E2B32" w14:textId="77777777" w:rsidTr="00E1085B">
        <w:trPr>
          <w:trHeight w:val="227"/>
        </w:trPr>
        <w:tc>
          <w:tcPr>
            <w:tcW w:w="6909" w:type="dxa"/>
            <w:tcBorders>
              <w:top w:val="nil"/>
              <w:left w:val="nil"/>
              <w:bottom w:val="nil"/>
              <w:right w:val="nil"/>
            </w:tcBorders>
            <w:shd w:val="clear" w:color="auto" w:fill="auto"/>
            <w:noWrap/>
            <w:vAlign w:val="bottom"/>
            <w:hideMark/>
          </w:tcPr>
          <w:p w14:paraId="11574A5E" w14:textId="716F1074"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 Disponibilidades líquidas geradas (aplicadas) nas atividades de financiamentos </w:t>
            </w:r>
          </w:p>
        </w:tc>
        <w:tc>
          <w:tcPr>
            <w:tcW w:w="1134" w:type="dxa"/>
            <w:tcBorders>
              <w:top w:val="nil"/>
              <w:left w:val="nil"/>
              <w:bottom w:val="nil"/>
              <w:right w:val="nil"/>
            </w:tcBorders>
            <w:shd w:val="clear" w:color="auto" w:fill="auto"/>
            <w:noWrap/>
            <w:vAlign w:val="bottom"/>
            <w:hideMark/>
          </w:tcPr>
          <w:p w14:paraId="5CCCA39B" w14:textId="60FEE685"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89.274.954 </w:t>
            </w:r>
          </w:p>
        </w:tc>
        <w:tc>
          <w:tcPr>
            <w:tcW w:w="1134" w:type="dxa"/>
            <w:tcBorders>
              <w:top w:val="nil"/>
              <w:left w:val="nil"/>
              <w:bottom w:val="nil"/>
              <w:right w:val="nil"/>
            </w:tcBorders>
            <w:shd w:val="clear" w:color="auto" w:fill="auto"/>
            <w:noWrap/>
            <w:vAlign w:val="bottom"/>
            <w:hideMark/>
          </w:tcPr>
          <w:p w14:paraId="31AD58A3" w14:textId="74EB0103"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 77.867.428 </w:t>
            </w:r>
          </w:p>
        </w:tc>
      </w:tr>
      <w:tr w:rsidR="00E1085B" w:rsidRPr="00E1085B" w14:paraId="3FB57A58" w14:textId="77777777" w:rsidTr="00E1085B">
        <w:trPr>
          <w:trHeight w:val="227"/>
        </w:trPr>
        <w:tc>
          <w:tcPr>
            <w:tcW w:w="6909" w:type="dxa"/>
            <w:tcBorders>
              <w:top w:val="nil"/>
              <w:left w:val="nil"/>
              <w:bottom w:val="nil"/>
              <w:right w:val="nil"/>
            </w:tcBorders>
            <w:shd w:val="clear" w:color="auto" w:fill="auto"/>
            <w:noWrap/>
            <w:vAlign w:val="bottom"/>
            <w:hideMark/>
          </w:tcPr>
          <w:p w14:paraId="203C1008" w14:textId="77777777" w:rsidR="00E1085B" w:rsidRPr="00E1085B" w:rsidRDefault="00E1085B" w:rsidP="00E1085B">
            <w:pPr>
              <w:spacing w:after="0" w:line="240" w:lineRule="auto"/>
              <w:rPr>
                <w:rFonts w:ascii="Calibri" w:eastAsia="Times New Roman" w:hAnsi="Calibri" w:cs="Calibri"/>
                <w:b/>
                <w:bCs/>
                <w:sz w:val="16"/>
                <w:szCs w:val="16"/>
              </w:rPr>
            </w:pPr>
          </w:p>
        </w:tc>
        <w:tc>
          <w:tcPr>
            <w:tcW w:w="1134" w:type="dxa"/>
            <w:tcBorders>
              <w:top w:val="nil"/>
              <w:left w:val="nil"/>
              <w:bottom w:val="nil"/>
              <w:right w:val="nil"/>
            </w:tcBorders>
            <w:shd w:val="clear" w:color="auto" w:fill="auto"/>
            <w:noWrap/>
            <w:vAlign w:val="center"/>
            <w:hideMark/>
          </w:tcPr>
          <w:p w14:paraId="3B3FC7D7"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18E26125" w14:textId="77777777" w:rsidR="00E1085B" w:rsidRPr="00E1085B" w:rsidRDefault="00E1085B" w:rsidP="00E1085B">
            <w:pPr>
              <w:spacing w:after="0" w:line="240" w:lineRule="auto"/>
              <w:jc w:val="right"/>
              <w:rPr>
                <w:rFonts w:ascii="Times New Roman" w:eastAsia="Times New Roman" w:hAnsi="Times New Roman" w:cs="Times New Roman"/>
                <w:sz w:val="20"/>
                <w:szCs w:val="20"/>
              </w:rPr>
            </w:pPr>
          </w:p>
        </w:tc>
      </w:tr>
      <w:tr w:rsidR="00E1085B" w:rsidRPr="00E1085B" w14:paraId="18085BCF" w14:textId="77777777" w:rsidTr="0085028A">
        <w:trPr>
          <w:trHeight w:val="227"/>
        </w:trPr>
        <w:tc>
          <w:tcPr>
            <w:tcW w:w="6909" w:type="dxa"/>
            <w:tcBorders>
              <w:top w:val="single" w:sz="8" w:space="0" w:color="156082"/>
              <w:left w:val="nil"/>
              <w:bottom w:val="single" w:sz="8" w:space="0" w:color="156082"/>
              <w:right w:val="nil"/>
            </w:tcBorders>
            <w:shd w:val="clear" w:color="auto" w:fill="DEEAF6" w:themeFill="accent1" w:themeFillTint="33"/>
            <w:noWrap/>
            <w:vAlign w:val="bottom"/>
            <w:hideMark/>
          </w:tcPr>
          <w:p w14:paraId="30235AC3" w14:textId="4F115DEC" w:rsidR="00E1085B" w:rsidRPr="00E1085B" w:rsidRDefault="00E1085B" w:rsidP="00E1085B">
            <w:pPr>
              <w:spacing w:after="0" w:line="240" w:lineRule="auto"/>
              <w:rPr>
                <w:rFonts w:ascii="Calibri" w:eastAsia="Times New Roman" w:hAnsi="Calibri" w:cs="Calibri"/>
                <w:b/>
                <w:bCs/>
                <w:sz w:val="16"/>
                <w:szCs w:val="16"/>
              </w:rPr>
            </w:pPr>
            <w:r w:rsidRPr="00E1085B">
              <w:rPr>
                <w:rFonts w:ascii="Calibri" w:eastAsia="Times New Roman" w:hAnsi="Calibri" w:cs="Calibri"/>
                <w:b/>
                <w:bCs/>
                <w:sz w:val="16"/>
                <w:szCs w:val="16"/>
              </w:rPr>
              <w:t xml:space="preserve">Aumento (redução) das disponibilidades </w:t>
            </w:r>
          </w:p>
        </w:tc>
        <w:tc>
          <w:tcPr>
            <w:tcW w:w="1134" w:type="dxa"/>
            <w:tcBorders>
              <w:top w:val="single" w:sz="8" w:space="0" w:color="156082"/>
              <w:left w:val="nil"/>
              <w:bottom w:val="single" w:sz="8" w:space="0" w:color="156082"/>
              <w:right w:val="nil"/>
            </w:tcBorders>
            <w:shd w:val="clear" w:color="auto" w:fill="DEEAF6" w:themeFill="accent1" w:themeFillTint="33"/>
            <w:noWrap/>
            <w:vAlign w:val="bottom"/>
            <w:hideMark/>
          </w:tcPr>
          <w:p w14:paraId="575DA7AE" w14:textId="3589BE5A"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4.913.043 </w:t>
            </w:r>
          </w:p>
        </w:tc>
        <w:tc>
          <w:tcPr>
            <w:tcW w:w="1134" w:type="dxa"/>
            <w:tcBorders>
              <w:top w:val="single" w:sz="8" w:space="0" w:color="156082"/>
              <w:left w:val="nil"/>
              <w:bottom w:val="single" w:sz="8" w:space="0" w:color="156082"/>
              <w:right w:val="nil"/>
            </w:tcBorders>
            <w:shd w:val="clear" w:color="auto" w:fill="DEEAF6" w:themeFill="accent1" w:themeFillTint="33"/>
            <w:noWrap/>
            <w:vAlign w:val="bottom"/>
            <w:hideMark/>
          </w:tcPr>
          <w:p w14:paraId="3EF6AAEF" w14:textId="6BAB9BF6" w:rsidR="00E1085B" w:rsidRPr="00E1085B" w:rsidRDefault="00E1085B" w:rsidP="00E1085B">
            <w:pPr>
              <w:spacing w:after="0" w:line="240" w:lineRule="auto"/>
              <w:jc w:val="right"/>
              <w:rPr>
                <w:rFonts w:ascii="Calibri" w:eastAsia="Times New Roman" w:hAnsi="Calibri" w:cs="Calibri"/>
                <w:b/>
                <w:bCs/>
                <w:sz w:val="16"/>
                <w:szCs w:val="16"/>
              </w:rPr>
            </w:pPr>
            <w:r w:rsidRPr="00E1085B">
              <w:rPr>
                <w:rFonts w:ascii="Calibri" w:eastAsia="Times New Roman" w:hAnsi="Calibri" w:cs="Calibri"/>
                <w:b/>
                <w:bCs/>
                <w:sz w:val="16"/>
                <w:szCs w:val="16"/>
              </w:rPr>
              <w:t xml:space="preserve">4.511.860 </w:t>
            </w:r>
          </w:p>
        </w:tc>
      </w:tr>
      <w:tr w:rsidR="00E1085B" w:rsidRPr="00E1085B" w14:paraId="29D02177" w14:textId="77777777" w:rsidTr="00E1085B">
        <w:trPr>
          <w:trHeight w:val="227"/>
        </w:trPr>
        <w:tc>
          <w:tcPr>
            <w:tcW w:w="6909" w:type="dxa"/>
            <w:tcBorders>
              <w:top w:val="nil"/>
              <w:left w:val="nil"/>
              <w:bottom w:val="nil"/>
              <w:right w:val="nil"/>
            </w:tcBorders>
            <w:shd w:val="clear" w:color="auto" w:fill="auto"/>
            <w:noWrap/>
            <w:vAlign w:val="bottom"/>
            <w:hideMark/>
          </w:tcPr>
          <w:p w14:paraId="13B6C488" w14:textId="45EFC0B0"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Disponibilidades no início do período </w:t>
            </w:r>
          </w:p>
        </w:tc>
        <w:tc>
          <w:tcPr>
            <w:tcW w:w="1134" w:type="dxa"/>
            <w:tcBorders>
              <w:top w:val="nil"/>
              <w:left w:val="nil"/>
              <w:bottom w:val="nil"/>
              <w:right w:val="nil"/>
            </w:tcBorders>
            <w:shd w:val="clear" w:color="auto" w:fill="auto"/>
            <w:noWrap/>
            <w:vAlign w:val="center"/>
            <w:hideMark/>
          </w:tcPr>
          <w:p w14:paraId="659E4EF3" w14:textId="5080C89B"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125.377.874 </w:t>
            </w:r>
          </w:p>
        </w:tc>
        <w:tc>
          <w:tcPr>
            <w:tcW w:w="1134" w:type="dxa"/>
            <w:tcBorders>
              <w:top w:val="nil"/>
              <w:left w:val="nil"/>
              <w:bottom w:val="nil"/>
              <w:right w:val="nil"/>
            </w:tcBorders>
            <w:shd w:val="clear" w:color="auto" w:fill="auto"/>
            <w:noWrap/>
            <w:vAlign w:val="center"/>
            <w:hideMark/>
          </w:tcPr>
          <w:p w14:paraId="0547AD4D" w14:textId="1F59331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126.597.965 </w:t>
            </w:r>
          </w:p>
        </w:tc>
      </w:tr>
      <w:tr w:rsidR="00E1085B" w:rsidRPr="00E1085B" w14:paraId="1A7A92D4" w14:textId="77777777" w:rsidTr="00E1085B">
        <w:trPr>
          <w:trHeight w:val="227"/>
        </w:trPr>
        <w:tc>
          <w:tcPr>
            <w:tcW w:w="6909" w:type="dxa"/>
            <w:tcBorders>
              <w:top w:val="nil"/>
              <w:left w:val="nil"/>
              <w:bottom w:val="nil"/>
              <w:right w:val="nil"/>
            </w:tcBorders>
            <w:shd w:val="clear" w:color="auto" w:fill="auto"/>
            <w:noWrap/>
            <w:vAlign w:val="bottom"/>
            <w:hideMark/>
          </w:tcPr>
          <w:p w14:paraId="30A09871" w14:textId="19BFF5CF" w:rsidR="00E1085B" w:rsidRPr="00E1085B" w:rsidRDefault="00D87233" w:rsidP="00E1085B">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E1085B" w:rsidRPr="00E1085B">
              <w:rPr>
                <w:rFonts w:ascii="Calibri" w:eastAsia="Times New Roman" w:hAnsi="Calibri" w:cs="Calibri"/>
                <w:sz w:val="16"/>
                <w:szCs w:val="16"/>
              </w:rPr>
              <w:t xml:space="preserve">Disponibilidades no final do período </w:t>
            </w:r>
          </w:p>
        </w:tc>
        <w:tc>
          <w:tcPr>
            <w:tcW w:w="1134" w:type="dxa"/>
            <w:tcBorders>
              <w:top w:val="nil"/>
              <w:left w:val="nil"/>
              <w:bottom w:val="nil"/>
              <w:right w:val="nil"/>
            </w:tcBorders>
            <w:shd w:val="clear" w:color="auto" w:fill="auto"/>
            <w:noWrap/>
            <w:vAlign w:val="center"/>
            <w:hideMark/>
          </w:tcPr>
          <w:p w14:paraId="1C04E219" w14:textId="635B033C"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130.290.917 </w:t>
            </w:r>
          </w:p>
        </w:tc>
        <w:tc>
          <w:tcPr>
            <w:tcW w:w="1134" w:type="dxa"/>
            <w:tcBorders>
              <w:top w:val="nil"/>
              <w:left w:val="nil"/>
              <w:bottom w:val="nil"/>
              <w:right w:val="nil"/>
            </w:tcBorders>
            <w:shd w:val="clear" w:color="auto" w:fill="auto"/>
            <w:noWrap/>
            <w:vAlign w:val="center"/>
            <w:hideMark/>
          </w:tcPr>
          <w:p w14:paraId="026291A8" w14:textId="3C9DE363" w:rsidR="00E1085B" w:rsidRPr="00E1085B" w:rsidRDefault="00E1085B" w:rsidP="00E1085B">
            <w:pPr>
              <w:spacing w:after="0" w:line="240" w:lineRule="auto"/>
              <w:jc w:val="right"/>
              <w:rPr>
                <w:rFonts w:ascii="Calibri" w:eastAsia="Times New Roman" w:hAnsi="Calibri" w:cs="Calibri"/>
                <w:sz w:val="16"/>
                <w:szCs w:val="16"/>
              </w:rPr>
            </w:pPr>
            <w:r w:rsidRPr="00E1085B">
              <w:rPr>
                <w:rFonts w:ascii="Calibri" w:eastAsia="Times New Roman" w:hAnsi="Calibri" w:cs="Calibri"/>
                <w:sz w:val="16"/>
                <w:szCs w:val="16"/>
              </w:rPr>
              <w:t xml:space="preserve">131.109.826 </w:t>
            </w:r>
          </w:p>
        </w:tc>
      </w:tr>
    </w:tbl>
    <w:p w14:paraId="1B89A1E3" w14:textId="77777777" w:rsidR="009D13D2" w:rsidRDefault="009D13D2" w:rsidP="00912938">
      <w:pPr>
        <w:spacing w:after="0" w:line="240" w:lineRule="auto"/>
        <w:rPr>
          <w:rFonts w:ascii="Calibri" w:eastAsia="Times New Roman" w:hAnsi="Calibri" w:cs="Calibri"/>
          <w:sz w:val="16"/>
          <w:szCs w:val="16"/>
        </w:rPr>
      </w:pPr>
    </w:p>
    <w:p w14:paraId="36643EAA" w14:textId="77777777" w:rsidR="00317D88" w:rsidRPr="00553371" w:rsidRDefault="00317D88" w:rsidP="00317D88">
      <w:pPr>
        <w:spacing w:after="0" w:line="240" w:lineRule="auto"/>
        <w:jc w:val="center"/>
        <w:rPr>
          <w:rFonts w:ascii="Calibri" w:eastAsia="Times New Roman" w:hAnsi="Calibri" w:cs="Calibri"/>
          <w:sz w:val="16"/>
          <w:szCs w:val="16"/>
        </w:rPr>
      </w:pPr>
      <w:r w:rsidRPr="00553371">
        <w:rPr>
          <w:rFonts w:ascii="Calibri" w:eastAsia="Times New Roman" w:hAnsi="Calibri" w:cs="Calibri"/>
          <w:sz w:val="16"/>
          <w:szCs w:val="16"/>
        </w:rPr>
        <w:t xml:space="preserve">(As Notas Explicativas são parte integrante das </w:t>
      </w:r>
      <w:r>
        <w:rPr>
          <w:rFonts w:ascii="Calibri" w:eastAsia="Times New Roman" w:hAnsi="Calibri" w:cs="Calibri"/>
          <w:sz w:val="16"/>
          <w:szCs w:val="16"/>
        </w:rPr>
        <w:t>D</w:t>
      </w:r>
      <w:r w:rsidRPr="00553371">
        <w:rPr>
          <w:rFonts w:ascii="Calibri" w:eastAsia="Times New Roman" w:hAnsi="Calibri" w:cs="Calibri"/>
          <w:sz w:val="16"/>
          <w:szCs w:val="16"/>
        </w:rPr>
        <w:t xml:space="preserve">emonstrações </w:t>
      </w:r>
      <w:r>
        <w:rPr>
          <w:rFonts w:ascii="Calibri" w:eastAsia="Times New Roman" w:hAnsi="Calibri" w:cs="Calibri"/>
          <w:sz w:val="16"/>
          <w:szCs w:val="16"/>
        </w:rPr>
        <w:t>Financeira</w:t>
      </w:r>
      <w:r w:rsidRPr="00553371">
        <w:rPr>
          <w:rFonts w:ascii="Calibri" w:eastAsia="Times New Roman" w:hAnsi="Calibri" w:cs="Calibri"/>
          <w:sz w:val="16"/>
          <w:szCs w:val="16"/>
        </w:rPr>
        <w:t>s)</w:t>
      </w:r>
    </w:p>
    <w:p w14:paraId="55A6DCAB" w14:textId="77777777" w:rsidR="002217A7" w:rsidRDefault="002217A7" w:rsidP="003A4CB4">
      <w:pPr>
        <w:spacing w:after="240" w:line="240" w:lineRule="auto"/>
        <w:rPr>
          <w:rFonts w:ascii="Calibri" w:eastAsia="Times New Roman" w:hAnsi="Calibri" w:cs="Calibri"/>
          <w:sz w:val="16"/>
          <w:szCs w:val="16"/>
        </w:rPr>
      </w:pPr>
    </w:p>
    <w:p w14:paraId="361B5557" w14:textId="77777777" w:rsidR="008A09CF" w:rsidRDefault="003A4CB4" w:rsidP="00E06A3E">
      <w:pPr>
        <w:pStyle w:val="Ttulo2"/>
        <w:spacing w:after="0"/>
        <w:rPr>
          <w:rStyle w:val="Ttulo2Char"/>
        </w:rPr>
      </w:pPr>
      <w:bookmarkStart w:id="6" w:name="_Toc184926659"/>
      <w:r w:rsidRPr="008A09CF">
        <w:lastRenderedPageBreak/>
        <w:t>Demonstração do Valor Adicionado</w:t>
      </w:r>
      <w:bookmarkEnd w:id="6"/>
    </w:p>
    <w:p w14:paraId="106DDED4" w14:textId="48D77578" w:rsidR="003A4CB4" w:rsidRDefault="003A4CB4" w:rsidP="003A4CB4">
      <w:pPr>
        <w:spacing w:after="240" w:line="240" w:lineRule="auto"/>
        <w:rPr>
          <w:rFonts w:ascii="Calibri" w:eastAsia="Times New Roman" w:hAnsi="Calibri" w:cs="Calibri"/>
          <w:i/>
          <w:iCs/>
          <w:color w:val="2F75B5"/>
          <w:sz w:val="16"/>
          <w:szCs w:val="16"/>
        </w:rPr>
      </w:pPr>
      <w:r w:rsidRPr="00044087">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w:t>
      </w:r>
      <w:r w:rsidRPr="00044087">
        <w:rPr>
          <w:rFonts w:ascii="Calibri" w:eastAsia="Times New Roman" w:hAnsi="Calibri" w:cs="Calibri"/>
          <w:color w:val="2F75B5"/>
          <w:sz w:val="16"/>
          <w:szCs w:val="16"/>
        </w:rPr>
        <w:t xml:space="preserve"> de 202</w:t>
      </w:r>
      <w:r>
        <w:rPr>
          <w:rFonts w:ascii="Calibri" w:eastAsia="Times New Roman" w:hAnsi="Calibri" w:cs="Calibri"/>
          <w:color w:val="2F75B5"/>
          <w:sz w:val="16"/>
          <w:szCs w:val="16"/>
        </w:rPr>
        <w:t>4</w:t>
      </w:r>
      <w:r w:rsidRPr="00044087">
        <w:rPr>
          <w:rFonts w:ascii="Calibri" w:eastAsia="Times New Roman" w:hAnsi="Calibri" w:cs="Calibri"/>
          <w:color w:val="2F75B5"/>
          <w:sz w:val="16"/>
          <w:szCs w:val="16"/>
        </w:rPr>
        <w:t xml:space="preserve"> e 3</w:t>
      </w:r>
      <w:r>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março de</w:t>
      </w:r>
      <w:r w:rsidRPr="00044087">
        <w:rPr>
          <w:rFonts w:ascii="Calibri" w:eastAsia="Times New Roman" w:hAnsi="Calibri" w:cs="Calibri"/>
          <w:color w:val="2F75B5"/>
          <w:sz w:val="16"/>
          <w:szCs w:val="16"/>
        </w:rPr>
        <w:t xml:space="preserve"> 202</w:t>
      </w:r>
      <w:r>
        <w:rPr>
          <w:rFonts w:ascii="Calibri" w:eastAsia="Times New Roman" w:hAnsi="Calibri" w:cs="Calibri"/>
          <w:color w:val="2F75B5"/>
          <w:sz w:val="16"/>
          <w:szCs w:val="16"/>
        </w:rPr>
        <w:t>3</w:t>
      </w:r>
      <w:r w:rsidRPr="00044087">
        <w:rPr>
          <w:rFonts w:ascii="Calibri" w:eastAsia="Times New Roman" w:hAnsi="Calibri" w:cs="Calibri"/>
          <w:color w:val="2F75B5"/>
          <w:sz w:val="16"/>
          <w:szCs w:val="16"/>
        </w:rPr>
        <w:br/>
      </w:r>
      <w:r w:rsidRPr="00454736">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7618"/>
        <w:gridCol w:w="1423"/>
        <w:gridCol w:w="1421"/>
      </w:tblGrid>
      <w:tr w:rsidR="006A5419" w:rsidRPr="006A5419" w14:paraId="18DF70B1" w14:textId="77777777" w:rsidTr="00AE48F5">
        <w:trPr>
          <w:trHeight w:val="227"/>
        </w:trPr>
        <w:tc>
          <w:tcPr>
            <w:tcW w:w="3641" w:type="pct"/>
            <w:tcBorders>
              <w:top w:val="nil"/>
              <w:left w:val="single" w:sz="4" w:space="0" w:color="FFFFFF"/>
              <w:bottom w:val="single" w:sz="4" w:space="0" w:color="4D93D9"/>
              <w:right w:val="nil"/>
            </w:tcBorders>
            <w:shd w:val="clear" w:color="auto" w:fill="auto"/>
            <w:noWrap/>
            <w:vAlign w:val="center"/>
            <w:hideMark/>
          </w:tcPr>
          <w:p w14:paraId="61F2C523" w14:textId="6890E658"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single" w:sz="4" w:space="0" w:color="FFFFFF"/>
              <w:bottom w:val="single" w:sz="4" w:space="0" w:color="4D93D9"/>
              <w:right w:val="nil"/>
            </w:tcBorders>
            <w:shd w:val="clear" w:color="auto" w:fill="auto"/>
            <w:noWrap/>
            <w:vAlign w:val="center"/>
            <w:hideMark/>
          </w:tcPr>
          <w:p w14:paraId="3981BBD6"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31/03/2024</w:t>
            </w:r>
          </w:p>
        </w:tc>
        <w:tc>
          <w:tcPr>
            <w:tcW w:w="680" w:type="pct"/>
            <w:tcBorders>
              <w:top w:val="nil"/>
              <w:left w:val="single" w:sz="4" w:space="0" w:color="FFFFFF"/>
              <w:bottom w:val="single" w:sz="4" w:space="0" w:color="4D93D9"/>
              <w:right w:val="nil"/>
            </w:tcBorders>
            <w:shd w:val="clear" w:color="auto" w:fill="auto"/>
            <w:noWrap/>
            <w:vAlign w:val="center"/>
            <w:hideMark/>
          </w:tcPr>
          <w:p w14:paraId="410FDEB4"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31/03/2023</w:t>
            </w:r>
          </w:p>
        </w:tc>
      </w:tr>
      <w:tr w:rsidR="006A5419" w:rsidRPr="006A5419" w14:paraId="31CD1CCD"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4EF2ECD9"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I. RECEITAS</w:t>
            </w:r>
          </w:p>
        </w:tc>
        <w:tc>
          <w:tcPr>
            <w:tcW w:w="680" w:type="pct"/>
            <w:tcBorders>
              <w:top w:val="nil"/>
              <w:left w:val="nil"/>
              <w:bottom w:val="single" w:sz="4" w:space="0" w:color="FFFFFF"/>
              <w:right w:val="single" w:sz="4" w:space="0" w:color="FFFFFF"/>
            </w:tcBorders>
            <w:shd w:val="clear" w:color="auto" w:fill="auto"/>
            <w:noWrap/>
            <w:vAlign w:val="bottom"/>
            <w:hideMark/>
          </w:tcPr>
          <w:p w14:paraId="587523A9" w14:textId="386ED8EF"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60.046.554 </w:t>
            </w:r>
          </w:p>
        </w:tc>
        <w:tc>
          <w:tcPr>
            <w:tcW w:w="680" w:type="pct"/>
            <w:tcBorders>
              <w:top w:val="nil"/>
              <w:left w:val="nil"/>
              <w:bottom w:val="single" w:sz="4" w:space="0" w:color="FFFFFF"/>
              <w:right w:val="single" w:sz="4" w:space="0" w:color="FFFFFF"/>
            </w:tcBorders>
            <w:shd w:val="clear" w:color="000000" w:fill="FFFFFF"/>
            <w:noWrap/>
            <w:vAlign w:val="bottom"/>
            <w:hideMark/>
          </w:tcPr>
          <w:p w14:paraId="20E5FAA4" w14:textId="498498B3"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49.306.102 </w:t>
            </w:r>
          </w:p>
        </w:tc>
      </w:tr>
      <w:tr w:rsidR="006A5419" w:rsidRPr="006A5419" w14:paraId="12047595"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24D6B94B" w14:textId="1ACE0E16"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Permissões para Uso de Pátios</w:t>
            </w:r>
          </w:p>
        </w:tc>
        <w:tc>
          <w:tcPr>
            <w:tcW w:w="680" w:type="pct"/>
            <w:tcBorders>
              <w:top w:val="nil"/>
              <w:left w:val="nil"/>
              <w:bottom w:val="single" w:sz="4" w:space="0" w:color="FFFFFF"/>
              <w:right w:val="single" w:sz="4" w:space="0" w:color="FFFFFF"/>
            </w:tcBorders>
            <w:shd w:val="clear" w:color="auto" w:fill="auto"/>
            <w:noWrap/>
            <w:vAlign w:val="bottom"/>
            <w:hideMark/>
          </w:tcPr>
          <w:p w14:paraId="5C8F3D66" w14:textId="54A49060"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1.633.539 </w:t>
            </w:r>
          </w:p>
        </w:tc>
        <w:tc>
          <w:tcPr>
            <w:tcW w:w="680" w:type="pct"/>
            <w:tcBorders>
              <w:top w:val="nil"/>
              <w:left w:val="nil"/>
              <w:bottom w:val="single" w:sz="4" w:space="0" w:color="FFFFFF"/>
              <w:right w:val="single" w:sz="4" w:space="0" w:color="FFFFFF"/>
            </w:tcBorders>
            <w:shd w:val="clear" w:color="auto" w:fill="auto"/>
            <w:noWrap/>
            <w:vAlign w:val="bottom"/>
            <w:hideMark/>
          </w:tcPr>
          <w:p w14:paraId="7E335302" w14:textId="7AB22B96"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1.055.814 </w:t>
            </w:r>
          </w:p>
        </w:tc>
      </w:tr>
      <w:tr w:rsidR="006A5419" w:rsidRPr="006A5419" w14:paraId="7A7A8852"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501F805D" w14:textId="6DFF2E0B"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Receita com Subconcessão FIOL</w:t>
            </w:r>
          </w:p>
        </w:tc>
        <w:tc>
          <w:tcPr>
            <w:tcW w:w="680" w:type="pct"/>
            <w:tcBorders>
              <w:top w:val="nil"/>
              <w:left w:val="nil"/>
              <w:bottom w:val="single" w:sz="4" w:space="0" w:color="FFFFFF"/>
              <w:right w:val="single" w:sz="4" w:space="0" w:color="FFFFFF"/>
            </w:tcBorders>
            <w:shd w:val="clear" w:color="auto" w:fill="auto"/>
            <w:noWrap/>
            <w:vAlign w:val="bottom"/>
            <w:hideMark/>
          </w:tcPr>
          <w:p w14:paraId="638C4234" w14:textId="07CD8DBF"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233.786 </w:t>
            </w:r>
          </w:p>
        </w:tc>
        <w:tc>
          <w:tcPr>
            <w:tcW w:w="680" w:type="pct"/>
            <w:tcBorders>
              <w:top w:val="nil"/>
              <w:left w:val="nil"/>
              <w:bottom w:val="single" w:sz="4" w:space="0" w:color="FFFFFF"/>
              <w:right w:val="single" w:sz="4" w:space="0" w:color="FFFFFF"/>
            </w:tcBorders>
            <w:shd w:val="clear" w:color="auto" w:fill="auto"/>
            <w:noWrap/>
            <w:vAlign w:val="bottom"/>
            <w:hideMark/>
          </w:tcPr>
          <w:p w14:paraId="16D4BD9A" w14:textId="67E6F24D"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545.500 </w:t>
            </w:r>
          </w:p>
        </w:tc>
      </w:tr>
      <w:tr w:rsidR="006A5419" w:rsidRPr="006A5419" w14:paraId="75B85378"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49CCA7A7" w14:textId="719643D8"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Receita Alternativa de Exploração da Ferrovia</w:t>
            </w:r>
          </w:p>
        </w:tc>
        <w:tc>
          <w:tcPr>
            <w:tcW w:w="680" w:type="pct"/>
            <w:tcBorders>
              <w:top w:val="nil"/>
              <w:left w:val="nil"/>
              <w:bottom w:val="single" w:sz="4" w:space="0" w:color="FFFFFF"/>
              <w:right w:val="single" w:sz="4" w:space="0" w:color="FFFFFF"/>
            </w:tcBorders>
            <w:shd w:val="clear" w:color="auto" w:fill="auto"/>
            <w:noWrap/>
            <w:vAlign w:val="bottom"/>
            <w:hideMark/>
          </w:tcPr>
          <w:p w14:paraId="4B4880DE" w14:textId="79488E6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6.248 </w:t>
            </w:r>
          </w:p>
        </w:tc>
        <w:tc>
          <w:tcPr>
            <w:tcW w:w="680" w:type="pct"/>
            <w:tcBorders>
              <w:top w:val="nil"/>
              <w:left w:val="nil"/>
              <w:bottom w:val="single" w:sz="4" w:space="0" w:color="FFFFFF"/>
              <w:right w:val="single" w:sz="4" w:space="0" w:color="FFFFFF"/>
            </w:tcBorders>
            <w:shd w:val="clear" w:color="auto" w:fill="auto"/>
            <w:noWrap/>
            <w:vAlign w:val="bottom"/>
            <w:hideMark/>
          </w:tcPr>
          <w:p w14:paraId="37849E43" w14:textId="56DDBFA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5.190 </w:t>
            </w:r>
          </w:p>
        </w:tc>
      </w:tr>
      <w:tr w:rsidR="006A5419" w:rsidRPr="006A5419" w14:paraId="20D685F1"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3B670859" w14:textId="2CB5AC62" w:rsidR="006A5419" w:rsidRPr="006A5419" w:rsidRDefault="00DC75EB"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Repasses Recebidos (Subvenções p/ Custeio)</w:t>
            </w:r>
          </w:p>
        </w:tc>
        <w:tc>
          <w:tcPr>
            <w:tcW w:w="680" w:type="pct"/>
            <w:tcBorders>
              <w:top w:val="nil"/>
              <w:left w:val="nil"/>
              <w:bottom w:val="single" w:sz="4" w:space="0" w:color="FFFFFF"/>
              <w:right w:val="single" w:sz="4" w:space="0" w:color="FFFFFF"/>
            </w:tcBorders>
            <w:shd w:val="clear" w:color="auto" w:fill="auto"/>
            <w:noWrap/>
            <w:vAlign w:val="bottom"/>
            <w:hideMark/>
          </w:tcPr>
          <w:p w14:paraId="7AB80B94" w14:textId="7AB9D979"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58.172.981 </w:t>
            </w:r>
          </w:p>
        </w:tc>
        <w:tc>
          <w:tcPr>
            <w:tcW w:w="680" w:type="pct"/>
            <w:tcBorders>
              <w:top w:val="nil"/>
              <w:left w:val="nil"/>
              <w:bottom w:val="single" w:sz="4" w:space="0" w:color="FFFFFF"/>
              <w:right w:val="single" w:sz="4" w:space="0" w:color="FFFFFF"/>
            </w:tcBorders>
            <w:shd w:val="clear" w:color="auto" w:fill="auto"/>
            <w:noWrap/>
            <w:vAlign w:val="bottom"/>
            <w:hideMark/>
          </w:tcPr>
          <w:p w14:paraId="01A13763" w14:textId="59795B84"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47.699.598 </w:t>
            </w:r>
          </w:p>
        </w:tc>
      </w:tr>
      <w:tr w:rsidR="006A5419" w:rsidRPr="006A5419" w14:paraId="412AA77C"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0DD3223"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20D947EA"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4AA89A0C"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r>
      <w:tr w:rsidR="006A5419" w:rsidRPr="006A5419" w14:paraId="2762B49D"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C6813D2"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II. OUTRAS RECEITAS</w:t>
            </w:r>
          </w:p>
        </w:tc>
        <w:tc>
          <w:tcPr>
            <w:tcW w:w="680" w:type="pct"/>
            <w:tcBorders>
              <w:top w:val="nil"/>
              <w:left w:val="nil"/>
              <w:bottom w:val="single" w:sz="4" w:space="0" w:color="FFFFFF"/>
              <w:right w:val="single" w:sz="4" w:space="0" w:color="FFFFFF"/>
            </w:tcBorders>
            <w:shd w:val="clear" w:color="auto" w:fill="auto"/>
            <w:noWrap/>
            <w:vAlign w:val="bottom"/>
            <w:hideMark/>
          </w:tcPr>
          <w:p w14:paraId="5FCD159C" w14:textId="68B2F4F5"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25.756.807 </w:t>
            </w:r>
          </w:p>
        </w:tc>
        <w:tc>
          <w:tcPr>
            <w:tcW w:w="680" w:type="pct"/>
            <w:tcBorders>
              <w:top w:val="nil"/>
              <w:left w:val="nil"/>
              <w:bottom w:val="single" w:sz="4" w:space="0" w:color="FFFFFF"/>
              <w:right w:val="single" w:sz="4" w:space="0" w:color="FFFFFF"/>
            </w:tcBorders>
            <w:shd w:val="clear" w:color="auto" w:fill="auto"/>
            <w:noWrap/>
            <w:vAlign w:val="bottom"/>
            <w:hideMark/>
          </w:tcPr>
          <w:p w14:paraId="59C2F5F6" w14:textId="07DA3F7B"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 </w:t>
            </w:r>
          </w:p>
        </w:tc>
      </w:tr>
      <w:tr w:rsidR="006A5419" w:rsidRPr="006A5419" w14:paraId="5B01A341"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0B7A123" w14:textId="50A2E944" w:rsidR="006A5419" w:rsidRPr="006A5419" w:rsidRDefault="00DC75EB"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Provisão/Reversão para Contingências</w:t>
            </w:r>
          </w:p>
        </w:tc>
        <w:tc>
          <w:tcPr>
            <w:tcW w:w="680" w:type="pct"/>
            <w:tcBorders>
              <w:top w:val="nil"/>
              <w:left w:val="nil"/>
              <w:bottom w:val="single" w:sz="4" w:space="0" w:color="FFFFFF"/>
              <w:right w:val="single" w:sz="4" w:space="0" w:color="FFFFFF"/>
            </w:tcBorders>
            <w:shd w:val="clear" w:color="auto" w:fill="auto"/>
            <w:noWrap/>
            <w:vAlign w:val="bottom"/>
            <w:hideMark/>
          </w:tcPr>
          <w:p w14:paraId="6FAD74BC" w14:textId="27849F4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25.756.807 </w:t>
            </w:r>
          </w:p>
        </w:tc>
        <w:tc>
          <w:tcPr>
            <w:tcW w:w="680" w:type="pct"/>
            <w:tcBorders>
              <w:top w:val="nil"/>
              <w:left w:val="nil"/>
              <w:bottom w:val="single" w:sz="4" w:space="0" w:color="FFFFFF"/>
              <w:right w:val="single" w:sz="4" w:space="0" w:color="FFFFFF"/>
            </w:tcBorders>
            <w:shd w:val="clear" w:color="auto" w:fill="auto"/>
            <w:noWrap/>
            <w:vAlign w:val="bottom"/>
            <w:hideMark/>
          </w:tcPr>
          <w:p w14:paraId="6C6432E6" w14:textId="6819CD32"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 </w:t>
            </w:r>
          </w:p>
        </w:tc>
      </w:tr>
      <w:tr w:rsidR="006A5419" w:rsidRPr="006A5419" w14:paraId="65DB8FA9"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8E0DEA2" w14:textId="77777777" w:rsidR="006A5419" w:rsidRPr="006A5419" w:rsidRDefault="006A5419" w:rsidP="006A5419">
            <w:pPr>
              <w:spacing w:after="0" w:line="240" w:lineRule="auto"/>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15C9EDE2"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7EB7A255"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r>
      <w:tr w:rsidR="006A5419" w:rsidRPr="006A5419" w14:paraId="7750D04F"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33233F1B"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III. INSUMOS</w:t>
            </w:r>
          </w:p>
        </w:tc>
        <w:tc>
          <w:tcPr>
            <w:tcW w:w="680" w:type="pct"/>
            <w:tcBorders>
              <w:top w:val="nil"/>
              <w:left w:val="nil"/>
              <w:bottom w:val="single" w:sz="4" w:space="0" w:color="FFFFFF"/>
              <w:right w:val="single" w:sz="4" w:space="0" w:color="FFFFFF"/>
            </w:tcBorders>
            <w:shd w:val="clear" w:color="auto" w:fill="auto"/>
            <w:noWrap/>
            <w:vAlign w:val="bottom"/>
            <w:hideMark/>
          </w:tcPr>
          <w:p w14:paraId="6A38BA2F" w14:textId="594A07A4"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7.456.736 </w:t>
            </w:r>
          </w:p>
        </w:tc>
        <w:tc>
          <w:tcPr>
            <w:tcW w:w="680" w:type="pct"/>
            <w:tcBorders>
              <w:top w:val="nil"/>
              <w:left w:val="nil"/>
              <w:bottom w:val="single" w:sz="4" w:space="0" w:color="FFFFFF"/>
              <w:right w:val="single" w:sz="4" w:space="0" w:color="FFFFFF"/>
            </w:tcBorders>
            <w:shd w:val="clear" w:color="auto" w:fill="auto"/>
            <w:noWrap/>
            <w:vAlign w:val="bottom"/>
            <w:hideMark/>
          </w:tcPr>
          <w:p w14:paraId="1D4B92F0" w14:textId="1C020D34"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4.142.451 </w:t>
            </w:r>
          </w:p>
        </w:tc>
      </w:tr>
      <w:tr w:rsidR="006A5419" w:rsidRPr="006A5419" w14:paraId="5847EC68"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72545FB5" w14:textId="14DBC25A" w:rsidR="006A5419" w:rsidRPr="006A5419" w:rsidRDefault="00DC75EB"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Materiais, Energia, Serviços de Terceiros e Outros</w:t>
            </w:r>
          </w:p>
        </w:tc>
        <w:tc>
          <w:tcPr>
            <w:tcW w:w="680" w:type="pct"/>
            <w:tcBorders>
              <w:top w:val="nil"/>
              <w:left w:val="nil"/>
              <w:bottom w:val="single" w:sz="4" w:space="0" w:color="FFFFFF"/>
              <w:right w:val="single" w:sz="4" w:space="0" w:color="FFFFFF"/>
            </w:tcBorders>
            <w:shd w:val="clear" w:color="auto" w:fill="auto"/>
            <w:noWrap/>
            <w:vAlign w:val="bottom"/>
            <w:hideMark/>
          </w:tcPr>
          <w:p w14:paraId="29E88A15" w14:textId="64DAFAA1"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7.456.736 </w:t>
            </w:r>
          </w:p>
        </w:tc>
        <w:tc>
          <w:tcPr>
            <w:tcW w:w="680" w:type="pct"/>
            <w:tcBorders>
              <w:top w:val="nil"/>
              <w:left w:val="nil"/>
              <w:bottom w:val="single" w:sz="4" w:space="0" w:color="FFFFFF"/>
              <w:right w:val="single" w:sz="4" w:space="0" w:color="FFFFFF"/>
            </w:tcBorders>
            <w:shd w:val="clear" w:color="auto" w:fill="auto"/>
            <w:noWrap/>
            <w:vAlign w:val="bottom"/>
            <w:hideMark/>
          </w:tcPr>
          <w:p w14:paraId="59060DB0" w14:textId="44948F1D"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4.142.451 </w:t>
            </w:r>
          </w:p>
        </w:tc>
      </w:tr>
      <w:tr w:rsidR="006A5419" w:rsidRPr="006A5419" w14:paraId="56B811CC"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5A4538F5" w14:textId="77777777" w:rsidR="006A5419" w:rsidRPr="006A5419" w:rsidRDefault="006A5419" w:rsidP="006A5419">
            <w:pPr>
              <w:spacing w:after="0" w:line="240" w:lineRule="auto"/>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2CA6ED6A"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1AEED041"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r>
      <w:tr w:rsidR="006A5419" w:rsidRPr="006A5419" w14:paraId="11790EC4"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E8FA42F" w14:textId="12431D96"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IV. VALOR ADICIONADO BRUTO (I +II - III)</w:t>
            </w:r>
          </w:p>
        </w:tc>
        <w:tc>
          <w:tcPr>
            <w:tcW w:w="680" w:type="pct"/>
            <w:tcBorders>
              <w:top w:val="nil"/>
              <w:left w:val="nil"/>
              <w:bottom w:val="single" w:sz="4" w:space="0" w:color="FFFFFF"/>
              <w:right w:val="single" w:sz="4" w:space="0" w:color="FFFFFF"/>
            </w:tcBorders>
            <w:shd w:val="clear" w:color="auto" w:fill="auto"/>
            <w:noWrap/>
            <w:vAlign w:val="bottom"/>
            <w:hideMark/>
          </w:tcPr>
          <w:p w14:paraId="179AA08E" w14:textId="794978CC"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78.346.625 </w:t>
            </w:r>
          </w:p>
        </w:tc>
        <w:tc>
          <w:tcPr>
            <w:tcW w:w="680" w:type="pct"/>
            <w:tcBorders>
              <w:top w:val="nil"/>
              <w:left w:val="nil"/>
              <w:bottom w:val="single" w:sz="4" w:space="0" w:color="FFFFFF"/>
              <w:right w:val="single" w:sz="4" w:space="0" w:color="FFFFFF"/>
            </w:tcBorders>
            <w:shd w:val="clear" w:color="auto" w:fill="auto"/>
            <w:noWrap/>
            <w:vAlign w:val="bottom"/>
            <w:hideMark/>
          </w:tcPr>
          <w:p w14:paraId="220E1645" w14:textId="3F53E0B0"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45.163.652 </w:t>
            </w:r>
          </w:p>
        </w:tc>
      </w:tr>
      <w:tr w:rsidR="006A5419" w:rsidRPr="006A5419" w14:paraId="1B9A08CF"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C38236E"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40B435F0"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5C85FF25"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r>
      <w:tr w:rsidR="006A5419" w:rsidRPr="006A5419" w14:paraId="3DCFED10"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7F50A2EB"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V. RETENÇÕES</w:t>
            </w:r>
          </w:p>
        </w:tc>
        <w:tc>
          <w:tcPr>
            <w:tcW w:w="680" w:type="pct"/>
            <w:tcBorders>
              <w:top w:val="nil"/>
              <w:left w:val="nil"/>
              <w:bottom w:val="single" w:sz="4" w:space="0" w:color="FFFFFF"/>
              <w:right w:val="single" w:sz="4" w:space="0" w:color="FFFFFF"/>
            </w:tcBorders>
            <w:shd w:val="clear" w:color="auto" w:fill="auto"/>
            <w:noWrap/>
            <w:vAlign w:val="bottom"/>
            <w:hideMark/>
          </w:tcPr>
          <w:p w14:paraId="53871AA4" w14:textId="2509A5E2"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1.620.156 </w:t>
            </w:r>
          </w:p>
        </w:tc>
        <w:tc>
          <w:tcPr>
            <w:tcW w:w="680" w:type="pct"/>
            <w:tcBorders>
              <w:top w:val="nil"/>
              <w:left w:val="nil"/>
              <w:bottom w:val="single" w:sz="4" w:space="0" w:color="FFFFFF"/>
              <w:right w:val="single" w:sz="4" w:space="0" w:color="FFFFFF"/>
            </w:tcBorders>
            <w:shd w:val="clear" w:color="auto" w:fill="auto"/>
            <w:noWrap/>
            <w:vAlign w:val="bottom"/>
            <w:hideMark/>
          </w:tcPr>
          <w:p w14:paraId="0115D66E" w14:textId="063F1FE4"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2.737.548 </w:t>
            </w:r>
          </w:p>
        </w:tc>
      </w:tr>
      <w:tr w:rsidR="006A5419" w:rsidRPr="006A5419" w14:paraId="6C912B6E"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CC65401" w14:textId="4DBBB8B5"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Depreciação e Amortização</w:t>
            </w:r>
          </w:p>
        </w:tc>
        <w:tc>
          <w:tcPr>
            <w:tcW w:w="680" w:type="pct"/>
            <w:tcBorders>
              <w:top w:val="nil"/>
              <w:left w:val="nil"/>
              <w:bottom w:val="single" w:sz="4" w:space="0" w:color="FFFFFF"/>
              <w:right w:val="single" w:sz="4" w:space="0" w:color="FFFFFF"/>
            </w:tcBorders>
            <w:shd w:val="clear" w:color="auto" w:fill="auto"/>
            <w:noWrap/>
            <w:vAlign w:val="bottom"/>
            <w:hideMark/>
          </w:tcPr>
          <w:p w14:paraId="0F91A3D3" w14:textId="57189D5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593.339 </w:t>
            </w:r>
          </w:p>
        </w:tc>
        <w:tc>
          <w:tcPr>
            <w:tcW w:w="680" w:type="pct"/>
            <w:tcBorders>
              <w:top w:val="nil"/>
              <w:left w:val="nil"/>
              <w:bottom w:val="single" w:sz="4" w:space="0" w:color="FFFFFF"/>
              <w:right w:val="single" w:sz="4" w:space="0" w:color="FFFFFF"/>
            </w:tcBorders>
            <w:shd w:val="clear" w:color="auto" w:fill="auto"/>
            <w:noWrap/>
            <w:vAlign w:val="bottom"/>
            <w:hideMark/>
          </w:tcPr>
          <w:p w14:paraId="61469A0F" w14:textId="6E539E92"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1.185.106 </w:t>
            </w:r>
          </w:p>
        </w:tc>
      </w:tr>
      <w:tr w:rsidR="006A5419" w:rsidRPr="006A5419" w14:paraId="26589F4E"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83C1014" w14:textId="35A9D291"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Depreciação de Direito de Uso</w:t>
            </w:r>
          </w:p>
        </w:tc>
        <w:tc>
          <w:tcPr>
            <w:tcW w:w="680" w:type="pct"/>
            <w:tcBorders>
              <w:top w:val="nil"/>
              <w:left w:val="nil"/>
              <w:bottom w:val="single" w:sz="4" w:space="0" w:color="FFFFFF"/>
              <w:right w:val="single" w:sz="4" w:space="0" w:color="FFFFFF"/>
            </w:tcBorders>
            <w:shd w:val="clear" w:color="auto" w:fill="auto"/>
            <w:noWrap/>
            <w:vAlign w:val="bottom"/>
            <w:hideMark/>
          </w:tcPr>
          <w:p w14:paraId="53417F25" w14:textId="0022CA2B"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1.026.817 </w:t>
            </w:r>
          </w:p>
        </w:tc>
        <w:tc>
          <w:tcPr>
            <w:tcW w:w="680" w:type="pct"/>
            <w:tcBorders>
              <w:top w:val="nil"/>
              <w:left w:val="nil"/>
              <w:bottom w:val="single" w:sz="4" w:space="0" w:color="FFFFFF"/>
              <w:right w:val="single" w:sz="4" w:space="0" w:color="FFFFFF"/>
            </w:tcBorders>
            <w:shd w:val="clear" w:color="auto" w:fill="auto"/>
            <w:noWrap/>
            <w:vAlign w:val="bottom"/>
            <w:hideMark/>
          </w:tcPr>
          <w:p w14:paraId="12B78AE8" w14:textId="73636531"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1.552.442 </w:t>
            </w:r>
          </w:p>
        </w:tc>
      </w:tr>
      <w:tr w:rsidR="006A5419" w:rsidRPr="006A5419" w14:paraId="48452563"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30E42F94" w14:textId="77777777" w:rsidR="006A5419" w:rsidRPr="006A5419" w:rsidRDefault="006A5419" w:rsidP="006A5419">
            <w:pPr>
              <w:spacing w:after="0" w:line="240" w:lineRule="auto"/>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3D021C1B"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14FCFB66"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r>
      <w:tr w:rsidR="006A5419" w:rsidRPr="006A5419" w14:paraId="4ACB949F"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FB81CAF"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VI. VALOR ADICIONADO LÍQUIDO PRODUZIDO PELA ENTIDADE (IV - V)</w:t>
            </w:r>
          </w:p>
        </w:tc>
        <w:tc>
          <w:tcPr>
            <w:tcW w:w="680" w:type="pct"/>
            <w:tcBorders>
              <w:top w:val="nil"/>
              <w:left w:val="nil"/>
              <w:bottom w:val="single" w:sz="4" w:space="0" w:color="FFFFFF"/>
              <w:right w:val="single" w:sz="4" w:space="0" w:color="FFFFFF"/>
            </w:tcBorders>
            <w:shd w:val="clear" w:color="auto" w:fill="auto"/>
            <w:noWrap/>
            <w:vAlign w:val="bottom"/>
            <w:hideMark/>
          </w:tcPr>
          <w:p w14:paraId="7531379E" w14:textId="6E2B5456"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76.726.469 </w:t>
            </w:r>
          </w:p>
        </w:tc>
        <w:tc>
          <w:tcPr>
            <w:tcW w:w="680" w:type="pct"/>
            <w:tcBorders>
              <w:top w:val="nil"/>
              <w:left w:val="nil"/>
              <w:bottom w:val="single" w:sz="4" w:space="0" w:color="FFFFFF"/>
              <w:right w:val="single" w:sz="4" w:space="0" w:color="FFFFFF"/>
            </w:tcBorders>
            <w:shd w:val="clear" w:color="auto" w:fill="auto"/>
            <w:noWrap/>
            <w:vAlign w:val="bottom"/>
            <w:hideMark/>
          </w:tcPr>
          <w:p w14:paraId="7C2FA4A0" w14:textId="4517323D"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42.426.104 </w:t>
            </w:r>
          </w:p>
        </w:tc>
      </w:tr>
      <w:tr w:rsidR="006A5419" w:rsidRPr="006A5419" w14:paraId="1B600838"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7F117365" w14:textId="77777777" w:rsidR="006A5419" w:rsidRPr="006A5419" w:rsidRDefault="006A5419" w:rsidP="006A5419">
            <w:pPr>
              <w:spacing w:after="0" w:line="240" w:lineRule="auto"/>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5B84EF83"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15E55E51"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r>
      <w:tr w:rsidR="006A5419" w:rsidRPr="006A5419" w14:paraId="39B1C115"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4E280810"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xml:space="preserve">VII. VALOR ADICIONADO RECEBIDO EM TRANSFERÊNCIAS </w:t>
            </w:r>
          </w:p>
        </w:tc>
        <w:tc>
          <w:tcPr>
            <w:tcW w:w="680" w:type="pct"/>
            <w:tcBorders>
              <w:top w:val="nil"/>
              <w:left w:val="nil"/>
              <w:bottom w:val="single" w:sz="4" w:space="0" w:color="FFFFFF"/>
              <w:right w:val="single" w:sz="4" w:space="0" w:color="FFFFFF"/>
            </w:tcBorders>
            <w:shd w:val="clear" w:color="auto" w:fill="auto"/>
            <w:noWrap/>
            <w:vAlign w:val="bottom"/>
            <w:hideMark/>
          </w:tcPr>
          <w:p w14:paraId="70CA1EBB" w14:textId="116494F4"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(856.106)</w:t>
            </w:r>
          </w:p>
        </w:tc>
        <w:tc>
          <w:tcPr>
            <w:tcW w:w="680" w:type="pct"/>
            <w:tcBorders>
              <w:top w:val="nil"/>
              <w:left w:val="nil"/>
              <w:bottom w:val="single" w:sz="4" w:space="0" w:color="FFFFFF"/>
              <w:right w:val="single" w:sz="4" w:space="0" w:color="FFFFFF"/>
            </w:tcBorders>
            <w:shd w:val="clear" w:color="auto" w:fill="auto"/>
            <w:noWrap/>
            <w:vAlign w:val="bottom"/>
            <w:hideMark/>
          </w:tcPr>
          <w:p w14:paraId="1509F2BC" w14:textId="105E178A"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273.977 </w:t>
            </w:r>
          </w:p>
        </w:tc>
      </w:tr>
      <w:tr w:rsidR="006A5419" w:rsidRPr="006A5419" w14:paraId="6D89FC69"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center"/>
            <w:hideMark/>
          </w:tcPr>
          <w:p w14:paraId="7349119A" w14:textId="4EFFE435"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Receitas Financeiras</w:t>
            </w:r>
          </w:p>
        </w:tc>
        <w:tc>
          <w:tcPr>
            <w:tcW w:w="680" w:type="pct"/>
            <w:tcBorders>
              <w:top w:val="nil"/>
              <w:left w:val="nil"/>
              <w:bottom w:val="single" w:sz="4" w:space="0" w:color="FFFFFF"/>
              <w:right w:val="single" w:sz="4" w:space="0" w:color="FFFFFF"/>
            </w:tcBorders>
            <w:shd w:val="clear" w:color="auto" w:fill="auto"/>
            <w:noWrap/>
            <w:vAlign w:val="bottom"/>
            <w:hideMark/>
          </w:tcPr>
          <w:p w14:paraId="55352C04" w14:textId="39BBE63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4.188.789 </w:t>
            </w:r>
          </w:p>
        </w:tc>
        <w:tc>
          <w:tcPr>
            <w:tcW w:w="680" w:type="pct"/>
            <w:tcBorders>
              <w:top w:val="nil"/>
              <w:left w:val="nil"/>
              <w:bottom w:val="single" w:sz="4" w:space="0" w:color="FFFFFF"/>
              <w:right w:val="single" w:sz="4" w:space="0" w:color="FFFFFF"/>
            </w:tcBorders>
            <w:shd w:val="clear" w:color="auto" w:fill="auto"/>
            <w:noWrap/>
            <w:vAlign w:val="bottom"/>
            <w:hideMark/>
          </w:tcPr>
          <w:p w14:paraId="73E68505" w14:textId="70CAE86B"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3.154.871 </w:t>
            </w:r>
          </w:p>
        </w:tc>
      </w:tr>
      <w:tr w:rsidR="006A5419" w:rsidRPr="006A5419" w14:paraId="05844633"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1A5420D" w14:textId="49E2B5CC" w:rsidR="006A5419" w:rsidRPr="006A5419" w:rsidRDefault="00DC75EB"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Transferência Voluntária</w:t>
            </w:r>
          </w:p>
        </w:tc>
        <w:tc>
          <w:tcPr>
            <w:tcW w:w="680" w:type="pct"/>
            <w:tcBorders>
              <w:top w:val="nil"/>
              <w:left w:val="nil"/>
              <w:bottom w:val="single" w:sz="4" w:space="0" w:color="FFFFFF"/>
              <w:right w:val="single" w:sz="4" w:space="0" w:color="FFFFFF"/>
            </w:tcBorders>
            <w:shd w:val="clear" w:color="auto" w:fill="auto"/>
            <w:noWrap/>
            <w:vAlign w:val="bottom"/>
            <w:hideMark/>
          </w:tcPr>
          <w:p w14:paraId="1BE3DAF2" w14:textId="217B3BFC"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w:t>
            </w:r>
          </w:p>
        </w:tc>
        <w:tc>
          <w:tcPr>
            <w:tcW w:w="680" w:type="pct"/>
            <w:tcBorders>
              <w:top w:val="nil"/>
              <w:left w:val="nil"/>
              <w:bottom w:val="single" w:sz="4" w:space="0" w:color="FFFFFF"/>
              <w:right w:val="single" w:sz="4" w:space="0" w:color="FFFFFF"/>
            </w:tcBorders>
            <w:shd w:val="clear" w:color="auto" w:fill="auto"/>
            <w:noWrap/>
            <w:vAlign w:val="bottom"/>
            <w:hideMark/>
          </w:tcPr>
          <w:p w14:paraId="0F5330D0" w14:textId="06F70CFE"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(89.116)</w:t>
            </w:r>
          </w:p>
        </w:tc>
      </w:tr>
      <w:tr w:rsidR="006A5419" w:rsidRPr="006A5419" w14:paraId="25429653"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3E85D391" w14:textId="19652635" w:rsidR="006A5419" w:rsidRPr="006A5419" w:rsidRDefault="00DC75EB"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Resultado de Equivalência Patrimonial</w:t>
            </w:r>
          </w:p>
        </w:tc>
        <w:tc>
          <w:tcPr>
            <w:tcW w:w="680" w:type="pct"/>
            <w:tcBorders>
              <w:top w:val="nil"/>
              <w:left w:val="nil"/>
              <w:bottom w:val="single" w:sz="4" w:space="0" w:color="FFFFFF"/>
              <w:right w:val="single" w:sz="4" w:space="0" w:color="FFFFFF"/>
            </w:tcBorders>
            <w:shd w:val="clear" w:color="auto" w:fill="auto"/>
            <w:noWrap/>
            <w:vAlign w:val="bottom"/>
            <w:hideMark/>
          </w:tcPr>
          <w:p w14:paraId="2F122EA1" w14:textId="2812A551"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(5.044.895)</w:t>
            </w:r>
          </w:p>
        </w:tc>
        <w:tc>
          <w:tcPr>
            <w:tcW w:w="680" w:type="pct"/>
            <w:tcBorders>
              <w:top w:val="nil"/>
              <w:left w:val="nil"/>
              <w:bottom w:val="single" w:sz="4" w:space="0" w:color="FFFFFF"/>
              <w:right w:val="single" w:sz="4" w:space="0" w:color="FFFFFF"/>
            </w:tcBorders>
            <w:shd w:val="clear" w:color="auto" w:fill="auto"/>
            <w:noWrap/>
            <w:vAlign w:val="bottom"/>
            <w:hideMark/>
          </w:tcPr>
          <w:p w14:paraId="67939EDE" w14:textId="429C9ED4"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(2.791.778)</w:t>
            </w:r>
          </w:p>
        </w:tc>
      </w:tr>
      <w:tr w:rsidR="006A5419" w:rsidRPr="006A5419" w14:paraId="7E98FD92" w14:textId="77777777" w:rsidTr="00AE48F5">
        <w:trPr>
          <w:trHeight w:val="227"/>
        </w:trPr>
        <w:tc>
          <w:tcPr>
            <w:tcW w:w="3641" w:type="pct"/>
            <w:tcBorders>
              <w:top w:val="nil"/>
              <w:left w:val="single" w:sz="4" w:space="0" w:color="FFFFFF"/>
              <w:bottom w:val="nil"/>
              <w:right w:val="single" w:sz="4" w:space="0" w:color="FFFFFF"/>
            </w:tcBorders>
            <w:shd w:val="clear" w:color="000000" w:fill="FFFFFF"/>
            <w:hideMark/>
          </w:tcPr>
          <w:p w14:paraId="068DA24E"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nil"/>
              <w:right w:val="single" w:sz="4" w:space="0" w:color="FFFFFF"/>
            </w:tcBorders>
            <w:shd w:val="clear" w:color="auto" w:fill="auto"/>
            <w:noWrap/>
            <w:vAlign w:val="bottom"/>
            <w:hideMark/>
          </w:tcPr>
          <w:p w14:paraId="02984E00"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nil"/>
              <w:right w:val="single" w:sz="4" w:space="0" w:color="FFFFFF"/>
            </w:tcBorders>
            <w:shd w:val="clear" w:color="auto" w:fill="auto"/>
            <w:noWrap/>
            <w:vAlign w:val="bottom"/>
            <w:hideMark/>
          </w:tcPr>
          <w:p w14:paraId="27F50A4D"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r>
      <w:tr w:rsidR="006A5419" w:rsidRPr="006A5419" w14:paraId="3846CB10" w14:textId="77777777" w:rsidTr="00AE48F5">
        <w:trPr>
          <w:trHeight w:val="227"/>
        </w:trPr>
        <w:tc>
          <w:tcPr>
            <w:tcW w:w="3641" w:type="pct"/>
            <w:tcBorders>
              <w:top w:val="single" w:sz="4" w:space="0" w:color="4D93D9"/>
              <w:left w:val="nil"/>
              <w:bottom w:val="single" w:sz="4" w:space="0" w:color="4D93D9"/>
              <w:right w:val="nil"/>
            </w:tcBorders>
            <w:shd w:val="clear" w:color="000000" w:fill="DAE9F8"/>
            <w:noWrap/>
            <w:vAlign w:val="center"/>
            <w:hideMark/>
          </w:tcPr>
          <w:p w14:paraId="4E44B376" w14:textId="24E24686"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VII</w:t>
            </w:r>
            <w:r w:rsidR="00B6104F">
              <w:rPr>
                <w:rFonts w:ascii="Calibri" w:eastAsia="Times New Roman" w:hAnsi="Calibri" w:cs="Calibri"/>
                <w:b/>
                <w:bCs/>
                <w:sz w:val="16"/>
                <w:szCs w:val="16"/>
              </w:rPr>
              <w:t>I</w:t>
            </w:r>
            <w:r w:rsidRPr="006A5419">
              <w:rPr>
                <w:rFonts w:ascii="Calibri" w:eastAsia="Times New Roman" w:hAnsi="Calibri" w:cs="Calibri"/>
                <w:b/>
                <w:bCs/>
                <w:sz w:val="16"/>
                <w:szCs w:val="16"/>
              </w:rPr>
              <w:t>. VALOR ADICIONADO TOTAL A DISTRIBUIR (VI + VII)</w:t>
            </w:r>
          </w:p>
        </w:tc>
        <w:tc>
          <w:tcPr>
            <w:tcW w:w="680" w:type="pct"/>
            <w:tcBorders>
              <w:top w:val="single" w:sz="4" w:space="0" w:color="4D93D9"/>
              <w:left w:val="nil"/>
              <w:bottom w:val="single" w:sz="4" w:space="0" w:color="4D93D9"/>
              <w:right w:val="nil"/>
            </w:tcBorders>
            <w:shd w:val="clear" w:color="000000" w:fill="DAE9F8"/>
            <w:noWrap/>
            <w:vAlign w:val="center"/>
            <w:hideMark/>
          </w:tcPr>
          <w:p w14:paraId="3CA5A596" w14:textId="054A054A"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75.870.363 </w:t>
            </w:r>
          </w:p>
        </w:tc>
        <w:tc>
          <w:tcPr>
            <w:tcW w:w="680" w:type="pct"/>
            <w:tcBorders>
              <w:top w:val="single" w:sz="4" w:space="0" w:color="4D93D9"/>
              <w:left w:val="nil"/>
              <w:bottom w:val="single" w:sz="4" w:space="0" w:color="4D93D9"/>
              <w:right w:val="nil"/>
            </w:tcBorders>
            <w:shd w:val="clear" w:color="000000" w:fill="DAE9F8"/>
            <w:noWrap/>
            <w:vAlign w:val="center"/>
            <w:hideMark/>
          </w:tcPr>
          <w:p w14:paraId="39CE3EAA" w14:textId="5C273740"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42.700.080 </w:t>
            </w:r>
          </w:p>
        </w:tc>
      </w:tr>
      <w:tr w:rsidR="006A5419" w:rsidRPr="006A5419" w14:paraId="65754E05" w14:textId="77777777" w:rsidTr="00AE48F5">
        <w:trPr>
          <w:trHeight w:val="227"/>
        </w:trPr>
        <w:tc>
          <w:tcPr>
            <w:tcW w:w="3641" w:type="pct"/>
            <w:tcBorders>
              <w:top w:val="nil"/>
              <w:left w:val="single" w:sz="4" w:space="0" w:color="FFFFFF"/>
              <w:bottom w:val="nil"/>
              <w:right w:val="single" w:sz="4" w:space="0" w:color="FFFFFF"/>
            </w:tcBorders>
            <w:shd w:val="clear" w:color="000000" w:fill="FFFFFF"/>
            <w:noWrap/>
            <w:vAlign w:val="bottom"/>
            <w:hideMark/>
          </w:tcPr>
          <w:p w14:paraId="0EE8ED59" w14:textId="77777777" w:rsidR="006A5419" w:rsidRPr="006A5419" w:rsidRDefault="006A5419" w:rsidP="006A5419">
            <w:pPr>
              <w:spacing w:after="0" w:line="240" w:lineRule="auto"/>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nil"/>
              <w:right w:val="single" w:sz="4" w:space="0" w:color="FFFFFF"/>
            </w:tcBorders>
            <w:shd w:val="clear" w:color="auto" w:fill="auto"/>
            <w:noWrap/>
            <w:vAlign w:val="bottom"/>
            <w:hideMark/>
          </w:tcPr>
          <w:p w14:paraId="18E61C37"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c>
          <w:tcPr>
            <w:tcW w:w="680" w:type="pct"/>
            <w:tcBorders>
              <w:top w:val="nil"/>
              <w:left w:val="nil"/>
              <w:bottom w:val="nil"/>
              <w:right w:val="single" w:sz="4" w:space="0" w:color="FFFFFF"/>
            </w:tcBorders>
            <w:shd w:val="clear" w:color="000000" w:fill="FFFFFF"/>
            <w:noWrap/>
            <w:vAlign w:val="bottom"/>
            <w:hideMark/>
          </w:tcPr>
          <w:p w14:paraId="4ED53C40" w14:textId="77777777"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w:t>
            </w:r>
          </w:p>
        </w:tc>
      </w:tr>
      <w:tr w:rsidR="006A5419" w:rsidRPr="006A5419" w14:paraId="50FD9104" w14:textId="77777777" w:rsidTr="00AE48F5">
        <w:trPr>
          <w:trHeight w:val="227"/>
        </w:trPr>
        <w:tc>
          <w:tcPr>
            <w:tcW w:w="3641" w:type="pct"/>
            <w:tcBorders>
              <w:top w:val="single" w:sz="4" w:space="0" w:color="4D93D9"/>
              <w:left w:val="nil"/>
              <w:bottom w:val="single" w:sz="4" w:space="0" w:color="4D93D9"/>
              <w:right w:val="nil"/>
            </w:tcBorders>
            <w:shd w:val="clear" w:color="000000" w:fill="DAE9F8"/>
            <w:noWrap/>
            <w:vAlign w:val="center"/>
            <w:hideMark/>
          </w:tcPr>
          <w:p w14:paraId="603F0FCC" w14:textId="078C1A42" w:rsidR="006A5419" w:rsidRPr="006A5419" w:rsidRDefault="00B6104F" w:rsidP="006A5419">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IX</w:t>
            </w:r>
            <w:r w:rsidR="006A5419" w:rsidRPr="006A5419">
              <w:rPr>
                <w:rFonts w:ascii="Calibri" w:eastAsia="Times New Roman" w:hAnsi="Calibri" w:cs="Calibri"/>
                <w:b/>
                <w:bCs/>
                <w:sz w:val="16"/>
                <w:szCs w:val="16"/>
              </w:rPr>
              <w:t>. DISTRIBUIÇÃO DO VALOR ADICIONADO</w:t>
            </w:r>
          </w:p>
        </w:tc>
        <w:tc>
          <w:tcPr>
            <w:tcW w:w="680" w:type="pct"/>
            <w:tcBorders>
              <w:top w:val="single" w:sz="4" w:space="0" w:color="4D93D9"/>
              <w:left w:val="nil"/>
              <w:bottom w:val="single" w:sz="4" w:space="0" w:color="4D93D9"/>
              <w:right w:val="nil"/>
            </w:tcBorders>
            <w:shd w:val="clear" w:color="000000" w:fill="DAE9F8"/>
            <w:noWrap/>
            <w:vAlign w:val="center"/>
            <w:hideMark/>
          </w:tcPr>
          <w:p w14:paraId="6E4DFA38" w14:textId="510FA461"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75.870.363 </w:t>
            </w:r>
          </w:p>
        </w:tc>
        <w:tc>
          <w:tcPr>
            <w:tcW w:w="680" w:type="pct"/>
            <w:tcBorders>
              <w:top w:val="single" w:sz="4" w:space="0" w:color="4D93D9"/>
              <w:left w:val="nil"/>
              <w:bottom w:val="single" w:sz="4" w:space="0" w:color="4D93D9"/>
              <w:right w:val="nil"/>
            </w:tcBorders>
            <w:shd w:val="clear" w:color="000000" w:fill="DAE9F8"/>
            <w:noWrap/>
            <w:vAlign w:val="center"/>
            <w:hideMark/>
          </w:tcPr>
          <w:p w14:paraId="408532E0" w14:textId="22D2851E"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42.700.080 </w:t>
            </w:r>
          </w:p>
        </w:tc>
      </w:tr>
      <w:tr w:rsidR="006A5419" w:rsidRPr="006A5419" w14:paraId="3D9524F0"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2AB137E5" w14:textId="77777777" w:rsidR="006A5419" w:rsidRPr="006A5419" w:rsidRDefault="006A5419" w:rsidP="006A5419">
            <w:pPr>
              <w:spacing w:after="0" w:line="240" w:lineRule="auto"/>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single" w:sz="4" w:space="0" w:color="FFFFFF"/>
              <w:right w:val="single" w:sz="4" w:space="0" w:color="FFFFFF"/>
            </w:tcBorders>
            <w:shd w:val="clear" w:color="auto" w:fill="auto"/>
            <w:noWrap/>
            <w:vAlign w:val="bottom"/>
            <w:hideMark/>
          </w:tcPr>
          <w:p w14:paraId="6BBA262E"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c>
          <w:tcPr>
            <w:tcW w:w="680" w:type="pct"/>
            <w:tcBorders>
              <w:top w:val="nil"/>
              <w:left w:val="nil"/>
              <w:bottom w:val="single" w:sz="4" w:space="0" w:color="FFFFFF"/>
              <w:right w:val="single" w:sz="4" w:space="0" w:color="FFFFFF"/>
            </w:tcBorders>
            <w:shd w:val="clear" w:color="000000" w:fill="FFFFFF"/>
            <w:noWrap/>
            <w:vAlign w:val="bottom"/>
            <w:hideMark/>
          </w:tcPr>
          <w:p w14:paraId="5F579251" w14:textId="77777777"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w:t>
            </w:r>
          </w:p>
        </w:tc>
      </w:tr>
      <w:tr w:rsidR="006A5419" w:rsidRPr="006A5419" w14:paraId="0838BF57"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DB6DA2A" w14:textId="617F443A" w:rsidR="006A5419" w:rsidRPr="006A5419" w:rsidRDefault="00B6104F" w:rsidP="006A5419">
            <w:pPr>
              <w:spacing w:after="0" w:line="240" w:lineRule="auto"/>
              <w:rPr>
                <w:rFonts w:ascii="Calibri" w:eastAsia="Times New Roman" w:hAnsi="Calibri" w:cs="Calibri"/>
                <w:sz w:val="16"/>
                <w:szCs w:val="16"/>
              </w:rPr>
            </w:pPr>
            <w:r>
              <w:rPr>
                <w:rFonts w:ascii="Calibri" w:eastAsia="Times New Roman" w:hAnsi="Calibri" w:cs="Calibri"/>
                <w:b/>
                <w:bCs/>
                <w:sz w:val="16"/>
                <w:szCs w:val="16"/>
              </w:rPr>
              <w:t>IX</w:t>
            </w:r>
            <w:r w:rsidR="006A5419" w:rsidRPr="006A5419">
              <w:rPr>
                <w:rFonts w:ascii="Calibri" w:eastAsia="Times New Roman" w:hAnsi="Calibri" w:cs="Calibri"/>
                <w:b/>
                <w:bCs/>
                <w:sz w:val="16"/>
                <w:szCs w:val="16"/>
              </w:rPr>
              <w:t>. 1 PESSOAL</w:t>
            </w:r>
            <w:r w:rsidR="006A5419" w:rsidRPr="006A5419">
              <w:rPr>
                <w:rFonts w:ascii="Calibri" w:eastAsia="Times New Roman" w:hAnsi="Calibri" w:cs="Calibri"/>
                <w:sz w:val="16"/>
                <w:szCs w:val="16"/>
              </w:rPr>
              <w:t xml:space="preserve"> </w:t>
            </w:r>
          </w:p>
        </w:tc>
        <w:tc>
          <w:tcPr>
            <w:tcW w:w="680" w:type="pct"/>
            <w:tcBorders>
              <w:top w:val="nil"/>
              <w:left w:val="nil"/>
              <w:bottom w:val="single" w:sz="4" w:space="0" w:color="FFFFFF"/>
              <w:right w:val="single" w:sz="4" w:space="0" w:color="FFFFFF"/>
            </w:tcBorders>
            <w:shd w:val="clear" w:color="auto" w:fill="auto"/>
            <w:noWrap/>
            <w:vAlign w:val="bottom"/>
            <w:hideMark/>
          </w:tcPr>
          <w:p w14:paraId="0ADC41F8" w14:textId="553EA8CF"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33.435.406 </w:t>
            </w:r>
          </w:p>
        </w:tc>
        <w:tc>
          <w:tcPr>
            <w:tcW w:w="680" w:type="pct"/>
            <w:tcBorders>
              <w:top w:val="nil"/>
              <w:left w:val="nil"/>
              <w:bottom w:val="single" w:sz="4" w:space="0" w:color="FFFFFF"/>
              <w:right w:val="single" w:sz="4" w:space="0" w:color="FFFFFF"/>
            </w:tcBorders>
            <w:shd w:val="clear" w:color="000000" w:fill="FFFFFF"/>
            <w:noWrap/>
            <w:vAlign w:val="bottom"/>
            <w:hideMark/>
          </w:tcPr>
          <w:p w14:paraId="3EDB9039" w14:textId="7A7C41B9"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34.811.969 </w:t>
            </w:r>
          </w:p>
        </w:tc>
      </w:tr>
      <w:tr w:rsidR="006A5419" w:rsidRPr="006A5419" w14:paraId="593D2E21"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04111DEA" w14:textId="56F161AF" w:rsidR="006A5419" w:rsidRPr="006A5419" w:rsidRDefault="009A5854"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Remuneração Direta</w:t>
            </w:r>
          </w:p>
        </w:tc>
        <w:tc>
          <w:tcPr>
            <w:tcW w:w="680" w:type="pct"/>
            <w:tcBorders>
              <w:top w:val="nil"/>
              <w:left w:val="nil"/>
              <w:bottom w:val="single" w:sz="4" w:space="0" w:color="FFFFFF"/>
              <w:right w:val="single" w:sz="4" w:space="0" w:color="FFFFFF"/>
            </w:tcBorders>
            <w:shd w:val="clear" w:color="auto" w:fill="auto"/>
            <w:noWrap/>
            <w:vAlign w:val="bottom"/>
            <w:hideMark/>
          </w:tcPr>
          <w:p w14:paraId="1FB53B0E" w14:textId="02A2AFBB"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29.051.953 </w:t>
            </w:r>
          </w:p>
        </w:tc>
        <w:tc>
          <w:tcPr>
            <w:tcW w:w="680" w:type="pct"/>
            <w:tcBorders>
              <w:top w:val="nil"/>
              <w:left w:val="nil"/>
              <w:bottom w:val="single" w:sz="4" w:space="0" w:color="FFFFFF"/>
              <w:right w:val="single" w:sz="4" w:space="0" w:color="FFFFFF"/>
            </w:tcBorders>
            <w:shd w:val="clear" w:color="auto" w:fill="auto"/>
            <w:noWrap/>
            <w:vAlign w:val="bottom"/>
            <w:hideMark/>
          </w:tcPr>
          <w:p w14:paraId="06A73F89" w14:textId="1473993F"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29.202.072 </w:t>
            </w:r>
          </w:p>
        </w:tc>
      </w:tr>
      <w:tr w:rsidR="006A5419" w:rsidRPr="006A5419" w14:paraId="5EF7B35B"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1B1F8D25" w14:textId="1B6E0DC1" w:rsidR="006A5419" w:rsidRPr="006A5419" w:rsidRDefault="009A5854" w:rsidP="006A5419">
            <w:pPr>
              <w:spacing w:after="0" w:line="240" w:lineRule="auto"/>
              <w:rPr>
                <w:rFonts w:ascii="Calibri" w:eastAsia="Times New Roman" w:hAnsi="Calibri" w:cs="Calibri"/>
                <w:b/>
                <w:bCs/>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Benefícios</w:t>
            </w:r>
          </w:p>
        </w:tc>
        <w:tc>
          <w:tcPr>
            <w:tcW w:w="680" w:type="pct"/>
            <w:tcBorders>
              <w:top w:val="nil"/>
              <w:left w:val="nil"/>
              <w:bottom w:val="single" w:sz="4" w:space="0" w:color="FFFFFF"/>
              <w:right w:val="single" w:sz="4" w:space="0" w:color="FFFFFF"/>
            </w:tcBorders>
            <w:shd w:val="clear" w:color="auto" w:fill="auto"/>
            <w:noWrap/>
            <w:vAlign w:val="bottom"/>
            <w:hideMark/>
          </w:tcPr>
          <w:p w14:paraId="24768029" w14:textId="7A5E93D5"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2.891.050 </w:t>
            </w:r>
          </w:p>
        </w:tc>
        <w:tc>
          <w:tcPr>
            <w:tcW w:w="680" w:type="pct"/>
            <w:tcBorders>
              <w:top w:val="nil"/>
              <w:left w:val="nil"/>
              <w:bottom w:val="single" w:sz="4" w:space="0" w:color="FFFFFF"/>
              <w:right w:val="single" w:sz="4" w:space="0" w:color="FFFFFF"/>
            </w:tcBorders>
            <w:shd w:val="clear" w:color="auto" w:fill="auto"/>
            <w:noWrap/>
            <w:vAlign w:val="bottom"/>
            <w:hideMark/>
          </w:tcPr>
          <w:p w14:paraId="711F75D0" w14:textId="351F3B1E"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3.440.829 </w:t>
            </w:r>
          </w:p>
        </w:tc>
      </w:tr>
      <w:tr w:rsidR="006A5419" w:rsidRPr="006A5419" w14:paraId="74218F63"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5FA8A191" w14:textId="22816EAB"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FGTS</w:t>
            </w:r>
          </w:p>
        </w:tc>
        <w:tc>
          <w:tcPr>
            <w:tcW w:w="680" w:type="pct"/>
            <w:tcBorders>
              <w:top w:val="nil"/>
              <w:left w:val="nil"/>
              <w:bottom w:val="single" w:sz="4" w:space="0" w:color="FFFFFF"/>
              <w:right w:val="single" w:sz="4" w:space="0" w:color="FFFFFF"/>
            </w:tcBorders>
            <w:shd w:val="clear" w:color="auto" w:fill="auto"/>
            <w:noWrap/>
            <w:vAlign w:val="bottom"/>
            <w:hideMark/>
          </w:tcPr>
          <w:p w14:paraId="634B2D03" w14:textId="33C2373E"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1.492.403 </w:t>
            </w:r>
          </w:p>
        </w:tc>
        <w:tc>
          <w:tcPr>
            <w:tcW w:w="680" w:type="pct"/>
            <w:tcBorders>
              <w:top w:val="nil"/>
              <w:left w:val="nil"/>
              <w:bottom w:val="single" w:sz="4" w:space="0" w:color="FFFFFF"/>
              <w:right w:val="single" w:sz="4" w:space="0" w:color="FFFFFF"/>
            </w:tcBorders>
            <w:shd w:val="clear" w:color="auto" w:fill="auto"/>
            <w:noWrap/>
            <w:vAlign w:val="bottom"/>
            <w:hideMark/>
          </w:tcPr>
          <w:p w14:paraId="560AB729" w14:textId="2FFA4070"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2.169.068 </w:t>
            </w:r>
          </w:p>
        </w:tc>
      </w:tr>
      <w:tr w:rsidR="006A5419" w:rsidRPr="006A5419" w14:paraId="06FCE0B7"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4686AD98" w14:textId="65626280" w:rsidR="006A5419" w:rsidRPr="006A5419" w:rsidRDefault="00B6104F" w:rsidP="006A5419">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IX</w:t>
            </w:r>
            <w:r w:rsidR="006A5419" w:rsidRPr="006A5419">
              <w:rPr>
                <w:rFonts w:ascii="Calibri" w:eastAsia="Times New Roman" w:hAnsi="Calibri" w:cs="Calibri"/>
                <w:b/>
                <w:bCs/>
                <w:sz w:val="16"/>
                <w:szCs w:val="16"/>
              </w:rPr>
              <w:t>. 2 IMPOSTOS, TAXAS E CONTRIBUIÇÕES</w:t>
            </w:r>
          </w:p>
        </w:tc>
        <w:tc>
          <w:tcPr>
            <w:tcW w:w="680" w:type="pct"/>
            <w:tcBorders>
              <w:top w:val="nil"/>
              <w:left w:val="nil"/>
              <w:bottom w:val="single" w:sz="4" w:space="0" w:color="FFFFFF"/>
              <w:right w:val="single" w:sz="4" w:space="0" w:color="FFFFFF"/>
            </w:tcBorders>
            <w:shd w:val="clear" w:color="auto" w:fill="auto"/>
            <w:noWrap/>
            <w:vAlign w:val="bottom"/>
            <w:hideMark/>
          </w:tcPr>
          <w:p w14:paraId="37BE77F6" w14:textId="1E95690B"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10.748.074 </w:t>
            </w:r>
          </w:p>
        </w:tc>
        <w:tc>
          <w:tcPr>
            <w:tcW w:w="680" w:type="pct"/>
            <w:tcBorders>
              <w:top w:val="nil"/>
              <w:left w:val="nil"/>
              <w:bottom w:val="single" w:sz="4" w:space="0" w:color="FFFFFF"/>
              <w:right w:val="single" w:sz="4" w:space="0" w:color="FFFFFF"/>
            </w:tcBorders>
            <w:shd w:val="clear" w:color="auto" w:fill="auto"/>
            <w:noWrap/>
            <w:vAlign w:val="bottom"/>
            <w:hideMark/>
          </w:tcPr>
          <w:p w14:paraId="210CE6BF" w14:textId="0323F745"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7.517.437 </w:t>
            </w:r>
          </w:p>
        </w:tc>
      </w:tr>
      <w:tr w:rsidR="006A5419" w:rsidRPr="006A5419" w14:paraId="481F1F63"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2E459038" w14:textId="62A9E80F"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Federais</w:t>
            </w:r>
          </w:p>
        </w:tc>
        <w:tc>
          <w:tcPr>
            <w:tcW w:w="680" w:type="pct"/>
            <w:tcBorders>
              <w:top w:val="nil"/>
              <w:left w:val="nil"/>
              <w:bottom w:val="single" w:sz="4" w:space="0" w:color="FFFFFF"/>
              <w:right w:val="single" w:sz="4" w:space="0" w:color="FFFFFF"/>
            </w:tcBorders>
            <w:shd w:val="clear" w:color="auto" w:fill="auto"/>
            <w:noWrap/>
            <w:vAlign w:val="bottom"/>
            <w:hideMark/>
          </w:tcPr>
          <w:p w14:paraId="3DBA6F9D" w14:textId="63044966"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10.731.924 </w:t>
            </w:r>
          </w:p>
        </w:tc>
        <w:tc>
          <w:tcPr>
            <w:tcW w:w="680" w:type="pct"/>
            <w:tcBorders>
              <w:top w:val="nil"/>
              <w:left w:val="nil"/>
              <w:bottom w:val="single" w:sz="4" w:space="0" w:color="FFFFFF"/>
              <w:right w:val="single" w:sz="4" w:space="0" w:color="FFFFFF"/>
            </w:tcBorders>
            <w:shd w:val="clear" w:color="auto" w:fill="auto"/>
            <w:noWrap/>
            <w:vAlign w:val="bottom"/>
            <w:hideMark/>
          </w:tcPr>
          <w:p w14:paraId="3458A783" w14:textId="6BD75EBA"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7.430.452 </w:t>
            </w:r>
          </w:p>
        </w:tc>
      </w:tr>
      <w:tr w:rsidR="006A5419" w:rsidRPr="006A5419" w14:paraId="6FECBBAF"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D03E7C9" w14:textId="25526D41"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E</w:t>
            </w:r>
            <w:r w:rsidR="006A5419" w:rsidRPr="006A5419">
              <w:rPr>
                <w:rFonts w:ascii="Calibri" w:eastAsia="Times New Roman" w:hAnsi="Calibri" w:cs="Calibri"/>
                <w:sz w:val="16"/>
                <w:szCs w:val="16"/>
              </w:rPr>
              <w:t>staduais</w:t>
            </w:r>
          </w:p>
        </w:tc>
        <w:tc>
          <w:tcPr>
            <w:tcW w:w="680" w:type="pct"/>
            <w:tcBorders>
              <w:top w:val="nil"/>
              <w:left w:val="nil"/>
              <w:bottom w:val="single" w:sz="4" w:space="0" w:color="FFFFFF"/>
              <w:right w:val="single" w:sz="4" w:space="0" w:color="FFFFFF"/>
            </w:tcBorders>
            <w:shd w:val="clear" w:color="auto" w:fill="auto"/>
            <w:noWrap/>
            <w:vAlign w:val="bottom"/>
            <w:hideMark/>
          </w:tcPr>
          <w:p w14:paraId="49E00D85" w14:textId="1F348602"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w:t>
            </w:r>
          </w:p>
        </w:tc>
        <w:tc>
          <w:tcPr>
            <w:tcW w:w="680" w:type="pct"/>
            <w:tcBorders>
              <w:top w:val="nil"/>
              <w:left w:val="nil"/>
              <w:bottom w:val="single" w:sz="4" w:space="0" w:color="FFFFFF"/>
              <w:right w:val="single" w:sz="4" w:space="0" w:color="FFFFFF"/>
            </w:tcBorders>
            <w:shd w:val="clear" w:color="auto" w:fill="auto"/>
            <w:noWrap/>
            <w:vAlign w:val="bottom"/>
            <w:hideMark/>
          </w:tcPr>
          <w:p w14:paraId="337378C4" w14:textId="24041702"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 </w:t>
            </w:r>
          </w:p>
        </w:tc>
      </w:tr>
      <w:tr w:rsidR="006A5419" w:rsidRPr="006A5419" w14:paraId="04DD0B69"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7E92986" w14:textId="46F0AF31"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Municipais</w:t>
            </w:r>
          </w:p>
        </w:tc>
        <w:tc>
          <w:tcPr>
            <w:tcW w:w="680" w:type="pct"/>
            <w:tcBorders>
              <w:top w:val="nil"/>
              <w:left w:val="nil"/>
              <w:bottom w:val="single" w:sz="4" w:space="0" w:color="FFFFFF"/>
              <w:right w:val="single" w:sz="4" w:space="0" w:color="FFFFFF"/>
            </w:tcBorders>
            <w:shd w:val="clear" w:color="auto" w:fill="auto"/>
            <w:noWrap/>
            <w:vAlign w:val="bottom"/>
            <w:hideMark/>
          </w:tcPr>
          <w:p w14:paraId="76EAEABE" w14:textId="2124E9C0"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16.150 </w:t>
            </w:r>
          </w:p>
        </w:tc>
        <w:tc>
          <w:tcPr>
            <w:tcW w:w="680" w:type="pct"/>
            <w:tcBorders>
              <w:top w:val="nil"/>
              <w:left w:val="nil"/>
              <w:bottom w:val="single" w:sz="4" w:space="0" w:color="FFFFFF"/>
              <w:right w:val="single" w:sz="4" w:space="0" w:color="FFFFFF"/>
            </w:tcBorders>
            <w:shd w:val="clear" w:color="auto" w:fill="auto"/>
            <w:noWrap/>
            <w:vAlign w:val="bottom"/>
            <w:hideMark/>
          </w:tcPr>
          <w:p w14:paraId="2D3C7EE6" w14:textId="7C083A7C"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86.985 </w:t>
            </w:r>
          </w:p>
        </w:tc>
      </w:tr>
      <w:tr w:rsidR="006A5419" w:rsidRPr="006A5419" w14:paraId="7FD7701D"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2F0B640F" w14:textId="14C19009" w:rsidR="006A5419" w:rsidRPr="006A5419" w:rsidRDefault="00B6104F" w:rsidP="006A5419">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IX</w:t>
            </w:r>
            <w:r w:rsidR="006A5419" w:rsidRPr="006A5419">
              <w:rPr>
                <w:rFonts w:ascii="Calibri" w:eastAsia="Times New Roman" w:hAnsi="Calibri" w:cs="Calibri"/>
                <w:b/>
                <w:bCs/>
                <w:sz w:val="16"/>
                <w:szCs w:val="16"/>
              </w:rPr>
              <w:t>. 3 REMUNERAÇÃO DE CAPITAIS DE TERCEIROS</w:t>
            </w:r>
          </w:p>
        </w:tc>
        <w:tc>
          <w:tcPr>
            <w:tcW w:w="680" w:type="pct"/>
            <w:tcBorders>
              <w:top w:val="nil"/>
              <w:left w:val="nil"/>
              <w:bottom w:val="single" w:sz="4" w:space="0" w:color="FFFFFF"/>
              <w:right w:val="single" w:sz="4" w:space="0" w:color="FFFFFF"/>
            </w:tcBorders>
            <w:shd w:val="clear" w:color="auto" w:fill="auto"/>
            <w:noWrap/>
            <w:vAlign w:val="bottom"/>
            <w:hideMark/>
          </w:tcPr>
          <w:p w14:paraId="630A4DAB" w14:textId="7CE64744"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474.745 </w:t>
            </w:r>
          </w:p>
        </w:tc>
        <w:tc>
          <w:tcPr>
            <w:tcW w:w="680" w:type="pct"/>
            <w:tcBorders>
              <w:top w:val="nil"/>
              <w:left w:val="nil"/>
              <w:bottom w:val="single" w:sz="4" w:space="0" w:color="FFFFFF"/>
              <w:right w:val="single" w:sz="4" w:space="0" w:color="FFFFFF"/>
            </w:tcBorders>
            <w:shd w:val="clear" w:color="000000" w:fill="FFFFFF"/>
            <w:noWrap/>
            <w:vAlign w:val="bottom"/>
            <w:hideMark/>
          </w:tcPr>
          <w:p w14:paraId="1D527822" w14:textId="4EC8C622"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572.740 </w:t>
            </w:r>
          </w:p>
        </w:tc>
      </w:tr>
      <w:tr w:rsidR="006A5419" w:rsidRPr="006A5419" w14:paraId="086DE73A"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06F4F87B" w14:textId="68773C05"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Juros e Atualizações Monetárias</w:t>
            </w:r>
          </w:p>
        </w:tc>
        <w:tc>
          <w:tcPr>
            <w:tcW w:w="680" w:type="pct"/>
            <w:tcBorders>
              <w:top w:val="nil"/>
              <w:left w:val="nil"/>
              <w:bottom w:val="single" w:sz="4" w:space="0" w:color="FFFFFF"/>
              <w:right w:val="single" w:sz="4" w:space="0" w:color="FFFFFF"/>
            </w:tcBorders>
            <w:shd w:val="clear" w:color="auto" w:fill="auto"/>
            <w:noWrap/>
            <w:vAlign w:val="bottom"/>
            <w:hideMark/>
          </w:tcPr>
          <w:p w14:paraId="7EED488B" w14:textId="24D043FC"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343.363 </w:t>
            </w:r>
          </w:p>
        </w:tc>
        <w:tc>
          <w:tcPr>
            <w:tcW w:w="680" w:type="pct"/>
            <w:tcBorders>
              <w:top w:val="nil"/>
              <w:left w:val="nil"/>
              <w:bottom w:val="nil"/>
              <w:right w:val="nil"/>
            </w:tcBorders>
            <w:shd w:val="clear" w:color="000000" w:fill="FFFFFF"/>
            <w:noWrap/>
            <w:vAlign w:val="center"/>
            <w:hideMark/>
          </w:tcPr>
          <w:p w14:paraId="7004EFBC" w14:textId="77777777" w:rsidR="006A5419" w:rsidRPr="006A5419" w:rsidRDefault="006A5419" w:rsidP="006A5419">
            <w:pPr>
              <w:spacing w:after="0" w:line="240" w:lineRule="auto"/>
              <w:jc w:val="right"/>
              <w:rPr>
                <w:rFonts w:ascii="Calibri" w:eastAsia="Times New Roman" w:hAnsi="Calibri" w:cs="Calibri"/>
                <w:color w:val="000000"/>
                <w:sz w:val="16"/>
                <w:szCs w:val="16"/>
              </w:rPr>
            </w:pPr>
            <w:r w:rsidRPr="006A5419">
              <w:rPr>
                <w:rFonts w:ascii="Calibri" w:eastAsia="Times New Roman" w:hAnsi="Calibri" w:cs="Calibri"/>
                <w:color w:val="000000"/>
                <w:sz w:val="16"/>
                <w:szCs w:val="16"/>
              </w:rPr>
              <w:t>353.051</w:t>
            </w:r>
          </w:p>
        </w:tc>
      </w:tr>
      <w:tr w:rsidR="006A5419" w:rsidRPr="006A5419" w14:paraId="13AFE297"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7B4C4D25" w14:textId="48CD00A1"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Locação de Imóveis</w:t>
            </w:r>
          </w:p>
        </w:tc>
        <w:tc>
          <w:tcPr>
            <w:tcW w:w="680" w:type="pct"/>
            <w:tcBorders>
              <w:top w:val="nil"/>
              <w:left w:val="nil"/>
              <w:bottom w:val="single" w:sz="4" w:space="0" w:color="FFFFFF"/>
              <w:right w:val="single" w:sz="4" w:space="0" w:color="FFFFFF"/>
            </w:tcBorders>
            <w:shd w:val="clear" w:color="auto" w:fill="auto"/>
            <w:noWrap/>
            <w:vAlign w:val="bottom"/>
            <w:hideMark/>
          </w:tcPr>
          <w:p w14:paraId="393883AC" w14:textId="117D0AE1"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w:t>
            </w:r>
          </w:p>
        </w:tc>
        <w:tc>
          <w:tcPr>
            <w:tcW w:w="680" w:type="pct"/>
            <w:tcBorders>
              <w:top w:val="single" w:sz="4" w:space="0" w:color="FFFFFF"/>
              <w:left w:val="nil"/>
              <w:bottom w:val="single" w:sz="4" w:space="0" w:color="FFFFFF"/>
              <w:right w:val="single" w:sz="4" w:space="0" w:color="FFFFFF"/>
            </w:tcBorders>
            <w:shd w:val="clear" w:color="auto" w:fill="auto"/>
            <w:noWrap/>
            <w:vAlign w:val="bottom"/>
            <w:hideMark/>
          </w:tcPr>
          <w:p w14:paraId="48202172" w14:textId="2FD2719D"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 - </w:t>
            </w:r>
          </w:p>
        </w:tc>
      </w:tr>
      <w:tr w:rsidR="006A5419" w:rsidRPr="006A5419" w14:paraId="6495D029"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5D947BF7" w14:textId="75F281AF" w:rsidR="006A5419" w:rsidRPr="006A5419"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6A5419">
              <w:rPr>
                <w:rFonts w:ascii="Calibri" w:eastAsia="Times New Roman" w:hAnsi="Calibri" w:cs="Calibri"/>
                <w:sz w:val="16"/>
                <w:szCs w:val="16"/>
              </w:rPr>
              <w:t>Locação de Máquinas e Equipamentos</w:t>
            </w:r>
          </w:p>
        </w:tc>
        <w:tc>
          <w:tcPr>
            <w:tcW w:w="680" w:type="pct"/>
            <w:tcBorders>
              <w:top w:val="nil"/>
              <w:left w:val="nil"/>
              <w:bottom w:val="single" w:sz="4" w:space="0" w:color="FFFFFF"/>
              <w:right w:val="single" w:sz="4" w:space="0" w:color="FFFFFF"/>
            </w:tcBorders>
            <w:shd w:val="clear" w:color="auto" w:fill="auto"/>
            <w:noWrap/>
            <w:vAlign w:val="bottom"/>
            <w:hideMark/>
          </w:tcPr>
          <w:p w14:paraId="2464AD04" w14:textId="34DBA51A" w:rsidR="006A5419" w:rsidRPr="006A5419" w:rsidRDefault="006A5419" w:rsidP="006A5419">
            <w:pPr>
              <w:spacing w:after="0" w:line="240" w:lineRule="auto"/>
              <w:jc w:val="right"/>
              <w:rPr>
                <w:rFonts w:ascii="Calibri" w:eastAsia="Times New Roman" w:hAnsi="Calibri" w:cs="Calibri"/>
                <w:sz w:val="16"/>
                <w:szCs w:val="16"/>
              </w:rPr>
            </w:pPr>
            <w:r w:rsidRPr="006A5419">
              <w:rPr>
                <w:rFonts w:ascii="Calibri" w:eastAsia="Times New Roman" w:hAnsi="Calibri" w:cs="Calibri"/>
                <w:sz w:val="16"/>
                <w:szCs w:val="16"/>
              </w:rPr>
              <w:t xml:space="preserve">131.382 </w:t>
            </w:r>
          </w:p>
        </w:tc>
        <w:tc>
          <w:tcPr>
            <w:tcW w:w="680" w:type="pct"/>
            <w:tcBorders>
              <w:top w:val="nil"/>
              <w:left w:val="nil"/>
              <w:bottom w:val="nil"/>
              <w:right w:val="nil"/>
            </w:tcBorders>
            <w:shd w:val="clear" w:color="000000" w:fill="FFFFFF"/>
            <w:noWrap/>
            <w:vAlign w:val="center"/>
            <w:hideMark/>
          </w:tcPr>
          <w:p w14:paraId="454E36B6" w14:textId="77777777" w:rsidR="006A5419" w:rsidRPr="006A5419" w:rsidRDefault="006A5419" w:rsidP="006A5419">
            <w:pPr>
              <w:spacing w:after="0" w:line="240" w:lineRule="auto"/>
              <w:jc w:val="right"/>
              <w:rPr>
                <w:rFonts w:ascii="Calibri" w:eastAsia="Times New Roman" w:hAnsi="Calibri" w:cs="Calibri"/>
                <w:color w:val="000000"/>
                <w:sz w:val="16"/>
                <w:szCs w:val="16"/>
              </w:rPr>
            </w:pPr>
            <w:r w:rsidRPr="006A5419">
              <w:rPr>
                <w:rFonts w:ascii="Calibri" w:eastAsia="Times New Roman" w:hAnsi="Calibri" w:cs="Calibri"/>
                <w:color w:val="000000"/>
                <w:sz w:val="16"/>
                <w:szCs w:val="16"/>
              </w:rPr>
              <w:t>219.689</w:t>
            </w:r>
          </w:p>
        </w:tc>
      </w:tr>
      <w:tr w:rsidR="006A5419" w:rsidRPr="006A5419" w14:paraId="79CE6561" w14:textId="77777777" w:rsidTr="00AE48F5">
        <w:trPr>
          <w:trHeight w:val="227"/>
        </w:trPr>
        <w:tc>
          <w:tcPr>
            <w:tcW w:w="3641" w:type="pct"/>
            <w:tcBorders>
              <w:top w:val="nil"/>
              <w:left w:val="single" w:sz="4" w:space="0" w:color="FFFFFF"/>
              <w:bottom w:val="single" w:sz="4" w:space="0" w:color="FFFFFF"/>
              <w:right w:val="single" w:sz="4" w:space="0" w:color="FFFFFF"/>
            </w:tcBorders>
            <w:shd w:val="clear" w:color="000000" w:fill="FFFFFF"/>
            <w:noWrap/>
            <w:vAlign w:val="bottom"/>
            <w:hideMark/>
          </w:tcPr>
          <w:p w14:paraId="625FB23F" w14:textId="343522FF" w:rsidR="006A5419" w:rsidRPr="006A5419" w:rsidRDefault="00B6104F" w:rsidP="006A5419">
            <w:pPr>
              <w:spacing w:after="0" w:line="240" w:lineRule="auto"/>
              <w:rPr>
                <w:rFonts w:ascii="Calibri" w:eastAsia="Times New Roman" w:hAnsi="Calibri" w:cs="Calibri"/>
                <w:b/>
                <w:bCs/>
                <w:sz w:val="16"/>
                <w:szCs w:val="16"/>
              </w:rPr>
            </w:pPr>
            <w:r>
              <w:rPr>
                <w:rFonts w:ascii="Calibri" w:eastAsia="Times New Roman" w:hAnsi="Calibri" w:cs="Calibri"/>
                <w:b/>
                <w:bCs/>
                <w:sz w:val="16"/>
                <w:szCs w:val="16"/>
              </w:rPr>
              <w:t>IX</w:t>
            </w:r>
            <w:r w:rsidR="006A5419" w:rsidRPr="006A5419">
              <w:rPr>
                <w:rFonts w:ascii="Calibri" w:eastAsia="Times New Roman" w:hAnsi="Calibri" w:cs="Calibri"/>
                <w:b/>
                <w:bCs/>
                <w:sz w:val="16"/>
                <w:szCs w:val="16"/>
              </w:rPr>
              <w:t>.</w:t>
            </w:r>
            <w:r>
              <w:rPr>
                <w:rFonts w:ascii="Calibri" w:eastAsia="Times New Roman" w:hAnsi="Calibri" w:cs="Calibri"/>
                <w:b/>
                <w:bCs/>
                <w:sz w:val="16"/>
                <w:szCs w:val="16"/>
              </w:rPr>
              <w:t xml:space="preserve"> </w:t>
            </w:r>
            <w:r w:rsidR="006A5419" w:rsidRPr="006A5419">
              <w:rPr>
                <w:rFonts w:ascii="Calibri" w:eastAsia="Times New Roman" w:hAnsi="Calibri" w:cs="Calibri"/>
                <w:b/>
                <w:bCs/>
                <w:sz w:val="16"/>
                <w:szCs w:val="16"/>
              </w:rPr>
              <w:t>4 REMUNERAÇÃO DE CAPITAIS PRÓPRIOS</w:t>
            </w:r>
          </w:p>
        </w:tc>
        <w:tc>
          <w:tcPr>
            <w:tcW w:w="680" w:type="pct"/>
            <w:tcBorders>
              <w:top w:val="nil"/>
              <w:left w:val="nil"/>
              <w:bottom w:val="single" w:sz="4" w:space="0" w:color="FFFFFF"/>
              <w:right w:val="single" w:sz="4" w:space="0" w:color="FFFFFF"/>
            </w:tcBorders>
            <w:shd w:val="clear" w:color="auto" w:fill="auto"/>
            <w:noWrap/>
            <w:vAlign w:val="bottom"/>
            <w:hideMark/>
          </w:tcPr>
          <w:p w14:paraId="0C4616AC" w14:textId="03FA665A"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31.212.137 </w:t>
            </w:r>
          </w:p>
        </w:tc>
        <w:tc>
          <w:tcPr>
            <w:tcW w:w="680" w:type="pct"/>
            <w:tcBorders>
              <w:top w:val="single" w:sz="4" w:space="0" w:color="FFFFFF"/>
              <w:left w:val="nil"/>
              <w:bottom w:val="single" w:sz="4" w:space="0" w:color="FFFFFF"/>
              <w:right w:val="single" w:sz="4" w:space="0" w:color="FFFFFF"/>
            </w:tcBorders>
            <w:shd w:val="clear" w:color="000000" w:fill="FFFFFF"/>
            <w:noWrap/>
            <w:vAlign w:val="bottom"/>
            <w:hideMark/>
          </w:tcPr>
          <w:p w14:paraId="77E07AA8" w14:textId="648A9811" w:rsidR="006A5419" w:rsidRPr="006A5419" w:rsidRDefault="006A5419" w:rsidP="006A5419">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(202.06</w:t>
            </w:r>
            <w:r w:rsidR="00C53892">
              <w:rPr>
                <w:rFonts w:ascii="Calibri" w:eastAsia="Times New Roman" w:hAnsi="Calibri" w:cs="Calibri"/>
                <w:b/>
                <w:bCs/>
                <w:sz w:val="16"/>
                <w:szCs w:val="16"/>
              </w:rPr>
              <w:t>6</w:t>
            </w:r>
            <w:r w:rsidRPr="006A5419">
              <w:rPr>
                <w:rFonts w:ascii="Calibri" w:eastAsia="Times New Roman" w:hAnsi="Calibri" w:cs="Calibri"/>
                <w:b/>
                <w:bCs/>
                <w:sz w:val="16"/>
                <w:szCs w:val="16"/>
              </w:rPr>
              <w:t>)</w:t>
            </w:r>
          </w:p>
        </w:tc>
      </w:tr>
      <w:tr w:rsidR="006A5419" w:rsidRPr="006A5419" w14:paraId="52BAFE8B" w14:textId="77777777" w:rsidTr="00AE48F5">
        <w:trPr>
          <w:trHeight w:val="227"/>
        </w:trPr>
        <w:tc>
          <w:tcPr>
            <w:tcW w:w="3641" w:type="pct"/>
            <w:tcBorders>
              <w:top w:val="nil"/>
              <w:left w:val="single" w:sz="4" w:space="0" w:color="FFFFFF"/>
              <w:bottom w:val="single" w:sz="4" w:space="0" w:color="4D93D9"/>
              <w:right w:val="nil"/>
            </w:tcBorders>
            <w:shd w:val="clear" w:color="auto" w:fill="auto"/>
            <w:noWrap/>
            <w:vAlign w:val="center"/>
            <w:hideMark/>
          </w:tcPr>
          <w:p w14:paraId="7E143F3C" w14:textId="2FC6938E" w:rsidR="006A5419" w:rsidRPr="009A5854" w:rsidRDefault="009A5854" w:rsidP="006A5419">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6A5419" w:rsidRPr="009A5854">
              <w:rPr>
                <w:rFonts w:ascii="Calibri" w:eastAsia="Times New Roman" w:hAnsi="Calibri" w:cs="Calibri"/>
                <w:sz w:val="16"/>
                <w:szCs w:val="16"/>
              </w:rPr>
              <w:t>Resultado do Período</w:t>
            </w:r>
          </w:p>
        </w:tc>
        <w:tc>
          <w:tcPr>
            <w:tcW w:w="680" w:type="pct"/>
            <w:tcBorders>
              <w:top w:val="nil"/>
              <w:left w:val="single" w:sz="4" w:space="0" w:color="FFFFFF"/>
              <w:bottom w:val="single" w:sz="4" w:space="0" w:color="4D93D9"/>
              <w:right w:val="nil"/>
            </w:tcBorders>
            <w:shd w:val="clear" w:color="auto" w:fill="auto"/>
            <w:noWrap/>
            <w:vAlign w:val="center"/>
            <w:hideMark/>
          </w:tcPr>
          <w:p w14:paraId="69CACA85" w14:textId="63C4D6F1" w:rsidR="006A5419" w:rsidRPr="006A5419" w:rsidRDefault="006A5419" w:rsidP="00AE48F5">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 xml:space="preserve"> 31.212.137 </w:t>
            </w:r>
          </w:p>
        </w:tc>
        <w:tc>
          <w:tcPr>
            <w:tcW w:w="680" w:type="pct"/>
            <w:tcBorders>
              <w:top w:val="nil"/>
              <w:left w:val="single" w:sz="4" w:space="0" w:color="FFFFFF"/>
              <w:bottom w:val="single" w:sz="4" w:space="0" w:color="4D93D9"/>
              <w:right w:val="nil"/>
            </w:tcBorders>
            <w:shd w:val="clear" w:color="auto" w:fill="auto"/>
            <w:noWrap/>
            <w:vAlign w:val="center"/>
            <w:hideMark/>
          </w:tcPr>
          <w:p w14:paraId="23C8358C" w14:textId="69B10234" w:rsidR="006A5419" w:rsidRPr="006A5419" w:rsidRDefault="006A5419" w:rsidP="00AE48F5">
            <w:pPr>
              <w:spacing w:after="0" w:line="240" w:lineRule="auto"/>
              <w:jc w:val="right"/>
              <w:rPr>
                <w:rFonts w:ascii="Calibri" w:eastAsia="Times New Roman" w:hAnsi="Calibri" w:cs="Calibri"/>
                <w:b/>
                <w:bCs/>
                <w:sz w:val="16"/>
                <w:szCs w:val="16"/>
              </w:rPr>
            </w:pPr>
            <w:r w:rsidRPr="006A5419">
              <w:rPr>
                <w:rFonts w:ascii="Calibri" w:eastAsia="Times New Roman" w:hAnsi="Calibri" w:cs="Calibri"/>
                <w:b/>
                <w:bCs/>
                <w:sz w:val="16"/>
                <w:szCs w:val="16"/>
              </w:rPr>
              <w:t>(202.06</w:t>
            </w:r>
            <w:r w:rsidR="00C53892">
              <w:rPr>
                <w:rFonts w:ascii="Calibri" w:eastAsia="Times New Roman" w:hAnsi="Calibri" w:cs="Calibri"/>
                <w:b/>
                <w:bCs/>
                <w:sz w:val="16"/>
                <w:szCs w:val="16"/>
              </w:rPr>
              <w:t>6</w:t>
            </w:r>
            <w:r w:rsidRPr="006A5419">
              <w:rPr>
                <w:rFonts w:ascii="Calibri" w:eastAsia="Times New Roman" w:hAnsi="Calibri" w:cs="Calibri"/>
                <w:b/>
                <w:bCs/>
                <w:sz w:val="16"/>
                <w:szCs w:val="16"/>
              </w:rPr>
              <w:t>)</w:t>
            </w:r>
          </w:p>
        </w:tc>
      </w:tr>
    </w:tbl>
    <w:p w14:paraId="63C81232" w14:textId="77777777" w:rsidR="00664AA6" w:rsidRPr="00553371" w:rsidRDefault="00664AA6" w:rsidP="00771C02">
      <w:pPr>
        <w:rPr>
          <w:sz w:val="16"/>
          <w:szCs w:val="16"/>
        </w:rPr>
      </w:pPr>
    </w:p>
    <w:p w14:paraId="012AB1F9" w14:textId="1210DA25" w:rsidR="004A4813" w:rsidRPr="00553371" w:rsidRDefault="004A4813" w:rsidP="004A4813">
      <w:pPr>
        <w:spacing w:after="0" w:line="240" w:lineRule="auto"/>
        <w:jc w:val="center"/>
        <w:rPr>
          <w:rFonts w:ascii="Calibri" w:eastAsia="Times New Roman" w:hAnsi="Calibri" w:cs="Calibri"/>
          <w:sz w:val="16"/>
          <w:szCs w:val="16"/>
        </w:rPr>
      </w:pPr>
      <w:r w:rsidRPr="00553371">
        <w:rPr>
          <w:rFonts w:ascii="Calibri" w:eastAsia="Times New Roman" w:hAnsi="Calibri" w:cs="Calibri"/>
          <w:sz w:val="16"/>
          <w:szCs w:val="16"/>
        </w:rPr>
        <w:t xml:space="preserve">(As Notas Explicativas são parte integrante das </w:t>
      </w:r>
      <w:r w:rsidR="00FD2749">
        <w:rPr>
          <w:rFonts w:ascii="Calibri" w:eastAsia="Times New Roman" w:hAnsi="Calibri" w:cs="Calibri"/>
          <w:sz w:val="16"/>
          <w:szCs w:val="16"/>
        </w:rPr>
        <w:t>D</w:t>
      </w:r>
      <w:r w:rsidRPr="00553371">
        <w:rPr>
          <w:rFonts w:ascii="Calibri" w:eastAsia="Times New Roman" w:hAnsi="Calibri" w:cs="Calibri"/>
          <w:sz w:val="16"/>
          <w:szCs w:val="16"/>
        </w:rPr>
        <w:t xml:space="preserve">emonstrações </w:t>
      </w:r>
      <w:r w:rsidR="00FD2749">
        <w:rPr>
          <w:rFonts w:ascii="Calibri" w:eastAsia="Times New Roman" w:hAnsi="Calibri" w:cs="Calibri"/>
          <w:sz w:val="16"/>
          <w:szCs w:val="16"/>
        </w:rPr>
        <w:t>Financeira</w:t>
      </w:r>
      <w:r w:rsidRPr="00553371">
        <w:rPr>
          <w:rFonts w:ascii="Calibri" w:eastAsia="Times New Roman" w:hAnsi="Calibri" w:cs="Calibri"/>
          <w:sz w:val="16"/>
          <w:szCs w:val="16"/>
        </w:rPr>
        <w:t>s)</w:t>
      </w:r>
    </w:p>
    <w:p w14:paraId="6375289F" w14:textId="77777777" w:rsidR="0090779D" w:rsidRDefault="0090779D" w:rsidP="00771C02">
      <w:pPr>
        <w:rPr>
          <w:sz w:val="16"/>
          <w:szCs w:val="16"/>
        </w:rPr>
      </w:pPr>
    </w:p>
    <w:p w14:paraId="157F0381" w14:textId="77777777" w:rsidR="00C15D8C" w:rsidRDefault="00C15D8C" w:rsidP="00771C02">
      <w:pPr>
        <w:rPr>
          <w:sz w:val="16"/>
          <w:szCs w:val="16"/>
        </w:rPr>
      </w:pPr>
    </w:p>
    <w:p w14:paraId="1F536B37" w14:textId="77777777" w:rsidR="00C15D8C" w:rsidRDefault="00C15D8C" w:rsidP="00771C02">
      <w:pPr>
        <w:rPr>
          <w:sz w:val="16"/>
          <w:szCs w:val="16"/>
        </w:rPr>
      </w:pPr>
    </w:p>
    <w:p w14:paraId="03DDE44F" w14:textId="2864DE76" w:rsidR="006334BC" w:rsidRPr="006D2B8D" w:rsidRDefault="006334BC" w:rsidP="006D2B8D">
      <w:pPr>
        <w:pStyle w:val="Ttulo1"/>
        <w:rPr>
          <w:sz w:val="28"/>
        </w:rPr>
      </w:pPr>
      <w:bookmarkStart w:id="7" w:name="_Toc184926660"/>
      <w:r w:rsidRPr="006D2B8D">
        <w:rPr>
          <w:sz w:val="28"/>
        </w:rPr>
        <w:lastRenderedPageBreak/>
        <w:t>NOTAS EXPLICATIVAS</w:t>
      </w:r>
      <w:bookmarkEnd w:id="7"/>
    </w:p>
    <w:p w14:paraId="4CCA5C01" w14:textId="1CD3E42D" w:rsidR="00E71553" w:rsidRPr="006D2B8D" w:rsidRDefault="00E71553" w:rsidP="006D2B8D">
      <w:pPr>
        <w:pStyle w:val="Ttulo1"/>
      </w:pPr>
      <w:bookmarkStart w:id="8" w:name="_Toc152230718"/>
      <w:bookmarkStart w:id="9" w:name="_Toc184926661"/>
      <w:r w:rsidRPr="006D2B8D">
        <w:t xml:space="preserve">1 – </w:t>
      </w:r>
      <w:r w:rsidR="00B76AA0" w:rsidRPr="006D2B8D">
        <w:t>Contexto Operacional</w:t>
      </w:r>
      <w:bookmarkEnd w:id="8"/>
      <w:bookmarkEnd w:id="9"/>
    </w:p>
    <w:p w14:paraId="4C24B710" w14:textId="414D6EF8" w:rsidR="00E71553" w:rsidRPr="006D2B8D" w:rsidRDefault="00C95FBD" w:rsidP="006D2B8D">
      <w:pPr>
        <w:pStyle w:val="Ttulo2"/>
      </w:pPr>
      <w:bookmarkStart w:id="10" w:name="_Toc152230719"/>
      <w:bookmarkStart w:id="11" w:name="_Toc184926662"/>
      <w:r w:rsidRPr="006D2B8D">
        <w:t>1.1 –</w:t>
      </w:r>
      <w:r w:rsidR="00447306" w:rsidRPr="006D2B8D">
        <w:t xml:space="preserve"> </w:t>
      </w:r>
      <w:r w:rsidR="00E71553" w:rsidRPr="006D2B8D">
        <w:t>A Empresa</w:t>
      </w:r>
      <w:bookmarkEnd w:id="10"/>
      <w:bookmarkEnd w:id="11"/>
    </w:p>
    <w:p w14:paraId="299189FC"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 xml:space="preserve">A </w:t>
      </w:r>
      <w:r>
        <w:rPr>
          <w:rFonts w:cstheme="minorHAnsi"/>
          <w:sz w:val="20"/>
          <w:szCs w:val="20"/>
          <w:shd w:val="clear" w:color="auto" w:fill="FFFFFF"/>
        </w:rPr>
        <w:t>VALEC</w:t>
      </w:r>
      <w:r w:rsidRPr="006D2B8D">
        <w:rPr>
          <w:rFonts w:cstheme="minorHAnsi"/>
          <w:sz w:val="20"/>
          <w:szCs w:val="20"/>
          <w:shd w:val="clear" w:color="auto" w:fill="FFFFFF"/>
        </w:rPr>
        <w:t xml:space="preserve"> Engenharia, Construções e Ferrovias S.A., doravante intitulada pelo seu nome fantasia, </w:t>
      </w:r>
      <w:r w:rsidRPr="006D2B8D">
        <w:rPr>
          <w:rFonts w:cstheme="minorHAnsi"/>
          <w:sz w:val="20"/>
          <w:szCs w:val="20"/>
        </w:rPr>
        <w:t xml:space="preserve">Infra S.A., é uma empresa pública federal dependente, vinculada ao </w:t>
      </w:r>
      <w:r w:rsidRPr="006D2B8D">
        <w:rPr>
          <w:rFonts w:cstheme="minorHAnsi"/>
          <w:sz w:val="20"/>
          <w:szCs w:val="20"/>
          <w:shd w:val="clear" w:color="auto" w:fill="FFFFFF"/>
        </w:rPr>
        <w:t>Ministério dos Transportes,</w:t>
      </w:r>
      <w:r w:rsidRPr="006D2B8D">
        <w:rPr>
          <w:rFonts w:cstheme="minorHAnsi"/>
          <w:sz w:val="20"/>
          <w:szCs w:val="20"/>
        </w:rPr>
        <w:t xml:space="preserve"> com </w:t>
      </w:r>
      <w:r>
        <w:rPr>
          <w:rFonts w:cstheme="minorHAnsi"/>
          <w:sz w:val="20"/>
          <w:szCs w:val="20"/>
        </w:rPr>
        <w:t>Sede</w:t>
      </w:r>
      <w:r w:rsidRPr="006D2B8D">
        <w:rPr>
          <w:rFonts w:cstheme="minorHAnsi"/>
          <w:sz w:val="20"/>
          <w:szCs w:val="20"/>
        </w:rPr>
        <w:t xml:space="preserve"> em Brasília-DF, organizada sob a forma de sociedade anônima de capital fechado, com 8.090.009 ações ordinárias nominativas, sem valor nominal, sendo a União detentora de 100% das ações.</w:t>
      </w:r>
      <w:r>
        <w:rPr>
          <w:rFonts w:cstheme="minorHAnsi"/>
          <w:sz w:val="20"/>
          <w:szCs w:val="20"/>
        </w:rPr>
        <w:t xml:space="preserve"> </w:t>
      </w:r>
    </w:p>
    <w:p w14:paraId="4F674683"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Após a incorporação da Empresa de Planejamento e Logística –</w:t>
      </w:r>
      <w:r>
        <w:rPr>
          <w:rFonts w:cstheme="minorHAnsi"/>
          <w:sz w:val="20"/>
          <w:szCs w:val="20"/>
        </w:rPr>
        <w:t xml:space="preserve"> </w:t>
      </w:r>
      <w:r w:rsidRPr="006D2B8D">
        <w:rPr>
          <w:rFonts w:cstheme="minorHAnsi"/>
          <w:sz w:val="20"/>
          <w:szCs w:val="20"/>
        </w:rPr>
        <w:t xml:space="preserve">EPL pela </w:t>
      </w:r>
      <w:r>
        <w:rPr>
          <w:rFonts w:cstheme="minorHAnsi"/>
          <w:sz w:val="20"/>
          <w:szCs w:val="20"/>
        </w:rPr>
        <w:t>VALEC</w:t>
      </w:r>
      <w:r w:rsidRPr="006D2B8D">
        <w:rPr>
          <w:rFonts w:cstheme="minorHAnsi"/>
          <w:sz w:val="20"/>
          <w:szCs w:val="20"/>
        </w:rPr>
        <w:t xml:space="preserve"> Engenharia, Construções e Ferrovias (</w:t>
      </w:r>
      <w:r>
        <w:rPr>
          <w:rFonts w:cstheme="minorHAnsi"/>
          <w:sz w:val="20"/>
          <w:szCs w:val="20"/>
        </w:rPr>
        <w:t>Infra S.A.</w:t>
      </w:r>
      <w:r w:rsidRPr="006D2B8D">
        <w:rPr>
          <w:rFonts w:cstheme="minorHAnsi"/>
          <w:sz w:val="20"/>
          <w:szCs w:val="20"/>
        </w:rPr>
        <w:t>), autorizada pelo Decreto</w:t>
      </w:r>
      <w:r>
        <w:rPr>
          <w:rFonts w:cstheme="minorHAnsi"/>
          <w:sz w:val="20"/>
          <w:szCs w:val="20"/>
        </w:rPr>
        <w:t xml:space="preserve"> n°</w:t>
      </w:r>
      <w:r w:rsidRPr="006D2B8D">
        <w:rPr>
          <w:rFonts w:cstheme="minorHAnsi"/>
          <w:sz w:val="20"/>
          <w:szCs w:val="20"/>
        </w:rPr>
        <w:t xml:space="preserve"> 11.081/2022, a Infra S.A., que tinha seu objeto definido pela Lei</w:t>
      </w:r>
      <w:r>
        <w:rPr>
          <w:rFonts w:cstheme="minorHAnsi"/>
          <w:sz w:val="20"/>
          <w:szCs w:val="20"/>
        </w:rPr>
        <w:t xml:space="preserve"> n°</w:t>
      </w:r>
      <w:r w:rsidRPr="006D2B8D">
        <w:rPr>
          <w:rFonts w:cstheme="minorHAnsi"/>
          <w:sz w:val="20"/>
          <w:szCs w:val="20"/>
        </w:rPr>
        <w:t xml:space="preserve"> 11.772/2008, somou as competências advindas da EPL constantes na Lei 12.743/2012: </w:t>
      </w:r>
    </w:p>
    <w:p w14:paraId="4808F1BF"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 xml:space="preserve">I - </w:t>
      </w:r>
      <w:r>
        <w:rPr>
          <w:rFonts w:cstheme="minorHAnsi"/>
          <w:sz w:val="20"/>
          <w:szCs w:val="20"/>
        </w:rPr>
        <w:t>P</w:t>
      </w:r>
      <w:r w:rsidRPr="006D2B8D">
        <w:rPr>
          <w:rFonts w:cstheme="minorHAnsi"/>
          <w:sz w:val="20"/>
          <w:szCs w:val="20"/>
        </w:rPr>
        <w:t>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1A2F0448"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 xml:space="preserve">II - </w:t>
      </w:r>
      <w:r>
        <w:rPr>
          <w:rFonts w:cstheme="minorHAnsi"/>
          <w:sz w:val="20"/>
          <w:szCs w:val="20"/>
        </w:rPr>
        <w:t>P</w:t>
      </w:r>
      <w:r w:rsidRPr="006D2B8D">
        <w:rPr>
          <w:rFonts w:cstheme="minorHAnsi"/>
          <w:sz w:val="20"/>
          <w:szCs w:val="20"/>
        </w:rPr>
        <w:t>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18C3F41B"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 xml:space="preserve">III - </w:t>
      </w:r>
      <w:r>
        <w:rPr>
          <w:rFonts w:cstheme="minorHAnsi"/>
          <w:sz w:val="20"/>
          <w:szCs w:val="20"/>
        </w:rPr>
        <w:t>A</w:t>
      </w:r>
      <w:r w:rsidRPr="006D2B8D">
        <w:rPr>
          <w:rFonts w:cstheme="minorHAnsi"/>
          <w:sz w:val="20"/>
          <w:szCs w:val="20"/>
        </w:rPr>
        <w:t xml:space="preserve"> construção e exploração de Infraestrutura ferroviária.</w:t>
      </w:r>
    </w:p>
    <w:p w14:paraId="30788142" w14:textId="77777777" w:rsidR="000901CB" w:rsidRPr="006D2B8D" w:rsidRDefault="000901CB" w:rsidP="000901CB">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Como empresa pública federal dependente, a Infra S.A. recebe recursos financeiros da União, por meio de subvenções do Tesouro Nacional, para pagamentos de despesas com pessoal, custeio e desenvolvimento d</w:t>
      </w:r>
      <w:r w:rsidRPr="006D2B8D">
        <w:rPr>
          <w:rFonts w:cstheme="minorHAnsi"/>
          <w:sz w:val="20"/>
          <w:szCs w:val="20"/>
          <w:shd w:val="clear" w:color="auto" w:fill="FFFFFF"/>
        </w:rPr>
        <w:t xml:space="preserve">o Planejamento Integrado da Infraestrutura Nacional de Transportes e Logística, o qual tem como destaque o Plano Nacional de Logística </w:t>
      </w:r>
      <w:r w:rsidRPr="006D2B8D">
        <w:rPr>
          <w:rFonts w:cstheme="minorHAnsi"/>
          <w:sz w:val="20"/>
          <w:szCs w:val="20"/>
        </w:rPr>
        <w:t>–</w:t>
      </w:r>
      <w:r>
        <w:rPr>
          <w:rFonts w:cstheme="minorHAnsi"/>
          <w:sz w:val="20"/>
          <w:szCs w:val="20"/>
        </w:rPr>
        <w:t xml:space="preserve"> </w:t>
      </w:r>
      <w:r w:rsidRPr="006D2B8D">
        <w:rPr>
          <w:rFonts w:cstheme="minorHAnsi"/>
          <w:sz w:val="20"/>
          <w:szCs w:val="20"/>
          <w:shd w:val="clear" w:color="auto" w:fill="FFFFFF"/>
        </w:rPr>
        <w:t xml:space="preserve">PNL, que indica </w:t>
      </w:r>
      <w:r>
        <w:rPr>
          <w:rFonts w:cstheme="minorHAnsi"/>
          <w:sz w:val="20"/>
          <w:szCs w:val="20"/>
          <w:shd w:val="clear" w:color="auto" w:fill="FFFFFF"/>
        </w:rPr>
        <w:t xml:space="preserve">os </w:t>
      </w:r>
      <w:r w:rsidRPr="006D2B8D">
        <w:rPr>
          <w:rFonts w:cstheme="minorHAnsi"/>
          <w:sz w:val="20"/>
          <w:szCs w:val="20"/>
          <w:shd w:val="clear" w:color="auto" w:fill="FFFFFF"/>
        </w:rPr>
        <w:t xml:space="preserve">empreendimentos e </w:t>
      </w:r>
      <w:r>
        <w:rPr>
          <w:rFonts w:cstheme="minorHAnsi"/>
          <w:sz w:val="20"/>
          <w:szCs w:val="20"/>
          <w:shd w:val="clear" w:color="auto" w:fill="FFFFFF"/>
        </w:rPr>
        <w:t xml:space="preserve">os </w:t>
      </w:r>
      <w:r w:rsidRPr="006D2B8D">
        <w:rPr>
          <w:rFonts w:cstheme="minorHAnsi"/>
          <w:sz w:val="20"/>
          <w:szCs w:val="20"/>
          <w:shd w:val="clear" w:color="auto" w:fill="FFFFFF"/>
        </w:rPr>
        <w:t xml:space="preserve">investimentos necessários para otimizar a Infraestrutura nacional durante determinado período. </w:t>
      </w:r>
    </w:p>
    <w:p w14:paraId="1A038577" w14:textId="77777777" w:rsidR="000901CB" w:rsidRPr="006D2B8D" w:rsidRDefault="000901CB" w:rsidP="000901CB">
      <w:pPr>
        <w:pStyle w:val="NormalWeb"/>
        <w:spacing w:before="120" w:beforeAutospacing="0" w:after="120" w:afterAutospacing="0"/>
        <w:jc w:val="both"/>
        <w:rPr>
          <w:rFonts w:cstheme="minorHAnsi"/>
          <w:sz w:val="20"/>
          <w:szCs w:val="20"/>
        </w:rPr>
      </w:pPr>
      <w:r w:rsidRPr="006D2B8D">
        <w:rPr>
          <w:rFonts w:cstheme="minorHAnsi"/>
          <w:sz w:val="20"/>
          <w:szCs w:val="20"/>
        </w:rPr>
        <w:t>Para fomentar os gastos com investimentos nas construções das ferrovias e nos</w:t>
      </w:r>
      <w:r w:rsidRPr="006D2B8D">
        <w:rPr>
          <w:rFonts w:cstheme="minorHAnsi"/>
          <w:sz w:val="20"/>
          <w:szCs w:val="20"/>
          <w:shd w:val="clear" w:color="auto" w:fill="FFFFFF"/>
        </w:rPr>
        <w:t xml:space="preserve"> estudos e projetos de longo prazo, </w:t>
      </w:r>
      <w:r w:rsidRPr="006D2B8D">
        <w:rPr>
          <w:rFonts w:cstheme="minorHAnsi"/>
          <w:sz w:val="20"/>
          <w:szCs w:val="20"/>
        </w:rPr>
        <w:t xml:space="preserve">recebe recursos por meio de Adiantamentos para Futuro Aumento de Capital – AFAC que, posteriormente, são integralizados ao Capital Social. </w:t>
      </w:r>
    </w:p>
    <w:p w14:paraId="1423DA75" w14:textId="77777777" w:rsidR="000901CB" w:rsidRPr="006D2B8D" w:rsidRDefault="000901CB" w:rsidP="000901CB">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 xml:space="preserve">Os atos de gestão da Infra S.A. são acompanhados pelos órgãos de governança do </w:t>
      </w:r>
      <w:r>
        <w:rPr>
          <w:rFonts w:cstheme="minorHAnsi"/>
          <w:sz w:val="20"/>
          <w:szCs w:val="20"/>
        </w:rPr>
        <w:t>P</w:t>
      </w:r>
      <w:r w:rsidRPr="006D2B8D">
        <w:rPr>
          <w:rFonts w:cstheme="minorHAnsi"/>
          <w:sz w:val="20"/>
          <w:szCs w:val="20"/>
        </w:rPr>
        <w:t xml:space="preserve">oder </w:t>
      </w:r>
      <w:r>
        <w:rPr>
          <w:rFonts w:cstheme="minorHAnsi"/>
          <w:sz w:val="20"/>
          <w:szCs w:val="20"/>
        </w:rPr>
        <w:t>E</w:t>
      </w:r>
      <w:r w:rsidRPr="006D2B8D">
        <w:rPr>
          <w:rFonts w:cstheme="minorHAnsi"/>
          <w:sz w:val="20"/>
          <w:szCs w:val="20"/>
        </w:rPr>
        <w:t>xecutivo</w:t>
      </w:r>
      <w:r>
        <w:rPr>
          <w:rFonts w:cstheme="minorHAnsi"/>
          <w:sz w:val="20"/>
          <w:szCs w:val="20"/>
        </w:rPr>
        <w:t xml:space="preserve">: </w:t>
      </w:r>
      <w:r w:rsidRPr="006D2B8D">
        <w:rPr>
          <w:rFonts w:cstheme="minorHAnsi"/>
          <w:sz w:val="20"/>
          <w:szCs w:val="20"/>
        </w:rPr>
        <w:t xml:space="preserve">Secretaria de Coordenação e Governança das Empresas Estatais – </w:t>
      </w:r>
      <w:r>
        <w:rPr>
          <w:rFonts w:cstheme="minorHAnsi"/>
          <w:sz w:val="20"/>
          <w:szCs w:val="20"/>
        </w:rPr>
        <w:t>SEST</w:t>
      </w:r>
      <w:r w:rsidRPr="006D2B8D">
        <w:rPr>
          <w:rFonts w:cstheme="minorHAnsi"/>
          <w:sz w:val="20"/>
          <w:szCs w:val="20"/>
        </w:rPr>
        <w:t xml:space="preserve"> e Secretaria do Tesouro Nacional –</w:t>
      </w:r>
      <w:r>
        <w:rPr>
          <w:rFonts w:cstheme="minorHAnsi"/>
          <w:sz w:val="20"/>
          <w:szCs w:val="20"/>
        </w:rPr>
        <w:t xml:space="preserve"> </w:t>
      </w:r>
      <w:r w:rsidRPr="006D2B8D">
        <w:rPr>
          <w:rFonts w:cstheme="minorHAnsi"/>
          <w:sz w:val="20"/>
          <w:szCs w:val="20"/>
        </w:rPr>
        <w:t>STN e fiscalizados</w:t>
      </w:r>
      <w:r w:rsidRPr="006D2B8D">
        <w:rPr>
          <w:rFonts w:cstheme="minorHAnsi"/>
          <w:sz w:val="20"/>
          <w:szCs w:val="20"/>
          <w:shd w:val="clear" w:color="auto" w:fill="FFFFFF"/>
        </w:rPr>
        <w:t xml:space="preserve"> pelos Órgãos de </w:t>
      </w:r>
      <w:r>
        <w:rPr>
          <w:rFonts w:cstheme="minorHAnsi"/>
          <w:sz w:val="20"/>
          <w:szCs w:val="20"/>
          <w:shd w:val="clear" w:color="auto" w:fill="FFFFFF"/>
        </w:rPr>
        <w:t>C</w:t>
      </w:r>
      <w:r w:rsidRPr="006D2B8D">
        <w:rPr>
          <w:rFonts w:cstheme="minorHAnsi"/>
          <w:sz w:val="20"/>
          <w:szCs w:val="20"/>
          <w:shd w:val="clear" w:color="auto" w:fill="FFFFFF"/>
        </w:rPr>
        <w:t xml:space="preserve">ontrole </w:t>
      </w:r>
      <w:r>
        <w:rPr>
          <w:rFonts w:cstheme="minorHAnsi"/>
          <w:sz w:val="20"/>
          <w:szCs w:val="20"/>
          <w:shd w:val="clear" w:color="auto" w:fill="FFFFFF"/>
        </w:rPr>
        <w:t>I</w:t>
      </w:r>
      <w:r w:rsidRPr="006D2B8D">
        <w:rPr>
          <w:rFonts w:cstheme="minorHAnsi"/>
          <w:sz w:val="20"/>
          <w:szCs w:val="20"/>
          <w:shd w:val="clear" w:color="auto" w:fill="FFFFFF"/>
        </w:rPr>
        <w:t xml:space="preserve">nterno </w:t>
      </w:r>
      <w:r w:rsidRPr="006D2B8D">
        <w:rPr>
          <w:rFonts w:cstheme="minorHAnsi"/>
          <w:sz w:val="20"/>
          <w:szCs w:val="20"/>
        </w:rPr>
        <w:t xml:space="preserve">– </w:t>
      </w:r>
      <w:r w:rsidRPr="006D2B8D">
        <w:rPr>
          <w:rFonts w:cstheme="minorHAnsi"/>
          <w:sz w:val="20"/>
          <w:szCs w:val="20"/>
          <w:shd w:val="clear" w:color="auto" w:fill="FFFFFF"/>
        </w:rPr>
        <w:t xml:space="preserve">Controladoria-Geral da União </w:t>
      </w:r>
      <w:r w:rsidRPr="006D2B8D">
        <w:rPr>
          <w:rFonts w:cstheme="minorHAnsi"/>
          <w:sz w:val="20"/>
          <w:szCs w:val="20"/>
        </w:rPr>
        <w:t>–</w:t>
      </w:r>
      <w:r>
        <w:rPr>
          <w:rFonts w:cstheme="minorHAnsi"/>
          <w:sz w:val="20"/>
          <w:szCs w:val="20"/>
        </w:rPr>
        <w:t xml:space="preserve"> </w:t>
      </w:r>
      <w:r w:rsidRPr="006D2B8D">
        <w:rPr>
          <w:rFonts w:cstheme="minorHAnsi"/>
          <w:sz w:val="20"/>
          <w:szCs w:val="20"/>
          <w:shd w:val="clear" w:color="auto" w:fill="FFFFFF"/>
        </w:rPr>
        <w:t xml:space="preserve">CGU e </w:t>
      </w:r>
      <w:r>
        <w:rPr>
          <w:rFonts w:cstheme="minorHAnsi"/>
          <w:sz w:val="20"/>
          <w:szCs w:val="20"/>
          <w:shd w:val="clear" w:color="auto" w:fill="FFFFFF"/>
        </w:rPr>
        <w:t>E</w:t>
      </w:r>
      <w:r w:rsidRPr="006D2B8D">
        <w:rPr>
          <w:rFonts w:cstheme="minorHAnsi"/>
          <w:sz w:val="20"/>
          <w:szCs w:val="20"/>
          <w:shd w:val="clear" w:color="auto" w:fill="FFFFFF"/>
        </w:rPr>
        <w:t xml:space="preserve">xterno </w:t>
      </w:r>
      <w:r w:rsidRPr="006D2B8D">
        <w:rPr>
          <w:rFonts w:cstheme="minorHAnsi"/>
          <w:sz w:val="20"/>
          <w:szCs w:val="20"/>
        </w:rPr>
        <w:t xml:space="preserve">– </w:t>
      </w:r>
      <w:r w:rsidRPr="006D2B8D">
        <w:rPr>
          <w:rFonts w:cstheme="minorHAnsi"/>
          <w:sz w:val="20"/>
          <w:szCs w:val="20"/>
          <w:shd w:val="clear" w:color="auto" w:fill="FFFFFF"/>
        </w:rPr>
        <w:t xml:space="preserve">Tribunal de Contas da União </w:t>
      </w:r>
      <w:r w:rsidRPr="006D2B8D">
        <w:rPr>
          <w:rFonts w:cstheme="minorHAnsi"/>
          <w:sz w:val="20"/>
          <w:szCs w:val="20"/>
        </w:rPr>
        <w:t>–</w:t>
      </w:r>
      <w:r>
        <w:rPr>
          <w:rFonts w:cstheme="minorHAnsi"/>
          <w:sz w:val="20"/>
          <w:szCs w:val="20"/>
        </w:rPr>
        <w:t xml:space="preserve"> </w:t>
      </w:r>
      <w:r w:rsidRPr="006D2B8D">
        <w:rPr>
          <w:rFonts w:cstheme="minorHAnsi"/>
          <w:sz w:val="20"/>
          <w:szCs w:val="20"/>
          <w:shd w:val="clear" w:color="auto" w:fill="FFFFFF"/>
        </w:rPr>
        <w:t>TCU.</w:t>
      </w:r>
    </w:p>
    <w:p w14:paraId="31CDE9BF" w14:textId="36DE3C2C" w:rsidR="00677EEE" w:rsidRPr="003331EF" w:rsidRDefault="00677EEE" w:rsidP="006D2B8D">
      <w:pPr>
        <w:pStyle w:val="NormalWeb"/>
        <w:spacing w:before="120" w:beforeAutospacing="0" w:after="120" w:afterAutospacing="0"/>
        <w:jc w:val="both"/>
        <w:rPr>
          <w:rFonts w:cstheme="minorHAnsi"/>
          <w:sz w:val="20"/>
          <w:szCs w:val="20"/>
          <w:shd w:val="clear" w:color="auto" w:fill="FFFFFF"/>
        </w:rPr>
      </w:pPr>
      <w:r w:rsidRPr="00547193">
        <w:rPr>
          <w:rFonts w:cstheme="minorHAnsi"/>
          <w:sz w:val="20"/>
          <w:szCs w:val="20"/>
          <w:shd w:val="clear" w:color="auto" w:fill="FFFFFF"/>
        </w:rPr>
        <w:t xml:space="preserve">No </w:t>
      </w:r>
      <w:r w:rsidR="000901CB">
        <w:rPr>
          <w:rFonts w:cstheme="minorHAnsi"/>
          <w:sz w:val="20"/>
          <w:szCs w:val="20"/>
          <w:shd w:val="clear" w:color="auto" w:fill="FFFFFF"/>
        </w:rPr>
        <w:t>primeiro</w:t>
      </w:r>
      <w:r w:rsidR="000F15F7">
        <w:rPr>
          <w:rFonts w:cstheme="minorHAnsi"/>
          <w:sz w:val="20"/>
          <w:szCs w:val="20"/>
          <w:shd w:val="clear" w:color="auto" w:fill="FFFFFF"/>
        </w:rPr>
        <w:t xml:space="preserve"> trimestre</w:t>
      </w:r>
      <w:r w:rsidR="005E4438" w:rsidRPr="00547193">
        <w:rPr>
          <w:rFonts w:cstheme="minorHAnsi"/>
          <w:sz w:val="20"/>
          <w:szCs w:val="20"/>
          <w:shd w:val="clear" w:color="auto" w:fill="FFFFFF"/>
        </w:rPr>
        <w:t xml:space="preserve"> de 202</w:t>
      </w:r>
      <w:r w:rsidR="000F15F7">
        <w:rPr>
          <w:rFonts w:cstheme="minorHAnsi"/>
          <w:sz w:val="20"/>
          <w:szCs w:val="20"/>
          <w:shd w:val="clear" w:color="auto" w:fill="FFFFFF"/>
        </w:rPr>
        <w:t>4</w:t>
      </w:r>
      <w:r w:rsidR="005E4438" w:rsidRPr="00547193">
        <w:rPr>
          <w:rFonts w:cstheme="minorHAnsi"/>
          <w:sz w:val="20"/>
          <w:szCs w:val="20"/>
          <w:shd w:val="clear" w:color="auto" w:fill="FFFFFF"/>
        </w:rPr>
        <w:t>, o ativo total da empresa</w:t>
      </w:r>
      <w:r w:rsidR="00F25F1F" w:rsidRPr="00547193">
        <w:rPr>
          <w:rFonts w:cstheme="minorHAnsi"/>
          <w:sz w:val="20"/>
          <w:szCs w:val="20"/>
          <w:shd w:val="clear" w:color="auto" w:fill="FFFFFF"/>
        </w:rPr>
        <w:t xml:space="preserve">, no valor de R$ </w:t>
      </w:r>
      <w:r w:rsidR="00547193" w:rsidRPr="00547193">
        <w:rPr>
          <w:rFonts w:cstheme="minorHAnsi"/>
          <w:sz w:val="20"/>
          <w:szCs w:val="20"/>
          <w:shd w:val="clear" w:color="auto" w:fill="FFFFFF"/>
        </w:rPr>
        <w:t>6</w:t>
      </w:r>
      <w:r w:rsidR="00F25F1F" w:rsidRPr="00547193">
        <w:rPr>
          <w:rFonts w:cstheme="minorHAnsi"/>
          <w:sz w:val="20"/>
          <w:szCs w:val="20"/>
          <w:shd w:val="clear" w:color="auto" w:fill="FFFFFF"/>
        </w:rPr>
        <w:t>,</w:t>
      </w:r>
      <w:r w:rsidR="001F3ECE">
        <w:rPr>
          <w:rFonts w:cstheme="minorHAnsi"/>
          <w:sz w:val="20"/>
          <w:szCs w:val="20"/>
          <w:shd w:val="clear" w:color="auto" w:fill="FFFFFF"/>
        </w:rPr>
        <w:t>3</w:t>
      </w:r>
      <w:r w:rsidR="00C820D4">
        <w:rPr>
          <w:rFonts w:cstheme="minorHAnsi"/>
          <w:sz w:val="20"/>
          <w:szCs w:val="20"/>
          <w:shd w:val="clear" w:color="auto" w:fill="FFFFFF"/>
        </w:rPr>
        <w:t>5</w:t>
      </w:r>
      <w:r w:rsidR="00F25F1F" w:rsidRPr="00547193">
        <w:rPr>
          <w:rFonts w:cstheme="minorHAnsi"/>
          <w:sz w:val="20"/>
          <w:szCs w:val="20"/>
          <w:shd w:val="clear" w:color="auto" w:fill="FFFFFF"/>
        </w:rPr>
        <w:t xml:space="preserve"> </w:t>
      </w:r>
      <w:r w:rsidR="00F25F1F" w:rsidRPr="003331EF">
        <w:rPr>
          <w:rFonts w:cstheme="minorHAnsi"/>
          <w:sz w:val="20"/>
          <w:szCs w:val="20"/>
          <w:shd w:val="clear" w:color="auto" w:fill="FFFFFF"/>
        </w:rPr>
        <w:t>bilhões,</w:t>
      </w:r>
      <w:r w:rsidR="005E4438" w:rsidRPr="003331EF">
        <w:rPr>
          <w:rFonts w:cstheme="minorHAnsi"/>
          <w:sz w:val="20"/>
          <w:szCs w:val="20"/>
          <w:shd w:val="clear" w:color="auto" w:fill="FFFFFF"/>
        </w:rPr>
        <w:t xml:space="preserve"> está </w:t>
      </w:r>
      <w:r w:rsidR="00F25F1F" w:rsidRPr="003331EF">
        <w:rPr>
          <w:rFonts w:cstheme="minorHAnsi"/>
          <w:sz w:val="20"/>
          <w:szCs w:val="20"/>
          <w:shd w:val="clear" w:color="auto" w:fill="FFFFFF"/>
        </w:rPr>
        <w:t>dividido da seguinte maneira:</w:t>
      </w:r>
    </w:p>
    <w:p w14:paraId="63B619AF" w14:textId="7B9B4D5A" w:rsidR="00431952" w:rsidRPr="0019158D" w:rsidRDefault="00984486" w:rsidP="001E2025">
      <w:pPr>
        <w:jc w:val="center"/>
      </w:pPr>
      <w:r>
        <w:rPr>
          <w:noProof/>
        </w:rPr>
        <w:lastRenderedPageBreak/>
        <w:drawing>
          <wp:inline distT="0" distB="0" distL="0" distR="0" wp14:anchorId="0FF36EDC" wp14:editId="65557382">
            <wp:extent cx="6443932" cy="3105509"/>
            <wp:effectExtent l="0" t="0" r="14605" b="0"/>
            <wp:docPr id="1919457766" name="Gráfico 1">
              <a:extLst xmlns:a="http://schemas.openxmlformats.org/drawingml/2006/main">
                <a:ext uri="{FF2B5EF4-FFF2-40B4-BE49-F238E27FC236}">
                  <a16:creationId xmlns:a16="http://schemas.microsoft.com/office/drawing/2014/main" id="{689E0697-9C73-B794-AA57-9DB29C90F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7344A81" w14:textId="09244CB3" w:rsidR="001D4613" w:rsidRPr="006D2B8D" w:rsidRDefault="00703D25" w:rsidP="00CA1867">
      <w:pPr>
        <w:pStyle w:val="Ttulo2"/>
        <w:spacing w:before="120"/>
      </w:pPr>
      <w:bookmarkStart w:id="12" w:name="_Toc152230720"/>
      <w:bookmarkStart w:id="13" w:name="_Toc184926663"/>
      <w:r w:rsidRPr="006D2B8D">
        <w:t xml:space="preserve">1.2 </w:t>
      </w:r>
      <w:r w:rsidR="004B6C8A" w:rsidRPr="006D2B8D">
        <w:t>–</w:t>
      </w:r>
      <w:r w:rsidRPr="006D2B8D">
        <w:t xml:space="preserve"> </w:t>
      </w:r>
      <w:r w:rsidR="001D4613" w:rsidRPr="006D2B8D">
        <w:t>Projetos e Atividades Operacionais</w:t>
      </w:r>
      <w:bookmarkEnd w:id="12"/>
      <w:bookmarkEnd w:id="13"/>
    </w:p>
    <w:p w14:paraId="4EB16938" w14:textId="77777777" w:rsidR="00C26E05" w:rsidRPr="006D2B8D" w:rsidRDefault="00C26E05" w:rsidP="00C26E05">
      <w:pPr>
        <w:pStyle w:val="NormalWeb"/>
        <w:spacing w:before="120" w:beforeAutospacing="0" w:after="120" w:afterAutospacing="0"/>
        <w:jc w:val="both"/>
        <w:rPr>
          <w:rFonts w:cstheme="minorHAnsi"/>
          <w:sz w:val="20"/>
        </w:rPr>
      </w:pPr>
      <w:r w:rsidRPr="006D2B8D">
        <w:rPr>
          <w:rFonts w:cstheme="minorHAnsi"/>
          <w:sz w:val="20"/>
        </w:rPr>
        <w:t>A Infra S.A. busca ser referência não só na construção e exploração das ferrovias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071E618A" w14:textId="77777777" w:rsidR="00C26E05" w:rsidRPr="006D2B8D" w:rsidRDefault="00C26E05" w:rsidP="00C26E05">
      <w:pPr>
        <w:pStyle w:val="NormalWeb"/>
        <w:spacing w:before="120" w:beforeAutospacing="0" w:after="0" w:afterAutospacing="0"/>
        <w:jc w:val="both"/>
        <w:rPr>
          <w:rFonts w:cstheme="minorHAnsi"/>
          <w:sz w:val="20"/>
        </w:rPr>
      </w:pPr>
      <w:r w:rsidRPr="006D2B8D">
        <w:rPr>
          <w:rFonts w:cstheme="minorHAnsi"/>
          <w:sz w:val="20"/>
        </w:rPr>
        <w:t>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relicitação de trechos ferroviários previstos pela Lei n</w:t>
      </w:r>
      <w:r>
        <w:rPr>
          <w:rFonts w:cstheme="minorHAnsi"/>
          <w:sz w:val="20"/>
        </w:rPr>
        <w:t>°</w:t>
      </w:r>
      <w:r w:rsidRPr="006D2B8D">
        <w:rPr>
          <w:rFonts w:cstheme="minorHAnsi"/>
          <w:sz w:val="20"/>
        </w:rPr>
        <w:t xml:space="preserve"> 13.448/2017.</w:t>
      </w:r>
    </w:p>
    <w:p w14:paraId="76A90196" w14:textId="5884D872" w:rsidR="00A60617" w:rsidRPr="006D2B8D" w:rsidRDefault="00A60617" w:rsidP="00F6710E">
      <w:pPr>
        <w:autoSpaceDE w:val="0"/>
        <w:autoSpaceDN w:val="0"/>
        <w:adjustRightInd w:val="0"/>
        <w:spacing w:before="120" w:after="0"/>
        <w:jc w:val="both"/>
        <w:rPr>
          <w:rFonts w:cstheme="minorHAnsi"/>
          <w:b/>
          <w:bCs/>
          <w:sz w:val="20"/>
          <w:szCs w:val="20"/>
          <w:shd w:val="clear" w:color="auto" w:fill="FFFFFF"/>
        </w:rPr>
      </w:pPr>
      <w:r w:rsidRPr="006D2B8D">
        <w:rPr>
          <w:rFonts w:cstheme="minorHAnsi"/>
          <w:b/>
          <w:bCs/>
          <w:sz w:val="20"/>
          <w:szCs w:val="20"/>
          <w:shd w:val="clear" w:color="auto" w:fill="FFFFFF"/>
        </w:rPr>
        <w:t>I – Ferrovias</w:t>
      </w:r>
    </w:p>
    <w:p w14:paraId="6EEE07F9" w14:textId="77777777" w:rsidR="009B0CC2" w:rsidRPr="006D2B8D" w:rsidRDefault="009B0CC2" w:rsidP="009B0CC2">
      <w:pPr>
        <w:pStyle w:val="NormalWeb"/>
        <w:spacing w:before="120" w:beforeAutospacing="0" w:after="120" w:afterAutospacing="0"/>
        <w:jc w:val="both"/>
        <w:rPr>
          <w:rFonts w:cstheme="minorHAnsi"/>
          <w:sz w:val="20"/>
        </w:rPr>
      </w:pPr>
      <w:r w:rsidRPr="006D2B8D">
        <w:rPr>
          <w:rFonts w:cstheme="minorHAnsi"/>
          <w:sz w:val="20"/>
        </w:rPr>
        <w:t xml:space="preserve">A outorga de ferrovias para construção, uso e gozo à </w:t>
      </w:r>
      <w:r>
        <w:rPr>
          <w:rFonts w:cstheme="minorHAnsi"/>
          <w:sz w:val="20"/>
        </w:rPr>
        <w:t xml:space="preserve">Infra S.A. </w:t>
      </w:r>
      <w:r w:rsidRPr="006D2B8D">
        <w:rPr>
          <w:rFonts w:cstheme="minorHAnsi"/>
          <w:sz w:val="20"/>
        </w:rPr>
        <w:t xml:space="preserve"> está disposta </w:t>
      </w:r>
      <w:r>
        <w:rPr>
          <w:rFonts w:cstheme="minorHAnsi"/>
          <w:sz w:val="20"/>
        </w:rPr>
        <w:t xml:space="preserve">na </w:t>
      </w:r>
      <w:r w:rsidRPr="006D2B8D">
        <w:rPr>
          <w:rFonts w:cstheme="minorHAnsi"/>
          <w:sz w:val="20"/>
        </w:rPr>
        <w:t>Lei n</w:t>
      </w:r>
      <w:r>
        <w:rPr>
          <w:rFonts w:cstheme="minorHAnsi"/>
          <w:sz w:val="20"/>
        </w:rPr>
        <w:t>°</w:t>
      </w:r>
      <w:r w:rsidRPr="006D2B8D">
        <w:rPr>
          <w:rFonts w:cstheme="minorHAnsi"/>
          <w:sz w:val="20"/>
        </w:rPr>
        <w:t xml:space="preserve"> 11.772</w:t>
      </w:r>
      <w:r>
        <w:rPr>
          <w:rFonts w:cstheme="minorHAnsi"/>
          <w:sz w:val="20"/>
        </w:rPr>
        <w:t>/</w:t>
      </w:r>
      <w:r w:rsidRPr="006D2B8D">
        <w:rPr>
          <w:rFonts w:cstheme="minorHAnsi"/>
          <w:sz w:val="20"/>
        </w:rPr>
        <w:t xml:space="preserve">2008. Assim, </w:t>
      </w:r>
      <w:bookmarkStart w:id="14" w:name="_Hlk119662084"/>
      <w:r w:rsidRPr="006D2B8D">
        <w:rPr>
          <w:rFonts w:cstheme="minorHAnsi"/>
          <w:sz w:val="20"/>
        </w:rPr>
        <w:t xml:space="preserve">a empresa </w:t>
      </w:r>
      <w:bookmarkEnd w:id="14"/>
      <w:r w:rsidRPr="006D2B8D">
        <w:rPr>
          <w:rFonts w:cstheme="minorHAnsi"/>
          <w:sz w:val="20"/>
        </w:rPr>
        <w:t>atua como principal catalisador do mod</w:t>
      </w:r>
      <w:r>
        <w:rPr>
          <w:rFonts w:cstheme="minorHAnsi"/>
          <w:sz w:val="20"/>
        </w:rPr>
        <w:t>al</w:t>
      </w:r>
      <w:r w:rsidRPr="006D2B8D">
        <w:rPr>
          <w:rFonts w:cstheme="minorHAnsi"/>
          <w:sz w:val="20"/>
        </w:rPr>
        <w:t xml:space="preserve"> ferroviário nacional, responsável por projetos em grande parte do País, como a construção da Ferrovia Norte-Sul </w:t>
      </w:r>
      <w:r w:rsidRPr="006D2B8D">
        <w:rPr>
          <w:rFonts w:cstheme="minorHAnsi"/>
          <w:sz w:val="20"/>
          <w:szCs w:val="20"/>
        </w:rPr>
        <w:t>–</w:t>
      </w:r>
      <w:r>
        <w:rPr>
          <w:rFonts w:cstheme="minorHAnsi"/>
          <w:sz w:val="20"/>
          <w:szCs w:val="20"/>
        </w:rPr>
        <w:t xml:space="preserve"> </w:t>
      </w:r>
      <w:r w:rsidRPr="006D2B8D">
        <w:rPr>
          <w:rFonts w:cstheme="minorHAnsi"/>
          <w:sz w:val="20"/>
        </w:rPr>
        <w:t xml:space="preserve">FNS – EF 151 e da Ferrovia de Integração Oeste-Leste </w:t>
      </w:r>
      <w:r w:rsidRPr="006D2B8D">
        <w:rPr>
          <w:rFonts w:cstheme="minorHAnsi"/>
          <w:sz w:val="20"/>
          <w:szCs w:val="20"/>
        </w:rPr>
        <w:t>–</w:t>
      </w:r>
      <w:r>
        <w:rPr>
          <w:rFonts w:cstheme="minorHAnsi"/>
          <w:sz w:val="20"/>
          <w:szCs w:val="20"/>
        </w:rPr>
        <w:t xml:space="preserve"> </w:t>
      </w:r>
      <w:r w:rsidRPr="006D2B8D">
        <w:rPr>
          <w:rFonts w:cstheme="minorHAnsi"/>
          <w:sz w:val="20"/>
        </w:rPr>
        <w:t xml:space="preserve">FIOL – EF 334, além de projetos como: Corredor Ferroviário de Santa Catarina – EF 280, Ferrovia do Pantanal – EF 267 e o acompanhamento da construção da Ferrovia Integração Centro-Oeste </w:t>
      </w:r>
      <w:r w:rsidRPr="006D2B8D">
        <w:rPr>
          <w:rFonts w:cstheme="minorHAnsi"/>
          <w:sz w:val="20"/>
          <w:szCs w:val="20"/>
        </w:rPr>
        <w:t>–</w:t>
      </w:r>
      <w:r>
        <w:rPr>
          <w:rFonts w:cstheme="minorHAnsi"/>
          <w:sz w:val="20"/>
          <w:szCs w:val="20"/>
        </w:rPr>
        <w:t xml:space="preserve"> </w:t>
      </w:r>
      <w:r w:rsidRPr="006D2B8D">
        <w:rPr>
          <w:rFonts w:cstheme="minorHAnsi"/>
          <w:sz w:val="20"/>
        </w:rPr>
        <w:t xml:space="preserve">FICO – EF 354, cuja execução está sendo realizada pela Vale S.A., no âmbito do Investimento Cruzado. </w:t>
      </w:r>
      <w:r>
        <w:rPr>
          <w:rFonts w:cstheme="minorHAnsi"/>
          <w:sz w:val="20"/>
        </w:rPr>
        <w:t>Mais</w:t>
      </w:r>
      <w:r w:rsidRPr="006D2B8D">
        <w:rPr>
          <w:rFonts w:cstheme="minorHAnsi"/>
          <w:sz w:val="20"/>
        </w:rPr>
        <w:t xml:space="preserve"> informações quanto a este assunto</w:t>
      </w:r>
      <w:r>
        <w:rPr>
          <w:rFonts w:cstheme="minorHAnsi"/>
          <w:sz w:val="20"/>
        </w:rPr>
        <w:t>,</w:t>
      </w:r>
      <w:r w:rsidRPr="006D2B8D">
        <w:rPr>
          <w:rFonts w:cstheme="minorHAnsi"/>
          <w:sz w:val="20"/>
        </w:rPr>
        <w:t xml:space="preserve"> vide </w:t>
      </w:r>
      <w:r>
        <w:rPr>
          <w:rFonts w:cstheme="minorHAnsi"/>
          <w:sz w:val="20"/>
        </w:rPr>
        <w:t>a Nota Explicativa</w:t>
      </w:r>
      <w:r w:rsidRPr="006D2B8D">
        <w:rPr>
          <w:rFonts w:cstheme="minorHAnsi"/>
          <w:sz w:val="20"/>
        </w:rPr>
        <w:t xml:space="preserve"> 2</w:t>
      </w:r>
      <w:r>
        <w:rPr>
          <w:rFonts w:cstheme="minorHAnsi"/>
          <w:sz w:val="20"/>
        </w:rPr>
        <w:t>4</w:t>
      </w:r>
      <w:r w:rsidRPr="006D2B8D">
        <w:rPr>
          <w:rFonts w:cstheme="minorHAnsi"/>
          <w:sz w:val="20"/>
        </w:rPr>
        <w:t xml:space="preserve"> – Investimento Cruzado.</w:t>
      </w:r>
    </w:p>
    <w:p w14:paraId="3CB4DE5B" w14:textId="77777777" w:rsidR="009B0CC2" w:rsidRPr="006D2B8D" w:rsidRDefault="009B0CC2" w:rsidP="009B0CC2">
      <w:pPr>
        <w:pStyle w:val="NormalWeb"/>
        <w:spacing w:before="120" w:beforeAutospacing="0" w:after="120" w:afterAutospacing="0"/>
        <w:jc w:val="both"/>
        <w:rPr>
          <w:rFonts w:cstheme="minorHAnsi"/>
          <w:sz w:val="20"/>
        </w:rPr>
      </w:pPr>
      <w:r w:rsidRPr="006D2B8D">
        <w:rPr>
          <w:rFonts w:cstheme="minorHAnsi"/>
          <w:sz w:val="20"/>
        </w:rPr>
        <w:t>Abaixo apresentam-se os ramais ferroviários da Infra S</w:t>
      </w:r>
      <w:r>
        <w:rPr>
          <w:rFonts w:cstheme="minorHAnsi"/>
          <w:sz w:val="20"/>
        </w:rPr>
        <w:t>.</w:t>
      </w:r>
      <w:r w:rsidRPr="006D2B8D">
        <w:rPr>
          <w:rFonts w:cstheme="minorHAnsi"/>
          <w:sz w:val="20"/>
        </w:rPr>
        <w:t>A</w:t>
      </w:r>
      <w:r>
        <w:rPr>
          <w:rFonts w:cstheme="minorHAnsi"/>
          <w:sz w:val="20"/>
        </w:rPr>
        <w:t>.</w:t>
      </w:r>
      <w:r w:rsidRPr="006D2B8D">
        <w:rPr>
          <w:rFonts w:cstheme="minorHAnsi"/>
          <w:sz w:val="20"/>
        </w:rPr>
        <w:t xml:space="preserve"> relacionados à FNS, FICO e FIOL:</w:t>
      </w:r>
    </w:p>
    <w:p w14:paraId="2830CCC9" w14:textId="77777777" w:rsidR="00703D25" w:rsidRPr="0019158D" w:rsidRDefault="00703D25" w:rsidP="00703D25">
      <w:pPr>
        <w:autoSpaceDE w:val="0"/>
        <w:autoSpaceDN w:val="0"/>
        <w:adjustRightInd w:val="0"/>
        <w:spacing w:after="0"/>
        <w:jc w:val="center"/>
        <w:rPr>
          <w:rFonts w:ascii="Calibri" w:hAnsi="Calibri" w:cs="Calibri"/>
          <w:b/>
          <w:color w:val="FF0000"/>
          <w:shd w:val="clear" w:color="auto" w:fill="FFFFFF"/>
        </w:rPr>
      </w:pPr>
      <w:r w:rsidRPr="0019158D">
        <w:rPr>
          <w:rFonts w:ascii="Calibri" w:hAnsi="Calibri" w:cs="Calibri"/>
          <w:b/>
          <w:noProof/>
          <w:color w:val="FF0000"/>
          <w:shd w:val="clear" w:color="auto" w:fill="FFFFFF"/>
        </w:rPr>
        <w:lastRenderedPageBreak/>
        <w:drawing>
          <wp:inline distT="0" distB="0" distL="0" distR="0" wp14:anchorId="65748D24" wp14:editId="43578CAC">
            <wp:extent cx="5955527" cy="6364055"/>
            <wp:effectExtent l="0" t="0" r="7620" b="0"/>
            <wp:docPr id="698987316" name="Imagem 69898731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7316" name="Imagem 1" descr="Mapa&#10;&#10;Descrição gerada automaticamente"/>
                    <pic:cNvPicPr/>
                  </pic:nvPicPr>
                  <pic:blipFill>
                    <a:blip r:embed="rId16"/>
                    <a:stretch>
                      <a:fillRect/>
                    </a:stretch>
                  </pic:blipFill>
                  <pic:spPr>
                    <a:xfrm>
                      <a:off x="0" y="0"/>
                      <a:ext cx="5983925" cy="6394401"/>
                    </a:xfrm>
                    <a:prstGeom prst="rect">
                      <a:avLst/>
                    </a:prstGeom>
                  </pic:spPr>
                </pic:pic>
              </a:graphicData>
            </a:graphic>
          </wp:inline>
        </w:drawing>
      </w:r>
    </w:p>
    <w:p w14:paraId="732D0F50" w14:textId="77777777" w:rsidR="00703D25" w:rsidRPr="0019158D" w:rsidRDefault="00703D25" w:rsidP="00703D25">
      <w:pPr>
        <w:autoSpaceDE w:val="0"/>
        <w:autoSpaceDN w:val="0"/>
        <w:adjustRightInd w:val="0"/>
        <w:jc w:val="center"/>
        <w:rPr>
          <w:rFonts w:ascii="Calibri" w:hAnsi="Calibri" w:cs="Calibri"/>
          <w:sz w:val="16"/>
          <w:szCs w:val="16"/>
          <w:shd w:val="clear" w:color="auto" w:fill="FFFFFF"/>
        </w:rPr>
      </w:pPr>
      <w:r w:rsidRPr="0019158D">
        <w:rPr>
          <w:rFonts w:ascii="Calibri" w:hAnsi="Calibri" w:cs="Calibri"/>
          <w:sz w:val="16"/>
          <w:szCs w:val="16"/>
          <w:shd w:val="clear" w:color="auto" w:fill="FFFFFF"/>
        </w:rPr>
        <w:t>Fonte: Carta Anual de Políticas Públicas e Governança Corporativa 2023, ano base 2022, da Infra S.A.</w:t>
      </w:r>
    </w:p>
    <w:p w14:paraId="22B1572A" w14:textId="363CD8EF" w:rsidR="00703D25" w:rsidRPr="006D2B8D" w:rsidRDefault="00C536BA" w:rsidP="006D2B8D">
      <w:pPr>
        <w:pStyle w:val="NormalWeb"/>
        <w:spacing w:before="240" w:beforeAutospacing="0" w:after="0" w:afterAutospacing="0"/>
        <w:jc w:val="both"/>
        <w:rPr>
          <w:rFonts w:cstheme="minorHAnsi"/>
          <w:sz w:val="20"/>
          <w:szCs w:val="20"/>
        </w:rPr>
      </w:pPr>
      <w:r w:rsidRPr="006D2B8D">
        <w:rPr>
          <w:rFonts w:cstheme="minorHAnsi"/>
          <w:sz w:val="20"/>
          <w:szCs w:val="20"/>
        </w:rPr>
        <w:t xml:space="preserve">Maiores informações a respeito das ferrovias podem ser obtidas na </w:t>
      </w:r>
      <w:r>
        <w:rPr>
          <w:rFonts w:cstheme="minorHAnsi"/>
          <w:sz w:val="20"/>
          <w:szCs w:val="20"/>
        </w:rPr>
        <w:t>Nota Explicativa</w:t>
      </w:r>
      <w:r w:rsidRPr="006D2B8D">
        <w:rPr>
          <w:rFonts w:cstheme="minorHAnsi"/>
          <w:sz w:val="20"/>
          <w:szCs w:val="20"/>
        </w:rPr>
        <w:t xml:space="preserve"> 13 – Imobilizado</w:t>
      </w:r>
      <w:r w:rsidR="00703D25" w:rsidRPr="006D2B8D">
        <w:rPr>
          <w:rFonts w:cstheme="minorHAnsi"/>
          <w:sz w:val="20"/>
          <w:szCs w:val="20"/>
        </w:rPr>
        <w:t>.</w:t>
      </w:r>
    </w:p>
    <w:p w14:paraId="5B9F54E4" w14:textId="77777777" w:rsidR="00703D25" w:rsidRPr="006D2B8D" w:rsidRDefault="00703D25" w:rsidP="00F6710E">
      <w:pPr>
        <w:pStyle w:val="NormalWeb"/>
        <w:spacing w:before="120" w:beforeAutospacing="0" w:after="120" w:afterAutospacing="0"/>
        <w:jc w:val="both"/>
        <w:rPr>
          <w:rFonts w:cstheme="minorHAnsi"/>
          <w:b/>
          <w:bCs/>
          <w:sz w:val="20"/>
          <w:szCs w:val="20"/>
        </w:rPr>
      </w:pPr>
      <w:r w:rsidRPr="006D2B8D">
        <w:rPr>
          <w:rFonts w:cstheme="minorHAnsi"/>
          <w:b/>
          <w:bCs/>
          <w:sz w:val="20"/>
          <w:szCs w:val="20"/>
        </w:rPr>
        <w:t>II – Estudos, Projetos e Licenciamento Ambiental</w:t>
      </w:r>
    </w:p>
    <w:p w14:paraId="2D899781" w14:textId="77777777" w:rsidR="00BE056A" w:rsidRPr="006D2B8D" w:rsidRDefault="00BE056A" w:rsidP="00BE056A">
      <w:pPr>
        <w:pStyle w:val="NormalWeb"/>
        <w:spacing w:before="120" w:beforeAutospacing="0" w:after="120" w:afterAutospacing="0"/>
        <w:jc w:val="both"/>
        <w:rPr>
          <w:rFonts w:cstheme="minorHAnsi"/>
          <w:sz w:val="20"/>
          <w:szCs w:val="20"/>
        </w:rPr>
      </w:pPr>
      <w:r w:rsidRPr="006D2B8D">
        <w:rPr>
          <w:rFonts w:cstheme="minorHAns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1285FFD1" w14:textId="77777777" w:rsidR="00BE056A" w:rsidRPr="006D2B8D" w:rsidRDefault="00BE056A" w:rsidP="00BE056A">
      <w:pPr>
        <w:pStyle w:val="NormalWeb"/>
        <w:spacing w:before="120" w:beforeAutospacing="0" w:after="0" w:afterAutospacing="0"/>
        <w:jc w:val="both"/>
        <w:rPr>
          <w:rFonts w:eastAsia="SegoeUI" w:cstheme="minorHAnsi"/>
          <w:sz w:val="20"/>
          <w:szCs w:val="20"/>
        </w:rPr>
      </w:pPr>
      <w:r w:rsidRPr="006D2B8D">
        <w:rPr>
          <w:rFonts w:eastAsia="SegoeUI" w:cstheme="minorHAnsi"/>
          <w:sz w:val="20"/>
          <w:szCs w:val="20"/>
        </w:rPr>
        <w:t xml:space="preserve">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w:t>
      </w:r>
      <w:r>
        <w:rPr>
          <w:rFonts w:eastAsia="SegoeUI" w:cstheme="minorHAnsi"/>
          <w:sz w:val="20"/>
          <w:szCs w:val="20"/>
        </w:rPr>
        <w:t>E</w:t>
      </w:r>
      <w:r w:rsidRPr="006D2B8D">
        <w:rPr>
          <w:rFonts w:eastAsia="SegoeUI" w:cstheme="minorHAnsi"/>
          <w:sz w:val="20"/>
          <w:szCs w:val="20"/>
        </w:rPr>
        <w:t xml:space="preserve">VTEA para portos, aeroportos, ferrovias e rodovias, além de estudos de diagnósticos logísticos e obtenção de licenças ambientais. Tais serviços são remunerados por meio de contratos firmados com estados, empresas e municípios, ou pelo licitante adjudicatário da concessão de rodovia </w:t>
      </w:r>
      <w:r w:rsidRPr="006D2B8D">
        <w:rPr>
          <w:rFonts w:eastAsia="SegoeUI" w:cstheme="minorHAnsi"/>
          <w:sz w:val="20"/>
          <w:szCs w:val="20"/>
        </w:rPr>
        <w:lastRenderedPageBreak/>
        <w:t xml:space="preserve">promovida pelos clientes da Infra S.A. Os estudos que necessitam da contratação de fornecedores podem ser observados na </w:t>
      </w:r>
      <w:r>
        <w:rPr>
          <w:rFonts w:eastAsia="SegoeUI" w:cstheme="minorHAnsi"/>
          <w:sz w:val="20"/>
          <w:szCs w:val="20"/>
        </w:rPr>
        <w:t>Nota Explicativa</w:t>
      </w:r>
      <w:r w:rsidRPr="006D2B8D">
        <w:rPr>
          <w:rFonts w:eastAsia="SegoeUI" w:cstheme="minorHAnsi"/>
          <w:sz w:val="20"/>
          <w:szCs w:val="20"/>
        </w:rPr>
        <w:t xml:space="preserve"> 14 – Intangível.</w:t>
      </w:r>
    </w:p>
    <w:p w14:paraId="3C498A5D" w14:textId="77777777" w:rsidR="001D4613" w:rsidRPr="006D2B8D" w:rsidRDefault="00237C58" w:rsidP="00F6710E">
      <w:pPr>
        <w:autoSpaceDE w:val="0"/>
        <w:autoSpaceDN w:val="0"/>
        <w:adjustRightInd w:val="0"/>
        <w:spacing w:before="120" w:after="0"/>
        <w:jc w:val="both"/>
        <w:rPr>
          <w:rFonts w:cstheme="minorHAnsi"/>
          <w:b/>
          <w:bCs/>
          <w:sz w:val="20"/>
          <w:szCs w:val="20"/>
          <w:shd w:val="clear" w:color="auto" w:fill="FFFFFF"/>
        </w:rPr>
      </w:pPr>
      <w:r w:rsidRPr="006D2B8D">
        <w:rPr>
          <w:rFonts w:cstheme="minorHAnsi"/>
          <w:b/>
          <w:bCs/>
          <w:sz w:val="20"/>
          <w:szCs w:val="20"/>
          <w:shd w:val="clear" w:color="auto" w:fill="FFFFFF"/>
        </w:rPr>
        <w:t>III</w:t>
      </w:r>
      <w:r w:rsidR="001D4613" w:rsidRPr="006D2B8D">
        <w:rPr>
          <w:rFonts w:cstheme="minorHAnsi"/>
          <w:b/>
          <w:bCs/>
          <w:sz w:val="20"/>
          <w:szCs w:val="20"/>
          <w:shd w:val="clear" w:color="auto" w:fill="FFFFFF"/>
        </w:rPr>
        <w:t xml:space="preserve"> – </w:t>
      </w:r>
      <w:r w:rsidR="00653BFC" w:rsidRPr="006D2B8D">
        <w:rPr>
          <w:rFonts w:cstheme="minorHAnsi"/>
          <w:b/>
          <w:bCs/>
          <w:sz w:val="20"/>
          <w:szCs w:val="20"/>
          <w:shd w:val="clear" w:color="auto" w:fill="FFFFFF"/>
        </w:rPr>
        <w:t>Permissão de Uso de Pátios</w:t>
      </w:r>
    </w:p>
    <w:p w14:paraId="4448518B" w14:textId="77777777" w:rsidR="00735F46" w:rsidRPr="006D2B8D" w:rsidRDefault="00735F46" w:rsidP="00735F46">
      <w:pPr>
        <w:pStyle w:val="NormalWeb"/>
        <w:spacing w:before="120" w:beforeAutospacing="0" w:after="120" w:afterAutospacing="0"/>
        <w:jc w:val="both"/>
        <w:rPr>
          <w:rFonts w:eastAsia="Quire Sans" w:cstheme="minorHAnsi"/>
          <w:sz w:val="20"/>
          <w:szCs w:val="20"/>
        </w:rPr>
      </w:pPr>
      <w:r w:rsidRPr="006D2B8D">
        <w:rPr>
          <w:rFonts w:eastAsia="Quire Sans" w:cstheme="minorHAnsi"/>
          <w:sz w:val="20"/>
          <w:szCs w:val="20"/>
        </w:rPr>
        <w:t>A Infra S.A. também explora e fomenta o transporte ferroviário por meio de terminais de armazenamento e transbordo de cargas. Atualmente estão vigentes 17 instrumentos de outorga envolvendo terminais. As localizações das áreas outorgadas estão assim dispostas: 5 em Porto Franco/MA, 1 em Palmeirante/TO, 3 em Guaraí/TO, 7 em Porto Nacional/TO e 1 em Gurupi/TO. Dentre as outorgas estão: Termos de Permissão de Uso, Contratos de Arrendamentos, Contratos de Permissões de Uso e Contratos de Concessões de Uso.</w:t>
      </w:r>
    </w:p>
    <w:p w14:paraId="256D0CBA" w14:textId="77777777" w:rsidR="00735F46" w:rsidRDefault="00735F46" w:rsidP="00735F46">
      <w:pPr>
        <w:pStyle w:val="NormalWeb"/>
        <w:spacing w:before="120" w:beforeAutospacing="0" w:after="0" w:afterAutospacing="0"/>
        <w:contextualSpacing/>
        <w:jc w:val="both"/>
        <w:rPr>
          <w:rFonts w:ascii="Quire Sans" w:eastAsia="Quire Sans" w:hAnsi="Quire Sans" w:cs="Quire Sans"/>
          <w:sz w:val="20"/>
          <w:szCs w:val="20"/>
        </w:rPr>
      </w:pPr>
      <w:r w:rsidRPr="006D2B8D">
        <w:rPr>
          <w:rFonts w:eastAsia="Quire Sans" w:cstheme="minorHAnsi"/>
          <w:sz w:val="20"/>
          <w:szCs w:val="20"/>
        </w:rPr>
        <w:t xml:space="preserve">Os valores que a empresa ainda </w:t>
      </w:r>
      <w:r>
        <w:rPr>
          <w:rFonts w:eastAsia="Quire Sans" w:cstheme="minorHAnsi"/>
          <w:sz w:val="20"/>
          <w:szCs w:val="20"/>
        </w:rPr>
        <w:t>possui</w:t>
      </w:r>
      <w:r w:rsidRPr="006D2B8D">
        <w:rPr>
          <w:rFonts w:eastAsia="Quire Sans" w:cstheme="minorHAnsi"/>
          <w:sz w:val="20"/>
          <w:szCs w:val="20"/>
        </w:rPr>
        <w:t xml:space="preserve"> a receber, decorrentes de referidas outorgas, constam na </w:t>
      </w:r>
      <w:r>
        <w:rPr>
          <w:rFonts w:eastAsia="Quire Sans" w:cstheme="minorHAnsi"/>
          <w:sz w:val="20"/>
          <w:szCs w:val="20"/>
        </w:rPr>
        <w:t>Nota Explicativa</w:t>
      </w:r>
      <w:r w:rsidRPr="006D2B8D">
        <w:rPr>
          <w:rFonts w:eastAsia="Quire Sans" w:cstheme="minorHAnsi"/>
          <w:sz w:val="20"/>
          <w:szCs w:val="20"/>
        </w:rPr>
        <w:t xml:space="preserve"> 4 – Permissões para Uso de Pátios. O saldo da receita a diferir pode ser vista na </w:t>
      </w:r>
      <w:r>
        <w:rPr>
          <w:rFonts w:eastAsia="Quire Sans" w:cstheme="minorHAnsi"/>
          <w:sz w:val="20"/>
          <w:szCs w:val="20"/>
        </w:rPr>
        <w:t>Nota Explicativa</w:t>
      </w:r>
      <w:r w:rsidRPr="006D2B8D">
        <w:rPr>
          <w:rFonts w:eastAsia="Quire Sans" w:cstheme="minorHAnsi"/>
          <w:sz w:val="20"/>
          <w:szCs w:val="20"/>
        </w:rPr>
        <w:t xml:space="preserve"> 1</w:t>
      </w:r>
      <w:r>
        <w:rPr>
          <w:rFonts w:eastAsia="Quire Sans" w:cstheme="minorHAnsi"/>
          <w:sz w:val="20"/>
          <w:szCs w:val="20"/>
        </w:rPr>
        <w:t>8</w:t>
      </w:r>
      <w:r w:rsidRPr="006D2B8D">
        <w:rPr>
          <w:rFonts w:eastAsia="Quire Sans" w:cstheme="minorHAnsi"/>
          <w:sz w:val="20"/>
          <w:szCs w:val="20"/>
        </w:rPr>
        <w:t xml:space="preserve"> – Receita a Diferir Pátios e Terminais</w:t>
      </w:r>
      <w:r w:rsidRPr="11EA3A7A">
        <w:rPr>
          <w:rFonts w:ascii="Quire Sans" w:eastAsia="Quire Sans" w:hAnsi="Quire Sans" w:cs="Quire Sans"/>
          <w:sz w:val="20"/>
          <w:szCs w:val="20"/>
        </w:rPr>
        <w:t xml:space="preserve">.  </w:t>
      </w:r>
    </w:p>
    <w:p w14:paraId="17CB6CBB" w14:textId="04A518E9" w:rsidR="00E71553" w:rsidRPr="006D2B8D" w:rsidRDefault="00703D25" w:rsidP="00CA1867">
      <w:pPr>
        <w:pStyle w:val="Ttulo2"/>
        <w:spacing w:before="120"/>
      </w:pPr>
      <w:bookmarkStart w:id="15" w:name="_Toc152230721"/>
      <w:bookmarkStart w:id="16" w:name="_Toc184926664"/>
      <w:r w:rsidRPr="006D2B8D">
        <w:t xml:space="preserve">1.3 </w:t>
      </w:r>
      <w:r w:rsidR="004B6C8A" w:rsidRPr="006D2B8D">
        <w:t>–</w:t>
      </w:r>
      <w:r w:rsidR="00447306" w:rsidRPr="006D2B8D">
        <w:t xml:space="preserve"> </w:t>
      </w:r>
      <w:r w:rsidR="00E71553" w:rsidRPr="006D2B8D">
        <w:t>Continuidade Operacional</w:t>
      </w:r>
      <w:bookmarkEnd w:id="15"/>
      <w:bookmarkEnd w:id="16"/>
    </w:p>
    <w:p w14:paraId="7216F5B5" w14:textId="67E2C3AD" w:rsidR="00E71553" w:rsidRPr="006D2B8D" w:rsidRDefault="00E10B7B" w:rsidP="006D2B8D">
      <w:pPr>
        <w:pStyle w:val="NormalWeb"/>
        <w:spacing w:before="120" w:beforeAutospacing="0" w:after="120" w:afterAutospacing="0"/>
        <w:jc w:val="both"/>
        <w:rPr>
          <w:rFonts w:cstheme="minorHAnsi"/>
          <w:sz w:val="20"/>
        </w:rPr>
      </w:pPr>
      <w:r w:rsidRPr="006D2B8D">
        <w:rPr>
          <w:rFonts w:cstheme="minorHAnsi"/>
          <w:sz w:val="20"/>
        </w:rPr>
        <w:t>A Infra S.A. é uma empresa pública controlada pela União (única acionista), considerada dependente nos termos da Lei Complementar n</w:t>
      </w:r>
      <w:r>
        <w:rPr>
          <w:rFonts w:cstheme="minorHAnsi"/>
          <w:sz w:val="20"/>
        </w:rPr>
        <w:t>°</w:t>
      </w:r>
      <w:r w:rsidRPr="006D2B8D">
        <w:rPr>
          <w:rFonts w:cstheme="minorHAnsi"/>
          <w:sz w:val="20"/>
        </w:rPr>
        <w:t xml:space="preserve"> 101</w:t>
      </w:r>
      <w:r>
        <w:rPr>
          <w:rFonts w:cstheme="minorHAnsi"/>
          <w:sz w:val="20"/>
        </w:rPr>
        <w:t>/</w:t>
      </w:r>
      <w:r w:rsidRPr="006D2B8D">
        <w:rPr>
          <w:rFonts w:cstheme="minorHAnsi"/>
          <w:sz w:val="20"/>
        </w:rPr>
        <w:t xml:space="preserve">2000, a qual define como estatal dependente a </w:t>
      </w:r>
      <w:r w:rsidR="00E71553"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00E71553" w:rsidRPr="006D2B8D">
        <w:rPr>
          <w:rFonts w:cstheme="minorHAnsi"/>
          <w:sz w:val="20"/>
        </w:rPr>
        <w:t>”.</w:t>
      </w:r>
    </w:p>
    <w:p w14:paraId="75DD0E4C" w14:textId="53B0FFD5" w:rsidR="00BE6E79" w:rsidRPr="006D2B8D" w:rsidRDefault="00E71553" w:rsidP="00B03A2F">
      <w:pPr>
        <w:pStyle w:val="NormalWeb"/>
        <w:spacing w:before="120" w:beforeAutospacing="0" w:after="0" w:afterAutospacing="0"/>
        <w:jc w:val="both"/>
        <w:rPr>
          <w:rFonts w:cstheme="minorHAnsi"/>
          <w:sz w:val="20"/>
        </w:rPr>
      </w:pPr>
      <w:r w:rsidRPr="006D2B8D">
        <w:rPr>
          <w:rFonts w:cstheme="minorHAnsi"/>
          <w:sz w:val="20"/>
        </w:rPr>
        <w:t>Nesse contexto, a Infra S.A. segue as políticas públicas traçadas pelo Ministério dos Transportes e seu planejamento financeiro de longo prazo é vinculado ao planejamento orçamentário, por meio do Plano Plurianual</w:t>
      </w:r>
      <w:r w:rsidR="00B7185C" w:rsidRPr="006D2B8D">
        <w:rPr>
          <w:rFonts w:cstheme="minorHAnsi"/>
          <w:sz w:val="20"/>
        </w:rPr>
        <w:t xml:space="preserve"> </w:t>
      </w:r>
      <w:r w:rsidR="00592444" w:rsidRPr="006D2B8D">
        <w:rPr>
          <w:rFonts w:cstheme="minorHAnsi"/>
          <w:sz w:val="20"/>
          <w:szCs w:val="20"/>
        </w:rPr>
        <w:t>–</w:t>
      </w:r>
      <w:r w:rsidR="00592444">
        <w:rPr>
          <w:rFonts w:cstheme="minorHAnsi"/>
          <w:sz w:val="20"/>
          <w:szCs w:val="20"/>
        </w:rPr>
        <w:t xml:space="preserve"> </w:t>
      </w:r>
      <w:r w:rsidR="00B7185C" w:rsidRPr="00C755FA">
        <w:rPr>
          <w:rFonts w:cstheme="minorHAnsi"/>
          <w:sz w:val="20"/>
        </w:rPr>
        <w:t>PPA</w:t>
      </w:r>
      <w:r w:rsidRPr="00C755FA">
        <w:rPr>
          <w:rFonts w:cstheme="minorHAnsi"/>
          <w:sz w:val="20"/>
        </w:rPr>
        <w:t xml:space="preserve"> de 2020 – 2023, aprovados nos termos da Lei </w:t>
      </w:r>
      <w:r w:rsidR="00D42EF3" w:rsidRPr="00C755FA">
        <w:rPr>
          <w:rFonts w:cstheme="minorHAnsi"/>
          <w:sz w:val="20"/>
        </w:rPr>
        <w:t>n</w:t>
      </w:r>
      <w:r w:rsidR="00E04049" w:rsidRPr="00C755FA">
        <w:rPr>
          <w:rFonts w:cstheme="minorHAnsi"/>
          <w:sz w:val="20"/>
        </w:rPr>
        <w:t>°</w:t>
      </w:r>
      <w:r w:rsidR="00D42EF3" w:rsidRPr="00C755FA">
        <w:rPr>
          <w:rFonts w:cstheme="minorHAnsi"/>
          <w:sz w:val="20"/>
        </w:rPr>
        <w:t xml:space="preserve"> </w:t>
      </w:r>
      <w:r w:rsidRPr="00C755FA">
        <w:rPr>
          <w:rFonts w:cstheme="minorHAnsi"/>
          <w:sz w:val="20"/>
        </w:rPr>
        <w:t>13.971</w:t>
      </w:r>
      <w:r w:rsidR="003D61E8" w:rsidRPr="00C755FA">
        <w:rPr>
          <w:rFonts w:cstheme="minorHAnsi"/>
          <w:sz w:val="20"/>
        </w:rPr>
        <w:t>/</w:t>
      </w:r>
      <w:r w:rsidRPr="00C755FA">
        <w:rPr>
          <w:rFonts w:cstheme="minorHAnsi"/>
          <w:sz w:val="20"/>
        </w:rPr>
        <w:t xml:space="preserve"> 2019</w:t>
      </w:r>
      <w:r w:rsidR="00B7185C" w:rsidRPr="00C755FA">
        <w:rPr>
          <w:rFonts w:cstheme="minorHAnsi"/>
          <w:sz w:val="20"/>
        </w:rPr>
        <w:t xml:space="preserve">, e PPA </w:t>
      </w:r>
      <w:r w:rsidR="00ED74BC" w:rsidRPr="00C755FA">
        <w:rPr>
          <w:rFonts w:cstheme="minorHAnsi"/>
          <w:sz w:val="20"/>
        </w:rPr>
        <w:t xml:space="preserve">de </w:t>
      </w:r>
      <w:r w:rsidR="00B7185C" w:rsidRPr="00C755FA">
        <w:rPr>
          <w:rFonts w:cstheme="minorHAnsi"/>
          <w:sz w:val="20"/>
        </w:rPr>
        <w:t xml:space="preserve">2024 </w:t>
      </w:r>
      <w:r w:rsidR="003D61E8" w:rsidRPr="00C755FA">
        <w:rPr>
          <w:rFonts w:cstheme="minorHAnsi"/>
          <w:sz w:val="20"/>
        </w:rPr>
        <w:t>–</w:t>
      </w:r>
      <w:r w:rsidR="00B7185C" w:rsidRPr="00C755FA">
        <w:rPr>
          <w:rFonts w:cstheme="minorHAnsi"/>
          <w:sz w:val="20"/>
        </w:rPr>
        <w:t xml:space="preserve"> 2027</w:t>
      </w:r>
      <w:r w:rsidR="003D61E8" w:rsidRPr="00C755FA">
        <w:rPr>
          <w:rFonts w:cstheme="minorHAnsi"/>
          <w:sz w:val="20"/>
        </w:rPr>
        <w:t xml:space="preserve">, </w:t>
      </w:r>
      <w:r w:rsidR="00D42EF3" w:rsidRPr="00C755FA">
        <w:rPr>
          <w:rFonts w:cstheme="minorHAnsi"/>
          <w:sz w:val="20"/>
        </w:rPr>
        <w:t>aprovado pela Lei n</w:t>
      </w:r>
      <w:r w:rsidR="00E04049" w:rsidRPr="00C755FA">
        <w:rPr>
          <w:rFonts w:cstheme="minorHAnsi"/>
          <w:sz w:val="20"/>
        </w:rPr>
        <w:t>°</w:t>
      </w:r>
      <w:r w:rsidR="00D42EF3" w:rsidRPr="00C755FA">
        <w:rPr>
          <w:rFonts w:cstheme="minorHAnsi"/>
          <w:sz w:val="20"/>
        </w:rPr>
        <w:t xml:space="preserve"> 14.802/2024</w:t>
      </w:r>
      <w:r w:rsidR="00B7185C" w:rsidRPr="00C755FA">
        <w:rPr>
          <w:rFonts w:cstheme="minorHAnsi"/>
          <w:sz w:val="20"/>
        </w:rPr>
        <w:t>.</w:t>
      </w:r>
    </w:p>
    <w:p w14:paraId="3C7A6907" w14:textId="724DD9BB" w:rsidR="009E5E1A" w:rsidRDefault="00F768BD" w:rsidP="00B03A2F">
      <w:pPr>
        <w:pStyle w:val="NormalWeb"/>
        <w:spacing w:before="120" w:beforeAutospacing="0" w:after="120" w:afterAutospacing="0"/>
        <w:rPr>
          <w:rStyle w:val="eop"/>
          <w:rFonts w:ascii="Calibri" w:hAnsi="Calibri" w:cs="Calibri"/>
          <w:color w:val="000000"/>
          <w:sz w:val="20"/>
          <w:szCs w:val="20"/>
          <w:shd w:val="clear" w:color="auto" w:fill="FFFFFF"/>
        </w:rPr>
      </w:pPr>
      <w:r>
        <w:rPr>
          <w:rStyle w:val="normaltextrun"/>
          <w:rFonts w:ascii="Calibri" w:hAnsi="Calibri" w:cs="Calibri"/>
          <w:color w:val="000000"/>
          <w:sz w:val="20"/>
          <w:szCs w:val="20"/>
          <w:shd w:val="clear" w:color="auto" w:fill="FFFFFF"/>
        </w:rPr>
        <w:t xml:space="preserve">As dotações recebidas para suas atividades são as designadas pela Lei Orçamentária Anual – LOA. Para o exercício de 2024 foi aprovado o seguinte orçamento, consoante volume IV – Detalhamento das Ações, da Lei </w:t>
      </w:r>
      <w:r w:rsidR="0030714E" w:rsidRPr="00C755FA">
        <w:rPr>
          <w:rFonts w:cstheme="minorHAnsi"/>
          <w:sz w:val="20"/>
        </w:rPr>
        <w:t>n°</w:t>
      </w:r>
      <w:r>
        <w:rPr>
          <w:rStyle w:val="normaltextrun"/>
          <w:rFonts w:ascii="Calibri" w:hAnsi="Calibri" w:cs="Calibri"/>
          <w:color w:val="000000"/>
          <w:sz w:val="20"/>
          <w:szCs w:val="20"/>
          <w:shd w:val="clear" w:color="auto" w:fill="FFFFFF"/>
        </w:rPr>
        <w:t xml:space="preserve"> 14.822</w:t>
      </w:r>
      <w:r w:rsidR="00A916EA">
        <w:rPr>
          <w:rStyle w:val="normaltextrun"/>
          <w:rFonts w:ascii="Calibri" w:hAnsi="Calibri" w:cs="Calibri"/>
          <w:color w:val="000000"/>
          <w:sz w:val="20"/>
          <w:szCs w:val="20"/>
          <w:shd w:val="clear" w:color="auto" w:fill="FFFFFF"/>
        </w:rPr>
        <w:t>/</w:t>
      </w:r>
      <w:r>
        <w:rPr>
          <w:rStyle w:val="normaltextrun"/>
          <w:rFonts w:ascii="Calibri" w:hAnsi="Calibri" w:cs="Calibri"/>
          <w:color w:val="000000"/>
          <w:sz w:val="20"/>
          <w:szCs w:val="20"/>
          <w:shd w:val="clear" w:color="auto" w:fill="FFFFFF"/>
        </w:rPr>
        <w:t>2024</w:t>
      </w:r>
      <w:r w:rsidR="00D03308">
        <w:rPr>
          <w:rStyle w:val="normaltextrun"/>
          <w:rFonts w:ascii="Calibri" w:hAnsi="Calibri" w:cs="Calibri"/>
          <w:color w:val="000000"/>
          <w:sz w:val="20"/>
          <w:szCs w:val="20"/>
          <w:shd w:val="clear" w:color="auto" w:fill="FFFFFF"/>
        </w:rPr>
        <w:t>, de 22 de janeiro de 2024</w:t>
      </w:r>
      <w:r w:rsidR="007E52D0">
        <w:rPr>
          <w:rFonts w:cstheme="minorHAnsi"/>
          <w:sz w:val="20"/>
        </w:rPr>
        <w:t>:</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26"/>
        <w:gridCol w:w="2841"/>
      </w:tblGrid>
      <w:tr w:rsidR="00191341" w14:paraId="47DE06BD" w14:textId="77777777" w:rsidTr="00D97C15">
        <w:trPr>
          <w:trHeight w:val="225"/>
        </w:trPr>
        <w:tc>
          <w:tcPr>
            <w:tcW w:w="3643" w:type="pct"/>
            <w:tcBorders>
              <w:top w:val="single" w:sz="6" w:space="0" w:color="auto"/>
              <w:left w:val="nil"/>
              <w:bottom w:val="nil"/>
              <w:right w:val="nil"/>
            </w:tcBorders>
            <w:shd w:val="clear" w:color="auto" w:fill="auto"/>
            <w:vAlign w:val="center"/>
            <w:hideMark/>
          </w:tcPr>
          <w:p w14:paraId="0AFD4F11" w14:textId="77777777" w:rsidR="00191341" w:rsidRDefault="00191341" w:rsidP="0019134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6"/>
                <w:szCs w:val="16"/>
              </w:rPr>
              <w:t>Pessoal e Encargos Sociais</w:t>
            </w:r>
            <w:r>
              <w:rPr>
                <w:rStyle w:val="eop"/>
                <w:rFonts w:ascii="Calibri" w:hAnsi="Calibri" w:cs="Calibri"/>
                <w:sz w:val="16"/>
                <w:szCs w:val="16"/>
              </w:rPr>
              <w:t> </w:t>
            </w:r>
          </w:p>
        </w:tc>
        <w:tc>
          <w:tcPr>
            <w:tcW w:w="1357" w:type="pct"/>
            <w:tcBorders>
              <w:top w:val="single" w:sz="6" w:space="0" w:color="auto"/>
              <w:left w:val="nil"/>
              <w:bottom w:val="nil"/>
              <w:right w:val="nil"/>
            </w:tcBorders>
            <w:shd w:val="clear" w:color="auto" w:fill="auto"/>
            <w:vAlign w:val="center"/>
            <w:hideMark/>
          </w:tcPr>
          <w:p w14:paraId="32CEF01B" w14:textId="77777777" w:rsidR="00191341" w:rsidRDefault="00191341" w:rsidP="00191341">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sz w:val="16"/>
                <w:szCs w:val="16"/>
              </w:rPr>
              <w:t>168.553.100,00</w:t>
            </w:r>
            <w:r>
              <w:rPr>
                <w:rStyle w:val="eop"/>
                <w:rFonts w:ascii="Calibri" w:hAnsi="Calibri" w:cs="Calibri"/>
                <w:sz w:val="16"/>
                <w:szCs w:val="16"/>
              </w:rPr>
              <w:t> </w:t>
            </w:r>
          </w:p>
        </w:tc>
      </w:tr>
      <w:tr w:rsidR="00191341" w14:paraId="4DECFF7E" w14:textId="77777777" w:rsidTr="00D97C15">
        <w:trPr>
          <w:trHeight w:val="225"/>
        </w:trPr>
        <w:tc>
          <w:tcPr>
            <w:tcW w:w="3643" w:type="pct"/>
            <w:tcBorders>
              <w:top w:val="nil"/>
              <w:left w:val="nil"/>
              <w:bottom w:val="nil"/>
              <w:right w:val="nil"/>
            </w:tcBorders>
            <w:shd w:val="clear" w:color="auto" w:fill="auto"/>
            <w:vAlign w:val="center"/>
            <w:hideMark/>
          </w:tcPr>
          <w:p w14:paraId="2BB54CB7" w14:textId="77777777" w:rsidR="00191341" w:rsidRDefault="00191341" w:rsidP="0019134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6"/>
                <w:szCs w:val="16"/>
              </w:rPr>
              <w:t>Outras Despesas Correntes</w:t>
            </w:r>
            <w:r>
              <w:rPr>
                <w:rStyle w:val="eop"/>
                <w:rFonts w:ascii="Calibri" w:hAnsi="Calibri" w:cs="Calibri"/>
                <w:sz w:val="16"/>
                <w:szCs w:val="16"/>
              </w:rPr>
              <w:t> </w:t>
            </w:r>
          </w:p>
        </w:tc>
        <w:tc>
          <w:tcPr>
            <w:tcW w:w="1357" w:type="pct"/>
            <w:tcBorders>
              <w:top w:val="nil"/>
              <w:left w:val="nil"/>
              <w:bottom w:val="nil"/>
              <w:right w:val="nil"/>
            </w:tcBorders>
            <w:shd w:val="clear" w:color="auto" w:fill="auto"/>
            <w:vAlign w:val="center"/>
            <w:hideMark/>
          </w:tcPr>
          <w:p w14:paraId="654CC9F7" w14:textId="77777777" w:rsidR="00191341" w:rsidRDefault="00191341" w:rsidP="00191341">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sz w:val="16"/>
                <w:szCs w:val="16"/>
              </w:rPr>
              <w:t>171.264.246,00</w:t>
            </w:r>
            <w:r>
              <w:rPr>
                <w:rStyle w:val="eop"/>
                <w:rFonts w:ascii="Calibri" w:hAnsi="Calibri" w:cs="Calibri"/>
                <w:sz w:val="16"/>
                <w:szCs w:val="16"/>
              </w:rPr>
              <w:t> </w:t>
            </w:r>
          </w:p>
        </w:tc>
      </w:tr>
      <w:tr w:rsidR="00191341" w14:paraId="7C36A6B7" w14:textId="77777777" w:rsidTr="00D97C15">
        <w:trPr>
          <w:trHeight w:val="225"/>
        </w:trPr>
        <w:tc>
          <w:tcPr>
            <w:tcW w:w="3643" w:type="pct"/>
            <w:tcBorders>
              <w:top w:val="nil"/>
              <w:left w:val="nil"/>
              <w:bottom w:val="nil"/>
              <w:right w:val="nil"/>
            </w:tcBorders>
            <w:shd w:val="clear" w:color="auto" w:fill="auto"/>
            <w:vAlign w:val="center"/>
            <w:hideMark/>
          </w:tcPr>
          <w:p w14:paraId="18125ACB" w14:textId="77777777" w:rsidR="00191341" w:rsidRDefault="00191341" w:rsidP="0019134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6"/>
                <w:szCs w:val="16"/>
              </w:rPr>
              <w:t>Investimentos</w:t>
            </w:r>
            <w:r>
              <w:rPr>
                <w:rStyle w:val="eop"/>
                <w:rFonts w:ascii="Calibri" w:hAnsi="Calibri" w:cs="Calibri"/>
                <w:sz w:val="16"/>
                <w:szCs w:val="16"/>
              </w:rPr>
              <w:t> </w:t>
            </w:r>
          </w:p>
        </w:tc>
        <w:tc>
          <w:tcPr>
            <w:tcW w:w="1357" w:type="pct"/>
            <w:tcBorders>
              <w:top w:val="nil"/>
              <w:left w:val="nil"/>
              <w:bottom w:val="nil"/>
              <w:right w:val="nil"/>
            </w:tcBorders>
            <w:shd w:val="clear" w:color="auto" w:fill="auto"/>
            <w:vAlign w:val="center"/>
            <w:hideMark/>
          </w:tcPr>
          <w:p w14:paraId="1331E54E" w14:textId="77777777" w:rsidR="00191341" w:rsidRDefault="00191341" w:rsidP="00191341">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sz w:val="16"/>
                <w:szCs w:val="16"/>
              </w:rPr>
              <w:t>548.245.930,00</w:t>
            </w:r>
            <w:r>
              <w:rPr>
                <w:rStyle w:val="eop"/>
                <w:rFonts w:ascii="Calibri" w:hAnsi="Calibri" w:cs="Calibri"/>
                <w:sz w:val="16"/>
                <w:szCs w:val="16"/>
              </w:rPr>
              <w:t> </w:t>
            </w:r>
          </w:p>
        </w:tc>
      </w:tr>
      <w:tr w:rsidR="00191341" w14:paraId="633263FE" w14:textId="77777777" w:rsidTr="00D97C15">
        <w:trPr>
          <w:trHeight w:val="225"/>
        </w:trPr>
        <w:tc>
          <w:tcPr>
            <w:tcW w:w="3643" w:type="pct"/>
            <w:tcBorders>
              <w:top w:val="nil"/>
              <w:left w:val="nil"/>
              <w:bottom w:val="nil"/>
              <w:right w:val="nil"/>
            </w:tcBorders>
            <w:shd w:val="clear" w:color="auto" w:fill="auto"/>
            <w:vAlign w:val="center"/>
            <w:hideMark/>
          </w:tcPr>
          <w:p w14:paraId="57A6C253" w14:textId="77777777" w:rsidR="00191341" w:rsidRDefault="00191341" w:rsidP="0019134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6"/>
                <w:szCs w:val="16"/>
              </w:rPr>
              <w:t>Reserva de Contingência</w:t>
            </w:r>
            <w:r>
              <w:rPr>
                <w:rStyle w:val="eop"/>
                <w:rFonts w:ascii="Calibri" w:hAnsi="Calibri" w:cs="Calibri"/>
                <w:sz w:val="16"/>
                <w:szCs w:val="16"/>
              </w:rPr>
              <w:t> </w:t>
            </w:r>
          </w:p>
        </w:tc>
        <w:tc>
          <w:tcPr>
            <w:tcW w:w="1357" w:type="pct"/>
            <w:tcBorders>
              <w:top w:val="nil"/>
              <w:left w:val="nil"/>
              <w:bottom w:val="nil"/>
              <w:right w:val="nil"/>
            </w:tcBorders>
            <w:shd w:val="clear" w:color="auto" w:fill="auto"/>
            <w:vAlign w:val="center"/>
            <w:hideMark/>
          </w:tcPr>
          <w:p w14:paraId="3379D021" w14:textId="77777777" w:rsidR="00191341" w:rsidRDefault="00191341" w:rsidP="00191341">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sz w:val="16"/>
                <w:szCs w:val="16"/>
              </w:rPr>
              <w:t>4.488.108,00</w:t>
            </w:r>
            <w:r>
              <w:rPr>
                <w:rStyle w:val="eop"/>
                <w:rFonts w:ascii="Calibri" w:hAnsi="Calibri" w:cs="Calibri"/>
                <w:sz w:val="16"/>
                <w:szCs w:val="16"/>
              </w:rPr>
              <w:t> </w:t>
            </w:r>
          </w:p>
        </w:tc>
      </w:tr>
      <w:tr w:rsidR="00191341" w14:paraId="2520CCD8" w14:textId="77777777" w:rsidTr="00D97C15">
        <w:trPr>
          <w:trHeight w:val="225"/>
        </w:trPr>
        <w:tc>
          <w:tcPr>
            <w:tcW w:w="3643" w:type="pct"/>
            <w:tcBorders>
              <w:top w:val="single" w:sz="6" w:space="0" w:color="auto"/>
              <w:left w:val="nil"/>
              <w:bottom w:val="single" w:sz="6" w:space="0" w:color="auto"/>
              <w:right w:val="nil"/>
            </w:tcBorders>
            <w:shd w:val="clear" w:color="auto" w:fill="DEEAF6"/>
            <w:vAlign w:val="center"/>
            <w:hideMark/>
          </w:tcPr>
          <w:p w14:paraId="1F32F798" w14:textId="77777777" w:rsidR="00191341" w:rsidRDefault="00191341" w:rsidP="0019134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16"/>
                <w:szCs w:val="16"/>
              </w:rPr>
              <w:t xml:space="preserve">Total </w:t>
            </w:r>
            <w:r>
              <w:rPr>
                <w:rStyle w:val="normaltextrun"/>
                <w:rFonts w:ascii="Calibri" w:hAnsi="Calibri" w:cs="Calibri"/>
                <w:i/>
                <w:iCs/>
                <w:sz w:val="16"/>
                <w:szCs w:val="16"/>
              </w:rPr>
              <w:t>(valores expressos em reais)</w:t>
            </w:r>
            <w:r>
              <w:rPr>
                <w:rStyle w:val="eop"/>
                <w:rFonts w:ascii="Calibri" w:hAnsi="Calibri" w:cs="Calibri"/>
                <w:sz w:val="16"/>
                <w:szCs w:val="16"/>
              </w:rPr>
              <w:t> </w:t>
            </w:r>
          </w:p>
        </w:tc>
        <w:tc>
          <w:tcPr>
            <w:tcW w:w="1357" w:type="pct"/>
            <w:tcBorders>
              <w:top w:val="single" w:sz="6" w:space="0" w:color="auto"/>
              <w:left w:val="nil"/>
              <w:bottom w:val="single" w:sz="6" w:space="0" w:color="auto"/>
              <w:right w:val="nil"/>
            </w:tcBorders>
            <w:shd w:val="clear" w:color="auto" w:fill="DEEAF6"/>
            <w:vAlign w:val="center"/>
            <w:hideMark/>
          </w:tcPr>
          <w:p w14:paraId="0151406A" w14:textId="77777777" w:rsidR="00191341" w:rsidRDefault="00191341" w:rsidP="00191341">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b/>
                <w:bCs/>
                <w:sz w:val="16"/>
                <w:szCs w:val="16"/>
              </w:rPr>
              <w:t>892.551.384,00</w:t>
            </w:r>
            <w:r>
              <w:rPr>
                <w:rStyle w:val="eop"/>
                <w:rFonts w:ascii="Calibri" w:hAnsi="Calibri" w:cs="Calibri"/>
                <w:sz w:val="16"/>
                <w:szCs w:val="16"/>
              </w:rPr>
              <w:t> </w:t>
            </w:r>
          </w:p>
        </w:tc>
      </w:tr>
    </w:tbl>
    <w:p w14:paraId="0A4E79A3" w14:textId="77777777" w:rsidR="002B21B1" w:rsidRPr="006D2B8D" w:rsidRDefault="002B21B1" w:rsidP="002B21B1">
      <w:pPr>
        <w:pStyle w:val="NormalWeb"/>
        <w:spacing w:before="120" w:beforeAutospacing="0" w:after="120" w:afterAutospacing="0"/>
        <w:jc w:val="both"/>
        <w:rPr>
          <w:rFonts w:cstheme="minorHAnsi"/>
          <w:sz w:val="20"/>
        </w:rPr>
      </w:pPr>
      <w:bookmarkStart w:id="17" w:name="_Toc152230722"/>
      <w:r w:rsidRPr="006D2B8D">
        <w:rPr>
          <w:rFonts w:cstheme="minorHAnsi"/>
          <w:sz w:val="20"/>
        </w:rPr>
        <w:t>Para pagamento dos valores relacionados a pessoal e outras despesas correntes, a Infra S</w:t>
      </w:r>
      <w:r>
        <w:rPr>
          <w:rFonts w:cstheme="minorHAnsi"/>
          <w:sz w:val="20"/>
        </w:rPr>
        <w:t>.</w:t>
      </w:r>
      <w:r w:rsidRPr="006D2B8D">
        <w:rPr>
          <w:rFonts w:cstheme="minorHAnsi"/>
          <w:sz w:val="20"/>
        </w:rPr>
        <w:t>A</w:t>
      </w:r>
      <w:r>
        <w:rPr>
          <w:rFonts w:cstheme="minorHAnsi"/>
          <w:sz w:val="20"/>
        </w:rPr>
        <w:t>.</w:t>
      </w:r>
      <w:r w:rsidRPr="006D2B8D">
        <w:rPr>
          <w:rFonts w:cstheme="minorHAnsi"/>
          <w:sz w:val="20"/>
        </w:rPr>
        <w:t xml:space="preserve"> recebe o recurso financeiro como subvenção e o registra diretamente como receita no resultado. Para pagamento daqueles relacionados aos Investimentos, cujos registros ocorrem em seu Ativo imobilizado ou intangível, o recurso é recebido como Adiantamento para Futuro Aumento de Capital – AFAC e registrado no patrimônio líquido para futura capitalização, conforme determinado no item 2.3 da </w:t>
      </w:r>
      <w:proofErr w:type="spellStart"/>
      <w:r w:rsidRPr="006D2B8D">
        <w:rPr>
          <w:rFonts w:cstheme="minorHAnsi"/>
          <w:sz w:val="20"/>
        </w:rPr>
        <w:t>Macrofunção</w:t>
      </w:r>
      <w:proofErr w:type="spellEnd"/>
      <w:r>
        <w:rPr>
          <w:rFonts w:cstheme="minorHAnsi"/>
          <w:sz w:val="20"/>
        </w:rPr>
        <w:t xml:space="preserve"> n°</w:t>
      </w:r>
      <w:r w:rsidRPr="006D2B8D">
        <w:rPr>
          <w:rFonts w:cstheme="minorHAnsi"/>
          <w:sz w:val="20"/>
        </w:rPr>
        <w:t xml:space="preserve"> 021122</w:t>
      </w:r>
      <w:r>
        <w:rPr>
          <w:rFonts w:cstheme="minorHAnsi"/>
          <w:sz w:val="20"/>
        </w:rPr>
        <w:t xml:space="preserve"> –</w:t>
      </w:r>
      <w:r w:rsidRPr="006D2B8D">
        <w:rPr>
          <w:rFonts w:cstheme="minorHAnsi"/>
          <w:sz w:val="20"/>
        </w:rPr>
        <w:t xml:space="preserve"> Participação </w:t>
      </w:r>
      <w:r>
        <w:rPr>
          <w:rFonts w:cstheme="minorHAnsi"/>
          <w:sz w:val="20"/>
        </w:rPr>
        <w:t>d</w:t>
      </w:r>
      <w:r w:rsidRPr="006D2B8D">
        <w:rPr>
          <w:rFonts w:cstheme="minorHAnsi"/>
          <w:sz w:val="20"/>
        </w:rPr>
        <w:t xml:space="preserve">a União </w:t>
      </w:r>
      <w:r>
        <w:rPr>
          <w:rFonts w:cstheme="minorHAnsi"/>
          <w:sz w:val="20"/>
        </w:rPr>
        <w:t>n</w:t>
      </w:r>
      <w:r w:rsidRPr="006D2B8D">
        <w:rPr>
          <w:rFonts w:cstheme="minorHAnsi"/>
          <w:sz w:val="20"/>
        </w:rPr>
        <w:t xml:space="preserve">o Capital </w:t>
      </w:r>
      <w:r>
        <w:rPr>
          <w:rFonts w:cstheme="minorHAnsi"/>
          <w:sz w:val="20"/>
        </w:rPr>
        <w:t>d</w:t>
      </w:r>
      <w:r w:rsidRPr="006D2B8D">
        <w:rPr>
          <w:rFonts w:cstheme="minorHAnsi"/>
          <w:sz w:val="20"/>
        </w:rPr>
        <w:t>e Empresas.</w:t>
      </w:r>
    </w:p>
    <w:p w14:paraId="7F9D23A0" w14:textId="77777777" w:rsidR="002B21B1" w:rsidRPr="006D2B8D" w:rsidRDefault="002B21B1" w:rsidP="002B21B1">
      <w:pPr>
        <w:pStyle w:val="NormalWeb"/>
        <w:spacing w:before="120" w:beforeAutospacing="0" w:after="120" w:afterAutospacing="0"/>
        <w:jc w:val="both"/>
        <w:rPr>
          <w:rFonts w:cstheme="minorHAnsi"/>
          <w:sz w:val="20"/>
        </w:rPr>
      </w:pPr>
      <w:r w:rsidRPr="006D2B8D">
        <w:rPr>
          <w:rFonts w:cstheme="minorHAnsi"/>
          <w:sz w:val="20"/>
        </w:rPr>
        <w:t xml:space="preserve">Além dos valores acima estipulados, a legislação prevê a possibilidade de suplementação orçamentária, caso os recursos previstos na Lei Orçamentária Anual não sejam suficientes. O embasamento para essa suplementação está ancorado nos </w:t>
      </w:r>
      <w:proofErr w:type="spellStart"/>
      <w:r w:rsidRPr="006D2B8D">
        <w:rPr>
          <w:rFonts w:cstheme="minorHAnsi"/>
          <w:sz w:val="20"/>
        </w:rPr>
        <w:t>arts</w:t>
      </w:r>
      <w:proofErr w:type="spellEnd"/>
      <w:r w:rsidRPr="006D2B8D">
        <w:rPr>
          <w:rFonts w:cstheme="minorHAnsi"/>
          <w:sz w:val="20"/>
        </w:rPr>
        <w:t>. 40 a 46 da Lei n</w:t>
      </w:r>
      <w:r>
        <w:rPr>
          <w:rFonts w:cstheme="minorHAnsi"/>
          <w:sz w:val="20"/>
        </w:rPr>
        <w:t>°</w:t>
      </w:r>
      <w:r w:rsidRPr="006D2B8D">
        <w:rPr>
          <w:rFonts w:cstheme="minorHAnsi"/>
          <w:sz w:val="20"/>
        </w:rPr>
        <w:t xml:space="preserve"> 4.320</w:t>
      </w:r>
      <w:r>
        <w:rPr>
          <w:rFonts w:cstheme="minorHAnsi"/>
          <w:sz w:val="20"/>
        </w:rPr>
        <w:t>/</w:t>
      </w:r>
      <w:r w:rsidRPr="006D2B8D">
        <w:rPr>
          <w:rFonts w:cstheme="minorHAnsi"/>
          <w:sz w:val="20"/>
        </w:rPr>
        <w:t>1964 (créditos orçamentários); no art. 4</w:t>
      </w:r>
      <w:r>
        <w:rPr>
          <w:rFonts w:cstheme="minorHAnsi"/>
          <w:sz w:val="20"/>
        </w:rPr>
        <w:t>°</w:t>
      </w:r>
      <w:r w:rsidRPr="006D2B8D">
        <w:rPr>
          <w:rFonts w:cstheme="minorHAnsi"/>
          <w:sz w:val="20"/>
        </w:rPr>
        <w:t xml:space="preserve"> da Lei n</w:t>
      </w:r>
      <w:r>
        <w:rPr>
          <w:rFonts w:cstheme="minorHAnsi"/>
          <w:sz w:val="20"/>
        </w:rPr>
        <w:t>°</w:t>
      </w:r>
      <w:r w:rsidRPr="006D2B8D">
        <w:rPr>
          <w:rFonts w:cstheme="minorHAnsi"/>
          <w:sz w:val="20"/>
        </w:rPr>
        <w:t xml:space="preserve"> 14.535</w:t>
      </w:r>
      <w:r>
        <w:rPr>
          <w:rFonts w:cstheme="minorHAnsi"/>
          <w:sz w:val="20"/>
        </w:rPr>
        <w:t>/</w:t>
      </w:r>
      <w:r w:rsidRPr="006D2B8D">
        <w:rPr>
          <w:rFonts w:cstheme="minorHAnsi"/>
          <w:sz w:val="20"/>
        </w:rPr>
        <w:t>2023.</w:t>
      </w:r>
    </w:p>
    <w:p w14:paraId="4A6CA0EB" w14:textId="77777777" w:rsidR="002B21B1" w:rsidRPr="006D2B8D" w:rsidRDefault="002B21B1" w:rsidP="002B21B1">
      <w:pPr>
        <w:pStyle w:val="NormalWeb"/>
        <w:spacing w:before="120" w:beforeAutospacing="0" w:after="120" w:afterAutospacing="0"/>
        <w:jc w:val="both"/>
        <w:rPr>
          <w:rFonts w:cstheme="minorHAnsi"/>
          <w:sz w:val="20"/>
        </w:rPr>
      </w:pPr>
      <w:r w:rsidRPr="006D2B8D">
        <w:rPr>
          <w:rFonts w:cstheme="minorHAnsi"/>
          <w:sz w:val="20"/>
        </w:rPr>
        <w:t>Sendo uma empresa pública dependente, o ingresso de recurso financeiro como receita destina-se ao pagamento das despesas efetivas da entidade, ocasionando resultado zero.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44663183" w14:textId="77777777" w:rsidR="002B21B1" w:rsidRDefault="002B21B1" w:rsidP="00CA1867">
      <w:pPr>
        <w:pStyle w:val="NormalWeb"/>
        <w:spacing w:before="120" w:beforeAutospacing="0" w:after="0" w:afterAutospacing="0"/>
        <w:jc w:val="both"/>
        <w:rPr>
          <w:rFonts w:cstheme="minorHAnsi"/>
          <w:sz w:val="20"/>
        </w:rPr>
      </w:pPr>
      <w:r w:rsidRPr="006D2B8D">
        <w:rPr>
          <w:rFonts w:cstheme="minorHAnsi"/>
          <w:sz w:val="20"/>
        </w:rPr>
        <w:t>Por fim, destaca-se que a Infra S</w:t>
      </w:r>
      <w:r>
        <w:rPr>
          <w:rFonts w:cstheme="minorHAnsi"/>
          <w:sz w:val="20"/>
        </w:rPr>
        <w:t>.</w:t>
      </w:r>
      <w:r w:rsidRPr="006D2B8D">
        <w:rPr>
          <w:rFonts w:cstheme="minorHAnsi"/>
          <w:sz w:val="20"/>
        </w:rPr>
        <w:t>A</w:t>
      </w:r>
      <w:r>
        <w:rPr>
          <w:rFonts w:cstheme="minorHAnsi"/>
          <w:sz w:val="20"/>
        </w:rPr>
        <w:t>.</w:t>
      </w:r>
      <w:r w:rsidRPr="006D2B8D">
        <w:rPr>
          <w:rFonts w:cstheme="minorHAnsi"/>
          <w:sz w:val="20"/>
        </w:rPr>
        <w:t xml:space="preserve"> (Razão social </w:t>
      </w:r>
      <w:r>
        <w:rPr>
          <w:rFonts w:cstheme="minorHAnsi"/>
          <w:sz w:val="20"/>
        </w:rPr>
        <w:t>VALEC</w:t>
      </w:r>
      <w:r w:rsidRPr="006D2B8D">
        <w:rPr>
          <w:rFonts w:cstheme="minorHAnsi"/>
          <w:sz w:val="20"/>
        </w:rPr>
        <w:t>) possui prazo de duração indeterminado, consoante § 2</w:t>
      </w:r>
      <w:r>
        <w:rPr>
          <w:rFonts w:cstheme="minorHAnsi"/>
          <w:sz w:val="20"/>
        </w:rPr>
        <w:t>°</w:t>
      </w:r>
      <w:r w:rsidRPr="006D2B8D">
        <w:rPr>
          <w:rFonts w:cstheme="minorHAnsi"/>
          <w:sz w:val="20"/>
        </w:rPr>
        <w:t xml:space="preserve"> do art. 8</w:t>
      </w:r>
      <w:r>
        <w:rPr>
          <w:rFonts w:cstheme="minorHAnsi"/>
          <w:sz w:val="20"/>
        </w:rPr>
        <w:t>°</w:t>
      </w:r>
      <w:r w:rsidRPr="006D2B8D">
        <w:rPr>
          <w:rFonts w:cstheme="minorHAnsi"/>
          <w:sz w:val="20"/>
        </w:rPr>
        <w:t xml:space="preserve"> </w:t>
      </w:r>
      <w:r w:rsidRPr="00C44D7D">
        <w:rPr>
          <w:rFonts w:cstheme="minorHAnsi"/>
          <w:sz w:val="20"/>
        </w:rPr>
        <w:t>da Lei n</w:t>
      </w:r>
      <w:r>
        <w:rPr>
          <w:rFonts w:cstheme="minorHAnsi"/>
          <w:sz w:val="20"/>
        </w:rPr>
        <w:t>°</w:t>
      </w:r>
      <w:r w:rsidRPr="00C44D7D">
        <w:rPr>
          <w:rFonts w:cstheme="minorHAnsi"/>
          <w:sz w:val="20"/>
        </w:rPr>
        <w:t xml:space="preserve"> 11.772</w:t>
      </w:r>
      <w:r>
        <w:rPr>
          <w:rFonts w:cstheme="minorHAnsi"/>
          <w:sz w:val="20"/>
        </w:rPr>
        <w:t>/</w:t>
      </w:r>
      <w:r w:rsidRPr="00C44D7D">
        <w:rPr>
          <w:rFonts w:cstheme="minorHAnsi"/>
          <w:sz w:val="20"/>
        </w:rPr>
        <w:t xml:space="preserve">2008. </w:t>
      </w:r>
    </w:p>
    <w:p w14:paraId="57705D7E" w14:textId="77777777" w:rsidR="00D97C15" w:rsidRPr="00C44D7D" w:rsidRDefault="00D97C15" w:rsidP="00CA1867">
      <w:pPr>
        <w:pStyle w:val="NormalWeb"/>
        <w:spacing w:before="0" w:beforeAutospacing="0" w:after="0" w:afterAutospacing="0"/>
        <w:jc w:val="both"/>
        <w:rPr>
          <w:rFonts w:cstheme="minorHAnsi"/>
          <w:sz w:val="20"/>
        </w:rPr>
      </w:pPr>
    </w:p>
    <w:p w14:paraId="6051AAA7" w14:textId="555BF98C" w:rsidR="00703D25" w:rsidRPr="006D2B8D" w:rsidRDefault="00703D25" w:rsidP="006D2B8D">
      <w:pPr>
        <w:pStyle w:val="Ttulo1"/>
      </w:pPr>
      <w:bookmarkStart w:id="18" w:name="_Toc184926665"/>
      <w:r w:rsidRPr="006D2B8D">
        <w:t>2 – Base de Preparação das Demonstrações e Principais Práticas Contábeis</w:t>
      </w:r>
      <w:bookmarkEnd w:id="17"/>
      <w:bookmarkEnd w:id="18"/>
      <w:r w:rsidRPr="006D2B8D">
        <w:t xml:space="preserve"> </w:t>
      </w:r>
    </w:p>
    <w:p w14:paraId="702E8D2B" w14:textId="03A4E1EE" w:rsidR="00436C99" w:rsidRDefault="00690442" w:rsidP="00436C99">
      <w:pPr>
        <w:pStyle w:val="NormalWeb"/>
        <w:spacing w:before="120" w:beforeAutospacing="0" w:after="120" w:afterAutospacing="0"/>
        <w:jc w:val="both"/>
        <w:rPr>
          <w:rFonts w:cstheme="minorHAnsi"/>
          <w:sz w:val="20"/>
          <w:szCs w:val="20"/>
        </w:rPr>
      </w:pPr>
      <w:r w:rsidRPr="006F297D">
        <w:rPr>
          <w:rFonts w:cstheme="minorHAnsi"/>
          <w:sz w:val="20"/>
          <w:szCs w:val="20"/>
        </w:rPr>
        <w:t xml:space="preserve">As </w:t>
      </w:r>
      <w:r w:rsidRPr="005B1FC4">
        <w:rPr>
          <w:rFonts w:cstheme="minorHAnsi"/>
          <w:sz w:val="20"/>
          <w:szCs w:val="20"/>
        </w:rPr>
        <w:t xml:space="preserve">Demonstrações Financeiras são de responsabilidade da Administração e foram elaboradas </w:t>
      </w:r>
      <w:r w:rsidRPr="006F297D">
        <w:rPr>
          <w:rFonts w:cstheme="minorHAnsi"/>
          <w:sz w:val="20"/>
          <w:szCs w:val="20"/>
        </w:rPr>
        <w:t>de acordo</w:t>
      </w:r>
      <w:r w:rsidR="00006E53">
        <w:rPr>
          <w:rFonts w:cstheme="minorHAnsi"/>
          <w:sz w:val="20"/>
          <w:szCs w:val="20"/>
        </w:rPr>
        <w:t xml:space="preserve"> com as práticas contábeis adotadas no Brasil, em consonância </w:t>
      </w:r>
      <w:r w:rsidR="007930E3">
        <w:rPr>
          <w:rFonts w:cstheme="minorHAnsi"/>
          <w:sz w:val="20"/>
          <w:szCs w:val="20"/>
        </w:rPr>
        <w:t xml:space="preserve">com a </w:t>
      </w:r>
      <w:r w:rsidR="00AA6609">
        <w:rPr>
          <w:rFonts w:cstheme="minorHAnsi"/>
          <w:sz w:val="20"/>
          <w:szCs w:val="20"/>
        </w:rPr>
        <w:t>Lei das Sociedades por Ações</w:t>
      </w:r>
      <w:r w:rsidR="005A1026">
        <w:rPr>
          <w:rFonts w:cstheme="minorHAnsi"/>
          <w:sz w:val="20"/>
          <w:szCs w:val="20"/>
        </w:rPr>
        <w:t xml:space="preserve"> – Lei n</w:t>
      </w:r>
      <w:r w:rsidR="00410B4F" w:rsidRPr="001D28C0">
        <w:rPr>
          <w:rFonts w:cstheme="minorHAnsi"/>
          <w:sz w:val="20"/>
          <w:szCs w:val="20"/>
        </w:rPr>
        <w:t>°</w:t>
      </w:r>
      <w:r w:rsidR="005A1026">
        <w:rPr>
          <w:rFonts w:cstheme="minorHAnsi"/>
          <w:sz w:val="20"/>
          <w:szCs w:val="20"/>
        </w:rPr>
        <w:t xml:space="preserve"> 6.404/76 e suas alterações, </w:t>
      </w:r>
      <w:r w:rsidR="00436C99" w:rsidRPr="006F297D">
        <w:rPr>
          <w:rFonts w:cstheme="minorHAnsi"/>
          <w:sz w:val="20"/>
          <w:szCs w:val="20"/>
        </w:rPr>
        <w:t xml:space="preserve">as Normas Brasileiras </w:t>
      </w:r>
      <w:r w:rsidR="00436C99" w:rsidRPr="006F297D">
        <w:rPr>
          <w:rFonts w:cstheme="minorHAnsi"/>
          <w:sz w:val="20"/>
          <w:szCs w:val="20"/>
        </w:rPr>
        <w:lastRenderedPageBreak/>
        <w:t xml:space="preserve">de Contabilidade expedidas pelo Conselho Federal de Contabilidade (CFC), os Pronunciamentos do Comitê de Pronunciamentos Contábeis (CPC), </w:t>
      </w:r>
      <w:r w:rsidR="00AA11B5">
        <w:rPr>
          <w:rFonts w:cstheme="minorHAnsi"/>
          <w:sz w:val="20"/>
          <w:szCs w:val="20"/>
        </w:rPr>
        <w:t xml:space="preserve">bem como </w:t>
      </w:r>
      <w:r w:rsidR="00436C99" w:rsidRPr="006F297D">
        <w:rPr>
          <w:rFonts w:cstheme="minorHAnsi"/>
          <w:sz w:val="20"/>
          <w:szCs w:val="20"/>
        </w:rPr>
        <w:t>as normas complementares emitidas pela Comissão de Valores Mobiliários – CVM</w:t>
      </w:r>
      <w:r w:rsidR="00436C99">
        <w:rPr>
          <w:rFonts w:cstheme="minorHAnsi"/>
          <w:sz w:val="20"/>
          <w:szCs w:val="20"/>
        </w:rPr>
        <w:t>, conforme disposto no art. 7º da Lei n</w:t>
      </w:r>
      <w:r w:rsidR="00410B4F" w:rsidRPr="001D28C0">
        <w:rPr>
          <w:rFonts w:cstheme="minorHAnsi"/>
          <w:sz w:val="20"/>
          <w:szCs w:val="20"/>
        </w:rPr>
        <w:t>°</w:t>
      </w:r>
      <w:r w:rsidR="00436C99">
        <w:rPr>
          <w:rFonts w:cstheme="minorHAnsi"/>
          <w:sz w:val="20"/>
          <w:szCs w:val="20"/>
        </w:rPr>
        <w:t xml:space="preserve"> 13.303/2016</w:t>
      </w:r>
      <w:r w:rsidR="00436C99" w:rsidRPr="006F297D">
        <w:rPr>
          <w:rFonts w:cstheme="minorHAnsi"/>
          <w:sz w:val="20"/>
          <w:szCs w:val="20"/>
        </w:rPr>
        <w:t>.</w:t>
      </w:r>
    </w:p>
    <w:p w14:paraId="784738DE" w14:textId="4F885C4C" w:rsidR="002430A7" w:rsidRPr="004D1CBC" w:rsidRDefault="001D28C0" w:rsidP="00805777">
      <w:pPr>
        <w:jc w:val="both"/>
        <w:rPr>
          <w:rFonts w:cstheme="minorHAnsi"/>
          <w:sz w:val="20"/>
        </w:rPr>
      </w:pPr>
      <w:r w:rsidRPr="004D1CBC">
        <w:rPr>
          <w:rFonts w:cstheme="minorHAnsi"/>
          <w:sz w:val="20"/>
        </w:rPr>
        <w:t>A Infra S.A.</w:t>
      </w:r>
      <w:r w:rsidR="00AC6F1D" w:rsidRPr="004D1CBC">
        <w:rPr>
          <w:rFonts w:cstheme="minorHAnsi"/>
          <w:sz w:val="20"/>
        </w:rPr>
        <w:t xml:space="preserve">, </w:t>
      </w:r>
      <w:r w:rsidR="00ED5FFC" w:rsidRPr="004D1CBC">
        <w:rPr>
          <w:rFonts w:cstheme="minorHAnsi"/>
          <w:sz w:val="20"/>
        </w:rPr>
        <w:t xml:space="preserve">como empresa </w:t>
      </w:r>
      <w:r w:rsidR="00C423FA" w:rsidRPr="004D1CBC">
        <w:rPr>
          <w:rFonts w:cstheme="minorHAnsi"/>
          <w:sz w:val="20"/>
        </w:rPr>
        <w:t>estatal</w:t>
      </w:r>
      <w:r w:rsidR="00ED5FFC" w:rsidRPr="004D1CBC">
        <w:rPr>
          <w:rFonts w:cstheme="minorHAnsi"/>
          <w:sz w:val="20"/>
        </w:rPr>
        <w:t xml:space="preserve"> dependente, </w:t>
      </w:r>
      <w:r w:rsidRPr="004D1CBC">
        <w:rPr>
          <w:rFonts w:cstheme="minorHAnsi"/>
          <w:sz w:val="20"/>
        </w:rPr>
        <w:t>integra o</w:t>
      </w:r>
      <w:r>
        <w:rPr>
          <w:rFonts w:cstheme="minorHAnsi"/>
          <w:sz w:val="20"/>
        </w:rPr>
        <w:t xml:space="preserve"> </w:t>
      </w:r>
      <w:r w:rsidR="004C36D8" w:rsidRPr="004C36D8">
        <w:rPr>
          <w:rFonts w:cstheme="minorHAnsi"/>
          <w:sz w:val="20"/>
        </w:rPr>
        <w:t>Orçamento Fiscal e da Seguridade Social</w:t>
      </w:r>
      <w:r w:rsidR="004C36D8">
        <w:rPr>
          <w:rFonts w:cstheme="minorHAnsi"/>
          <w:sz w:val="20"/>
        </w:rPr>
        <w:t xml:space="preserve"> </w:t>
      </w:r>
      <w:r w:rsidR="00453848" w:rsidRPr="004D1CBC">
        <w:rPr>
          <w:rFonts w:cstheme="minorHAnsi"/>
          <w:sz w:val="20"/>
        </w:rPr>
        <w:t>da União</w:t>
      </w:r>
      <w:r w:rsidR="00071EEE">
        <w:rPr>
          <w:rFonts w:cstheme="minorHAnsi"/>
          <w:sz w:val="20"/>
        </w:rPr>
        <w:t xml:space="preserve"> </w:t>
      </w:r>
      <w:r w:rsidR="00DA4DA4">
        <w:rPr>
          <w:rFonts w:cstheme="minorHAnsi"/>
          <w:sz w:val="20"/>
        </w:rPr>
        <w:t xml:space="preserve">e </w:t>
      </w:r>
      <w:r w:rsidR="0022690C">
        <w:rPr>
          <w:rFonts w:cstheme="minorHAnsi"/>
          <w:sz w:val="20"/>
        </w:rPr>
        <w:t xml:space="preserve">realiza a </w:t>
      </w:r>
      <w:r w:rsidR="0022690C" w:rsidRPr="0022690C">
        <w:rPr>
          <w:rFonts w:cstheme="minorHAnsi"/>
          <w:sz w:val="20"/>
        </w:rPr>
        <w:t>execução orçamentária e financeira, da receita e da despesa</w:t>
      </w:r>
      <w:r w:rsidR="0022690C">
        <w:rPr>
          <w:rFonts w:cstheme="minorHAnsi"/>
          <w:sz w:val="20"/>
        </w:rPr>
        <w:t xml:space="preserve"> por meio d</w:t>
      </w:r>
      <w:r w:rsidR="00DA4DA4">
        <w:rPr>
          <w:rFonts w:cstheme="minorHAnsi"/>
          <w:sz w:val="20"/>
        </w:rPr>
        <w:t>o</w:t>
      </w:r>
      <w:r w:rsidR="00DA4DA4" w:rsidRPr="00DA4DA4">
        <w:rPr>
          <w:rFonts w:cstheme="minorHAnsi"/>
          <w:sz w:val="20"/>
        </w:rPr>
        <w:t xml:space="preserve"> </w:t>
      </w:r>
      <w:r w:rsidRPr="004D1CBC">
        <w:rPr>
          <w:rFonts w:cstheme="minorHAnsi"/>
          <w:sz w:val="20"/>
        </w:rPr>
        <w:t>Sistema Integrado de Administração Financeira do Governo Federal – SIAFI na modalidade total</w:t>
      </w:r>
      <w:r>
        <w:rPr>
          <w:rFonts w:cstheme="minorHAnsi"/>
          <w:sz w:val="20"/>
        </w:rPr>
        <w:t xml:space="preserve">, conforme disposto na Lei </w:t>
      </w:r>
      <w:r w:rsidR="00BE4527">
        <w:rPr>
          <w:rFonts w:cstheme="minorHAnsi"/>
          <w:sz w:val="20"/>
        </w:rPr>
        <w:t xml:space="preserve">de </w:t>
      </w:r>
      <w:r w:rsidR="00FA4CA5">
        <w:rPr>
          <w:rFonts w:cstheme="minorHAnsi"/>
          <w:sz w:val="20"/>
        </w:rPr>
        <w:t>Diretrizes Orçamentárias</w:t>
      </w:r>
      <w:r w:rsidR="00EA20D4">
        <w:rPr>
          <w:rFonts w:cstheme="minorHAnsi"/>
          <w:sz w:val="20"/>
        </w:rPr>
        <w:t xml:space="preserve"> </w:t>
      </w:r>
      <w:r w:rsidR="008B69A7" w:rsidRPr="008B69A7">
        <w:rPr>
          <w:rFonts w:cstheme="minorHAnsi"/>
          <w:sz w:val="20"/>
        </w:rPr>
        <w:t>– LDO</w:t>
      </w:r>
      <w:r w:rsidR="00805777" w:rsidRPr="004D1CBC">
        <w:rPr>
          <w:rFonts w:cstheme="minorHAnsi"/>
          <w:sz w:val="20"/>
        </w:rPr>
        <w:t xml:space="preserve">. </w:t>
      </w:r>
      <w:r w:rsidR="002430A7" w:rsidRPr="004D1CBC">
        <w:rPr>
          <w:rFonts w:cstheme="minorHAnsi"/>
          <w:sz w:val="20"/>
        </w:rPr>
        <w:t>No mais, a Infra S.A. é regida pela Lei n° 13.303</w:t>
      </w:r>
      <w:r w:rsidR="00BE606D" w:rsidRPr="004D1CBC">
        <w:rPr>
          <w:rFonts w:cstheme="minorHAnsi"/>
          <w:sz w:val="20"/>
        </w:rPr>
        <w:t>/</w:t>
      </w:r>
      <w:r w:rsidR="002430A7" w:rsidRPr="004D1CBC">
        <w:rPr>
          <w:rFonts w:cstheme="minorHAnsi"/>
          <w:sz w:val="20"/>
        </w:rPr>
        <w:t>2016, pelo Decreto n° 8.945</w:t>
      </w:r>
      <w:r w:rsidR="00826304" w:rsidRPr="004D1CBC">
        <w:rPr>
          <w:rFonts w:cstheme="minorHAnsi"/>
          <w:sz w:val="20"/>
        </w:rPr>
        <w:t>/2</w:t>
      </w:r>
      <w:r w:rsidR="002430A7" w:rsidRPr="004D1CBC">
        <w:rPr>
          <w:rFonts w:cstheme="minorHAnsi"/>
          <w:sz w:val="20"/>
        </w:rPr>
        <w:t>016, e demais legislações aplicáveis a empresas estatais.</w:t>
      </w:r>
    </w:p>
    <w:p w14:paraId="7C59E077" w14:textId="1D8F0041" w:rsidR="00252C20" w:rsidRPr="004D1CBC" w:rsidRDefault="00BE66FE" w:rsidP="00805777">
      <w:pPr>
        <w:jc w:val="both"/>
        <w:rPr>
          <w:rFonts w:cstheme="minorHAnsi"/>
          <w:sz w:val="20"/>
        </w:rPr>
      </w:pPr>
      <w:r w:rsidRPr="004D1CBC">
        <w:rPr>
          <w:rFonts w:cstheme="minorHAnsi"/>
          <w:sz w:val="20"/>
        </w:rPr>
        <w:t xml:space="preserve">As </w:t>
      </w:r>
      <w:r w:rsidR="007756F1" w:rsidRPr="005B1FC4">
        <w:rPr>
          <w:rFonts w:cstheme="minorHAnsi"/>
          <w:sz w:val="20"/>
          <w:szCs w:val="20"/>
        </w:rPr>
        <w:t>Demonstrações Financeiras</w:t>
      </w:r>
      <w:r w:rsidR="007756F1" w:rsidRPr="004D1CBC">
        <w:rPr>
          <w:rFonts w:cstheme="minorHAnsi"/>
          <w:sz w:val="20"/>
        </w:rPr>
        <w:t xml:space="preserve"> </w:t>
      </w:r>
      <w:r w:rsidR="00E51AB9">
        <w:rPr>
          <w:rFonts w:cstheme="minorHAnsi"/>
          <w:sz w:val="20"/>
        </w:rPr>
        <w:t>I</w:t>
      </w:r>
      <w:r w:rsidRPr="004D1CBC">
        <w:rPr>
          <w:rFonts w:cstheme="minorHAnsi"/>
          <w:sz w:val="20"/>
        </w:rPr>
        <w:t>ntermediárias estão em conformidade com o Pronunciamento CPC 21 (R1) - Demonstração Intermediária.</w:t>
      </w:r>
    </w:p>
    <w:p w14:paraId="3A4C8DEF" w14:textId="630A7C61" w:rsidR="00447CC4" w:rsidRDefault="00447CC4" w:rsidP="00805777">
      <w:pPr>
        <w:jc w:val="both"/>
        <w:rPr>
          <w:rFonts w:cstheme="minorHAnsi"/>
          <w:sz w:val="20"/>
        </w:rPr>
      </w:pPr>
      <w:r w:rsidRPr="00E8725E">
        <w:rPr>
          <w:rFonts w:cstheme="minorHAnsi"/>
          <w:sz w:val="20"/>
        </w:rPr>
        <w:t xml:space="preserve">A autorização para a conclusão destas Demonstrações Financeiras </w:t>
      </w:r>
      <w:r w:rsidR="00E51AB9">
        <w:rPr>
          <w:rFonts w:cstheme="minorHAnsi"/>
          <w:sz w:val="20"/>
        </w:rPr>
        <w:t>I</w:t>
      </w:r>
      <w:r w:rsidR="007756F1" w:rsidRPr="004D1CBC">
        <w:rPr>
          <w:rFonts w:cstheme="minorHAnsi"/>
          <w:sz w:val="20"/>
        </w:rPr>
        <w:t>ntermediárias</w:t>
      </w:r>
      <w:r w:rsidR="007756F1" w:rsidRPr="00E8725E">
        <w:rPr>
          <w:rFonts w:cstheme="minorHAnsi"/>
          <w:sz w:val="20"/>
        </w:rPr>
        <w:t xml:space="preserve"> </w:t>
      </w:r>
      <w:r w:rsidRPr="00E8725E">
        <w:rPr>
          <w:rFonts w:cstheme="minorHAnsi"/>
          <w:sz w:val="20"/>
        </w:rPr>
        <w:t>foi dada pelo Conselho de Administração em</w:t>
      </w:r>
      <w:r>
        <w:rPr>
          <w:rFonts w:cstheme="minorHAnsi"/>
          <w:sz w:val="20"/>
        </w:rPr>
        <w:t xml:space="preserve"> reunião realizada </w:t>
      </w:r>
      <w:r w:rsidRPr="000D7E3A">
        <w:rPr>
          <w:rFonts w:cstheme="minorHAnsi"/>
          <w:sz w:val="20"/>
        </w:rPr>
        <w:t xml:space="preserve">em </w:t>
      </w:r>
      <w:r w:rsidR="000D7E3A" w:rsidRPr="000D7E3A">
        <w:rPr>
          <w:rFonts w:cstheme="minorHAnsi"/>
          <w:sz w:val="20"/>
        </w:rPr>
        <w:t>30</w:t>
      </w:r>
      <w:r w:rsidRPr="000D7E3A">
        <w:rPr>
          <w:rFonts w:cstheme="minorHAnsi"/>
          <w:sz w:val="20"/>
        </w:rPr>
        <w:t xml:space="preserve"> de </w:t>
      </w:r>
      <w:r w:rsidR="000D7E3A" w:rsidRPr="000D7E3A">
        <w:rPr>
          <w:rFonts w:cstheme="minorHAnsi"/>
          <w:sz w:val="20"/>
        </w:rPr>
        <w:t>janeiro</w:t>
      </w:r>
      <w:r w:rsidRPr="000D7E3A">
        <w:rPr>
          <w:rFonts w:cstheme="minorHAnsi"/>
          <w:sz w:val="20"/>
        </w:rPr>
        <w:t xml:space="preserve"> de 202</w:t>
      </w:r>
      <w:r w:rsidR="000D7E3A" w:rsidRPr="000D7E3A">
        <w:rPr>
          <w:rFonts w:cstheme="minorHAnsi"/>
          <w:sz w:val="20"/>
        </w:rPr>
        <w:t>5</w:t>
      </w:r>
      <w:r w:rsidRPr="000D7E3A">
        <w:rPr>
          <w:rFonts w:cstheme="minorHAnsi"/>
          <w:sz w:val="20"/>
        </w:rPr>
        <w:t>.</w:t>
      </w:r>
      <w:r w:rsidR="00C501F3" w:rsidRPr="000D7E3A">
        <w:rPr>
          <w:rFonts w:cstheme="minorHAnsi"/>
          <w:color w:val="FF0000"/>
          <w:sz w:val="20"/>
        </w:rPr>
        <w:t xml:space="preserve"> </w:t>
      </w:r>
    </w:p>
    <w:p w14:paraId="3CDDAB41" w14:textId="43075F55" w:rsidR="00447CC4" w:rsidRDefault="00447CC4" w:rsidP="00805777">
      <w:pPr>
        <w:jc w:val="both"/>
        <w:rPr>
          <w:rFonts w:cstheme="minorHAnsi"/>
          <w:sz w:val="20"/>
          <w:szCs w:val="20"/>
        </w:rPr>
      </w:pPr>
      <w:r>
        <w:rPr>
          <w:rFonts w:cstheme="minorHAnsi"/>
          <w:sz w:val="20"/>
        </w:rPr>
        <w:t xml:space="preserve">A seguir apresentam-se as principais práticas contábeis </w:t>
      </w:r>
      <w:r w:rsidR="00E44ECF">
        <w:rPr>
          <w:rFonts w:cstheme="minorHAnsi"/>
          <w:sz w:val="20"/>
        </w:rPr>
        <w:t>da Companhia:</w:t>
      </w:r>
    </w:p>
    <w:p w14:paraId="05295A3A" w14:textId="2E8E7109" w:rsidR="00703D25" w:rsidRPr="007756F1" w:rsidRDefault="00703D25" w:rsidP="00C000AF">
      <w:pPr>
        <w:numPr>
          <w:ilvl w:val="0"/>
          <w:numId w:val="10"/>
        </w:numPr>
        <w:spacing w:before="120"/>
        <w:ind w:left="714" w:hanging="357"/>
        <w:jc w:val="both"/>
        <w:rPr>
          <w:rFonts w:cstheme="minorHAnsi"/>
          <w:sz w:val="20"/>
          <w:szCs w:val="20"/>
        </w:rPr>
      </w:pPr>
      <w:r w:rsidRPr="007756F1">
        <w:rPr>
          <w:rFonts w:cstheme="minorHAnsi"/>
          <w:sz w:val="20"/>
          <w:szCs w:val="20"/>
        </w:rPr>
        <w:t xml:space="preserve">As </w:t>
      </w:r>
      <w:r w:rsidR="007756F1" w:rsidRPr="005B1FC4">
        <w:rPr>
          <w:rFonts w:cstheme="minorHAnsi"/>
          <w:sz w:val="20"/>
          <w:szCs w:val="20"/>
        </w:rPr>
        <w:t>Demonstrações Financeiras</w:t>
      </w:r>
      <w:r w:rsidR="007756F1" w:rsidRPr="007756F1">
        <w:rPr>
          <w:rFonts w:cstheme="minorHAnsi"/>
          <w:sz w:val="20"/>
          <w:szCs w:val="20"/>
        </w:rPr>
        <w:t xml:space="preserve"> </w:t>
      </w:r>
      <w:r w:rsidR="00E51AB9">
        <w:rPr>
          <w:rFonts w:cstheme="minorHAnsi"/>
          <w:sz w:val="20"/>
          <w:szCs w:val="20"/>
        </w:rPr>
        <w:t>I</w:t>
      </w:r>
      <w:r w:rsidR="00A650B3" w:rsidRPr="007756F1">
        <w:rPr>
          <w:rFonts w:cstheme="minorHAnsi"/>
          <w:sz w:val="20"/>
          <w:szCs w:val="20"/>
        </w:rPr>
        <w:t>ntermediárias</w:t>
      </w:r>
      <w:r w:rsidRPr="007756F1">
        <w:rPr>
          <w:rFonts w:cstheme="minorHAnsi"/>
          <w:sz w:val="20"/>
          <w:szCs w:val="20"/>
        </w:rPr>
        <w:t xml:space="preserve"> originam-se de fatos contábeis vinculados ao </w:t>
      </w:r>
      <w:r w:rsidR="000C1D3C" w:rsidRPr="007756F1">
        <w:rPr>
          <w:rFonts w:cstheme="minorHAnsi"/>
          <w:sz w:val="20"/>
          <w:szCs w:val="20"/>
        </w:rPr>
        <w:t xml:space="preserve">Princípio do </w:t>
      </w:r>
      <w:r w:rsidRPr="007756F1">
        <w:rPr>
          <w:rFonts w:cstheme="minorHAnsi"/>
          <w:sz w:val="20"/>
          <w:szCs w:val="20"/>
        </w:rPr>
        <w:t>Registro pelo Valor Original e os saldos estão disponibilizados em unidade de Real (R$ 1</w:t>
      </w:r>
      <w:r w:rsidR="001519B4">
        <w:rPr>
          <w:rFonts w:cstheme="minorHAnsi"/>
          <w:sz w:val="20"/>
          <w:szCs w:val="20"/>
        </w:rPr>
        <w:t>,00</w:t>
      </w:r>
      <w:r w:rsidRPr="007756F1">
        <w:rPr>
          <w:rFonts w:cstheme="minorHAnsi"/>
          <w:sz w:val="20"/>
          <w:szCs w:val="20"/>
        </w:rPr>
        <w:t>), exceto quando indicado de outra forma, sendo o Real a moeda funcional e de apresentação da Infra S.A. Devido ao uso de arredondamentos, os números apresentados ao</w:t>
      </w:r>
      <w:r w:rsidR="00A650B3" w:rsidRPr="007756F1">
        <w:rPr>
          <w:rFonts w:cstheme="minorHAnsi"/>
          <w:sz w:val="20"/>
          <w:szCs w:val="20"/>
        </w:rPr>
        <w:t xml:space="preserve"> </w:t>
      </w:r>
      <w:r w:rsidRPr="007756F1">
        <w:rPr>
          <w:rFonts w:cstheme="minorHAnsi"/>
          <w:sz w:val="20"/>
          <w:szCs w:val="20"/>
        </w:rPr>
        <w:t xml:space="preserve">longo dessas </w:t>
      </w:r>
      <w:r w:rsidR="00A650B3" w:rsidRPr="007756F1">
        <w:rPr>
          <w:rFonts w:cstheme="minorHAnsi"/>
          <w:sz w:val="20"/>
          <w:szCs w:val="20"/>
        </w:rPr>
        <w:t>demonstrações</w:t>
      </w:r>
      <w:r w:rsidRPr="007756F1">
        <w:rPr>
          <w:rFonts w:cstheme="minorHAnsi"/>
          <w:sz w:val="20"/>
          <w:szCs w:val="20"/>
        </w:rPr>
        <w:t xml:space="preserve"> podem não perfazer precisamente os totais apresentados</w:t>
      </w:r>
      <w:r w:rsidR="007E3661" w:rsidRPr="007E3661">
        <w:rPr>
          <w:rFonts w:cstheme="minorHAnsi"/>
          <w:sz w:val="20"/>
          <w:szCs w:val="20"/>
        </w:rPr>
        <w:t>, conforme o Pronunciamento Técnico CPC 26 (R1) – Apresentação das Demonstrações Contábeis, combinado com o Pronunciamento Técnico CPC 02 (R2) – Efeitos das Mudanças nas Taxas de Câmbio e Conversão de Demonstrações Contábeis</w:t>
      </w:r>
      <w:r w:rsidRPr="007756F1">
        <w:rPr>
          <w:rFonts w:cstheme="minorHAnsi"/>
          <w:sz w:val="20"/>
          <w:szCs w:val="20"/>
        </w:rPr>
        <w:t>;</w:t>
      </w:r>
    </w:p>
    <w:p w14:paraId="596C6D3F" w14:textId="7DE84868" w:rsidR="00703D25" w:rsidRPr="00390FB6" w:rsidRDefault="00703D25" w:rsidP="00C000AF">
      <w:pPr>
        <w:numPr>
          <w:ilvl w:val="0"/>
          <w:numId w:val="10"/>
        </w:numPr>
        <w:spacing w:before="120"/>
        <w:ind w:left="714" w:hanging="357"/>
        <w:jc w:val="both"/>
        <w:rPr>
          <w:rFonts w:cstheme="minorHAnsi"/>
          <w:sz w:val="20"/>
        </w:rPr>
      </w:pPr>
      <w:r w:rsidRPr="00390FB6">
        <w:rPr>
          <w:rFonts w:cstheme="minorHAnsi"/>
          <w:sz w:val="20"/>
        </w:rPr>
        <w:t xml:space="preserve">Os registros contábeis da </w:t>
      </w:r>
      <w:r w:rsidR="0047781D">
        <w:rPr>
          <w:rFonts w:cstheme="minorHAnsi"/>
          <w:sz w:val="20"/>
        </w:rPr>
        <w:t>Companhia</w:t>
      </w:r>
      <w:r w:rsidRPr="00390FB6">
        <w:rPr>
          <w:rFonts w:cstheme="minorHAnsi"/>
          <w:sz w:val="20"/>
        </w:rPr>
        <w:t xml:space="preserve"> são realizados por meio do SIAFI conforme as normas aplicadas à contabilidade do Setor Público e, posteriormente, </w:t>
      </w:r>
      <w:r w:rsidR="00CD0FE7" w:rsidRPr="00390FB6">
        <w:rPr>
          <w:rFonts w:cstheme="minorHAnsi"/>
          <w:sz w:val="20"/>
        </w:rPr>
        <w:t>importados</w:t>
      </w:r>
      <w:r w:rsidR="00AB0338" w:rsidRPr="00390FB6">
        <w:rPr>
          <w:rFonts w:cstheme="minorHAnsi"/>
          <w:sz w:val="20"/>
        </w:rPr>
        <w:t xml:space="preserve"> e</w:t>
      </w:r>
      <w:r w:rsidR="00796548" w:rsidRPr="00390FB6">
        <w:rPr>
          <w:rFonts w:cstheme="minorHAnsi"/>
          <w:sz w:val="20"/>
        </w:rPr>
        <w:t xml:space="preserve"> </w:t>
      </w:r>
      <w:r w:rsidRPr="00390FB6">
        <w:rPr>
          <w:rFonts w:cstheme="minorHAnsi"/>
          <w:sz w:val="20"/>
        </w:rPr>
        <w:t>conciliados</w:t>
      </w:r>
      <w:r w:rsidR="00796548" w:rsidRPr="00390FB6">
        <w:rPr>
          <w:rFonts w:cstheme="minorHAnsi"/>
          <w:sz w:val="20"/>
        </w:rPr>
        <w:t xml:space="preserve"> dentro d</w:t>
      </w:r>
      <w:r w:rsidR="00AB0338" w:rsidRPr="00390FB6">
        <w:rPr>
          <w:rFonts w:cstheme="minorHAnsi"/>
          <w:sz w:val="20"/>
        </w:rPr>
        <w:t>e</w:t>
      </w:r>
      <w:r w:rsidR="00796548" w:rsidRPr="00390FB6">
        <w:rPr>
          <w:rFonts w:cstheme="minorHAnsi"/>
          <w:sz w:val="20"/>
        </w:rPr>
        <w:t xml:space="preserve"> sistema </w:t>
      </w:r>
      <w:r w:rsidR="00B27870" w:rsidRPr="00390FB6">
        <w:rPr>
          <w:rFonts w:cstheme="minorHAnsi"/>
          <w:sz w:val="20"/>
        </w:rPr>
        <w:t>contábil</w:t>
      </w:r>
      <w:r w:rsidRPr="00390FB6">
        <w:rPr>
          <w:rFonts w:cstheme="minorHAnsi"/>
          <w:sz w:val="20"/>
        </w:rPr>
        <w:t xml:space="preserve"> </w:t>
      </w:r>
      <w:r w:rsidR="00AB0338" w:rsidRPr="00390FB6">
        <w:rPr>
          <w:rFonts w:cstheme="minorHAnsi"/>
          <w:sz w:val="20"/>
        </w:rPr>
        <w:t xml:space="preserve">próprio </w:t>
      </w:r>
      <w:r w:rsidRPr="00390FB6">
        <w:rPr>
          <w:rFonts w:cstheme="minorHAnsi"/>
          <w:sz w:val="20"/>
        </w:rPr>
        <w:t>para atender às normas aplicadas à Contabilidade Societária. A conciliação é necessária devido às diferenças temporais e normativas entre contabilidade pública e societária;</w:t>
      </w:r>
    </w:p>
    <w:p w14:paraId="2FA7ED18" w14:textId="2A1B2C4F" w:rsidR="00703D25" w:rsidRPr="006D2B8D" w:rsidRDefault="00703D25" w:rsidP="00C000AF">
      <w:pPr>
        <w:numPr>
          <w:ilvl w:val="0"/>
          <w:numId w:val="10"/>
        </w:numPr>
        <w:spacing w:before="120"/>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r w:rsidR="007C6984" w:rsidRPr="007C6984">
        <w:rPr>
          <w:rFonts w:cstheme="minorHAnsi"/>
          <w:sz w:val="20"/>
        </w:rPr>
        <w:t>, em linha com o Pronunciamento Técnico CPC 00 (R2) – Estrutura Conceitual</w:t>
      </w:r>
      <w:r w:rsidRPr="006D2B8D">
        <w:rPr>
          <w:rFonts w:cstheme="minorHAnsi"/>
          <w:sz w:val="20"/>
        </w:rPr>
        <w:t>;</w:t>
      </w:r>
      <w:r w:rsidR="005A7D38">
        <w:rPr>
          <w:rFonts w:cstheme="minorHAnsi"/>
          <w:sz w:val="20"/>
        </w:rPr>
        <w:tab/>
      </w:r>
    </w:p>
    <w:p w14:paraId="583F7813" w14:textId="01F192E8" w:rsidR="00703D25" w:rsidRPr="006D2B8D" w:rsidRDefault="00703D25" w:rsidP="00C000AF">
      <w:pPr>
        <w:numPr>
          <w:ilvl w:val="0"/>
          <w:numId w:val="10"/>
        </w:numPr>
        <w:spacing w:before="120"/>
        <w:ind w:left="714" w:hanging="357"/>
        <w:jc w:val="both"/>
        <w:rPr>
          <w:rFonts w:cstheme="minorHAnsi"/>
          <w:sz w:val="20"/>
        </w:rPr>
      </w:pPr>
      <w:r w:rsidRPr="006D2B8D">
        <w:rPr>
          <w:rFonts w:cstheme="minorHAnsi"/>
          <w:sz w:val="20"/>
        </w:rPr>
        <w:t>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w:t>
      </w:r>
      <w:r w:rsidR="006C396F" w:rsidRPr="006C396F">
        <w:rPr>
          <w:rFonts w:cstheme="minorHAnsi"/>
          <w:sz w:val="20"/>
        </w:rPr>
        <w:t>, com base Pronunciamento Técnico CPC 26 (R1) – Apresentação das Demonstrações</w:t>
      </w:r>
      <w:r w:rsidRPr="006D2B8D">
        <w:rPr>
          <w:rFonts w:cstheme="minorHAnsi"/>
          <w:sz w:val="20"/>
        </w:rPr>
        <w:t xml:space="preserve">; </w:t>
      </w:r>
    </w:p>
    <w:p w14:paraId="53A94B1A" w14:textId="27993AEF" w:rsidR="002E0FC0" w:rsidRPr="00DD329D" w:rsidRDefault="002E0FC0" w:rsidP="00C000AF">
      <w:pPr>
        <w:numPr>
          <w:ilvl w:val="0"/>
          <w:numId w:val="10"/>
        </w:numPr>
        <w:spacing w:before="120"/>
        <w:ind w:left="714" w:hanging="357"/>
        <w:jc w:val="both"/>
        <w:rPr>
          <w:rFonts w:cstheme="minorHAnsi"/>
          <w:sz w:val="20"/>
        </w:rPr>
      </w:pPr>
      <w:r w:rsidRPr="00DD329D">
        <w:rPr>
          <w:rFonts w:cstheme="minorHAnsi"/>
          <w:sz w:val="20"/>
        </w:rPr>
        <w:t xml:space="preserve">Os estoques de serviços em elaboração </w:t>
      </w:r>
      <w:r w:rsidR="000870C4" w:rsidRPr="00DD329D">
        <w:rPr>
          <w:rFonts w:cstheme="minorHAnsi"/>
          <w:sz w:val="20"/>
        </w:rPr>
        <w:t>são demonstrados pelo custo de aquisição</w:t>
      </w:r>
      <w:r w:rsidR="003F5FC3" w:rsidRPr="00DD329D">
        <w:rPr>
          <w:rFonts w:cstheme="minorHAnsi"/>
          <w:sz w:val="20"/>
        </w:rPr>
        <w:t xml:space="preserve">. Os custos são </w:t>
      </w:r>
      <w:r w:rsidR="00BF4EB5" w:rsidRPr="00DD329D">
        <w:rPr>
          <w:rFonts w:cstheme="minorHAnsi"/>
          <w:sz w:val="20"/>
        </w:rPr>
        <w:t xml:space="preserve">segregados </w:t>
      </w:r>
      <w:r w:rsidR="002C3D9B">
        <w:rPr>
          <w:rFonts w:cstheme="minorHAnsi"/>
          <w:sz w:val="20"/>
        </w:rPr>
        <w:t>por projetos</w:t>
      </w:r>
      <w:r w:rsidR="00BF4EB5" w:rsidRPr="00DD329D">
        <w:rPr>
          <w:rFonts w:cstheme="minorHAnsi"/>
          <w:sz w:val="20"/>
        </w:rPr>
        <w:t xml:space="preserve">, atribuindo-se </w:t>
      </w:r>
      <w:r w:rsidR="00E07B80" w:rsidRPr="00DD329D">
        <w:rPr>
          <w:rFonts w:cstheme="minorHAnsi"/>
          <w:sz w:val="20"/>
        </w:rPr>
        <w:t xml:space="preserve">identificação específica de seus custos individuais, </w:t>
      </w:r>
      <w:r w:rsidR="00FC25DF" w:rsidRPr="00DD329D">
        <w:rPr>
          <w:rFonts w:cstheme="minorHAnsi"/>
          <w:sz w:val="20"/>
        </w:rPr>
        <w:t xml:space="preserve">nos termos do </w:t>
      </w:r>
      <w:r w:rsidR="00FF7D7C" w:rsidRPr="00DD329D">
        <w:rPr>
          <w:rFonts w:cstheme="minorHAnsi"/>
          <w:sz w:val="20"/>
        </w:rPr>
        <w:t>Pronunciamento Técnico CPC 16 (R1) – Estoques.</w:t>
      </w:r>
    </w:p>
    <w:p w14:paraId="15EE6040" w14:textId="5A771580" w:rsidR="00703D25" w:rsidRPr="006D2B8D" w:rsidRDefault="00703D25" w:rsidP="00C000AF">
      <w:pPr>
        <w:numPr>
          <w:ilvl w:val="0"/>
          <w:numId w:val="10"/>
        </w:numPr>
        <w:autoSpaceDE w:val="0"/>
        <w:autoSpaceDN w:val="0"/>
        <w:spacing w:before="120"/>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w:t>
      </w:r>
      <w:r w:rsidR="00670F05" w:rsidRPr="00670F05">
        <w:rPr>
          <w:rFonts w:cstheme="minorHAnsi"/>
          <w:sz w:val="20"/>
        </w:rPr>
        <w:t>com fundamento no Pronunciamento Técnico CPC 27 – Ativo Imobilizado</w:t>
      </w:r>
      <w:r w:rsidR="00670F05">
        <w:rPr>
          <w:rFonts w:cstheme="minorHAnsi"/>
          <w:sz w:val="20"/>
        </w:rPr>
        <w:t xml:space="preserve">, </w:t>
      </w:r>
      <w:r w:rsidRPr="006D2B8D">
        <w:rPr>
          <w:rFonts w:cstheme="minorHAnsi"/>
          <w:sz w:val="20"/>
        </w:rPr>
        <w:t xml:space="preserve">conforme Nota </w:t>
      </w:r>
      <w:r w:rsidR="001177CE">
        <w:rPr>
          <w:rFonts w:cstheme="minorHAnsi"/>
          <w:sz w:val="20"/>
        </w:rPr>
        <w:t>Explicativa 1</w:t>
      </w:r>
      <w:r w:rsidR="004574DE" w:rsidRPr="006D2B8D">
        <w:rPr>
          <w:rFonts w:cstheme="minorHAnsi"/>
          <w:sz w:val="20"/>
        </w:rPr>
        <w:t>3</w:t>
      </w:r>
      <w:r w:rsidRPr="006D2B8D">
        <w:rPr>
          <w:rFonts w:cstheme="minorHAnsi"/>
          <w:sz w:val="20"/>
        </w:rPr>
        <w:t>;</w:t>
      </w:r>
    </w:p>
    <w:p w14:paraId="74EF2793" w14:textId="680B317B" w:rsidR="00703D25" w:rsidRPr="006D2B8D" w:rsidRDefault="00703D25" w:rsidP="00C000AF">
      <w:pPr>
        <w:numPr>
          <w:ilvl w:val="0"/>
          <w:numId w:val="10"/>
        </w:numPr>
        <w:autoSpaceDE w:val="0"/>
        <w:autoSpaceDN w:val="0"/>
        <w:spacing w:before="120"/>
        <w:ind w:left="714" w:hanging="357"/>
        <w:jc w:val="both"/>
        <w:rPr>
          <w:rFonts w:cstheme="minorHAnsi"/>
          <w:sz w:val="20"/>
        </w:rPr>
      </w:pPr>
      <w:r w:rsidRPr="006D2B8D">
        <w:rPr>
          <w:rFonts w:cstheme="minorHAnsi"/>
          <w:sz w:val="20"/>
        </w:rPr>
        <w:t>Após análise do valor recuperável pela Infra S.A. referente à Ferrovia Norte Sul</w:t>
      </w:r>
      <w:r w:rsidR="00377FB3">
        <w:rPr>
          <w:rFonts w:cstheme="minorHAnsi"/>
          <w:sz w:val="20"/>
        </w:rPr>
        <w:t>,</w:t>
      </w:r>
      <w:r w:rsidRPr="006D2B8D">
        <w:rPr>
          <w:rFonts w:cstheme="minorHAnsi"/>
          <w:sz w:val="20"/>
        </w:rPr>
        <w:t xml:space="preserve"> já </w:t>
      </w:r>
      <w:proofErr w:type="spellStart"/>
      <w:r w:rsidRPr="006D2B8D">
        <w:rPr>
          <w:rFonts w:cstheme="minorHAnsi"/>
          <w:sz w:val="20"/>
        </w:rPr>
        <w:t>subconcedida</w:t>
      </w:r>
      <w:proofErr w:type="spellEnd"/>
      <w:r w:rsidRPr="006D2B8D">
        <w:rPr>
          <w:rFonts w:cstheme="minorHAnsi"/>
          <w:sz w:val="20"/>
        </w:rPr>
        <w:t xml:space="preserve"> pelo período de 30 anos, foi realizado o reconhecimento da provisão de perda ao valor recuperável no ativo imobilizado da empresa, em consonância com o CPC 01 (R1) – Redução ao Valor Recuperável de Ativos;</w:t>
      </w:r>
    </w:p>
    <w:p w14:paraId="15CE38AD" w14:textId="3C56DBAA" w:rsidR="00703D25" w:rsidRPr="006D2B8D" w:rsidRDefault="00703D25" w:rsidP="00C000AF">
      <w:pPr>
        <w:numPr>
          <w:ilvl w:val="0"/>
          <w:numId w:val="10"/>
        </w:numPr>
        <w:autoSpaceDE w:val="0"/>
        <w:autoSpaceDN w:val="0"/>
        <w:spacing w:before="120"/>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01 (R1) – Redução ao Valor Recuperável de Ativos;</w:t>
      </w:r>
    </w:p>
    <w:p w14:paraId="23610B82" w14:textId="36FE2EAA" w:rsidR="00703D25" w:rsidRPr="006D2B8D" w:rsidRDefault="00703D25" w:rsidP="00C000AF">
      <w:pPr>
        <w:numPr>
          <w:ilvl w:val="0"/>
          <w:numId w:val="10"/>
        </w:numPr>
        <w:autoSpaceDE w:val="0"/>
        <w:autoSpaceDN w:val="0"/>
        <w:spacing w:before="120"/>
        <w:ind w:left="714" w:hanging="357"/>
        <w:jc w:val="both"/>
        <w:rPr>
          <w:rFonts w:cstheme="minorHAnsi"/>
          <w:sz w:val="20"/>
        </w:rPr>
      </w:pPr>
      <w:r w:rsidRPr="006D2B8D">
        <w:rPr>
          <w:rFonts w:cstheme="minorHAnsi"/>
          <w:sz w:val="20"/>
        </w:rPr>
        <w:t>O ativo intangível</w:t>
      </w:r>
      <w:r w:rsidR="00C56C2B">
        <w:rPr>
          <w:rFonts w:cstheme="minorHAnsi"/>
          <w:sz w:val="20"/>
        </w:rPr>
        <w:t>,</w:t>
      </w:r>
      <w:r w:rsidRPr="006D2B8D">
        <w:rPr>
          <w:rFonts w:cstheme="minorHAnsi"/>
          <w:sz w:val="20"/>
        </w:rPr>
        <w:t xml:space="preserve"> composto por direito de uso e programas de software, conforme Nota </w:t>
      </w:r>
      <w:r w:rsidR="001177CE">
        <w:rPr>
          <w:rFonts w:cstheme="minorHAnsi"/>
          <w:sz w:val="20"/>
        </w:rPr>
        <w:t xml:space="preserve">Explicativa </w:t>
      </w:r>
      <w:r w:rsidRPr="006D2B8D">
        <w:rPr>
          <w:rFonts w:cstheme="minorHAnsi"/>
          <w:sz w:val="20"/>
        </w:rPr>
        <w:t>1</w:t>
      </w:r>
      <w:r w:rsidR="004574DE" w:rsidRPr="006D2B8D">
        <w:rPr>
          <w:rFonts w:cstheme="minorHAnsi"/>
          <w:sz w:val="20"/>
        </w:rPr>
        <w:t>4</w:t>
      </w:r>
      <w:r w:rsidRPr="006D2B8D">
        <w:rPr>
          <w:rFonts w:cstheme="minorHAnsi"/>
          <w:sz w:val="20"/>
        </w:rPr>
        <w:t xml:space="preserve">, é demonstrado pelo custo de aquisição deduzido das respectivas amortizações acumuladas, calculadas pelo método linear de acordo com a legislação </w:t>
      </w:r>
      <w:r w:rsidR="00C56C2B">
        <w:rPr>
          <w:rFonts w:cstheme="minorHAnsi"/>
          <w:sz w:val="20"/>
        </w:rPr>
        <w:t xml:space="preserve">aplicável, </w:t>
      </w:r>
      <w:r w:rsidRPr="006D2B8D">
        <w:rPr>
          <w:rFonts w:cstheme="minorHAnsi"/>
          <w:sz w:val="20"/>
        </w:rPr>
        <w:t xml:space="preserve">e são mantidas neste grupo até a efetiva baixa. Além disso também são registrados nessa </w:t>
      </w:r>
      <w:r w:rsidRPr="006D2B8D">
        <w:rPr>
          <w:rFonts w:cstheme="minorHAnsi"/>
          <w:sz w:val="20"/>
        </w:rPr>
        <w:lastRenderedPageBreak/>
        <w:t>rubrica os estudos e projetos em andamento, advindos da incorporação da EPL, tendo em vista o disposto no CPC 04 (R1) - Ativo Intangível;</w:t>
      </w:r>
    </w:p>
    <w:p w14:paraId="5D0338B7" w14:textId="6CD5B4F8" w:rsidR="00703D25" w:rsidRPr="006D2B8D" w:rsidRDefault="00703D25" w:rsidP="00C000AF">
      <w:pPr>
        <w:numPr>
          <w:ilvl w:val="0"/>
          <w:numId w:val="10"/>
        </w:numPr>
        <w:autoSpaceDE w:val="0"/>
        <w:autoSpaceDN w:val="0"/>
        <w:spacing w:before="120"/>
        <w:ind w:left="714" w:hanging="357"/>
        <w:jc w:val="both"/>
        <w:rPr>
          <w:rFonts w:cstheme="minorHAnsi"/>
          <w:sz w:val="20"/>
        </w:rPr>
      </w:pPr>
      <w:r w:rsidRPr="006D2B8D">
        <w:rPr>
          <w:rFonts w:cstheme="minorHAnsi"/>
          <w:sz w:val="20"/>
        </w:rPr>
        <w:t>As provisões para contingências são contabilizadas, com base na posição da Procuradoria Jurídica, a qual é formulada a</w:t>
      </w:r>
      <w:r w:rsidR="00B768AF">
        <w:rPr>
          <w:rFonts w:cstheme="minorHAnsi"/>
          <w:sz w:val="20"/>
        </w:rPr>
        <w:t xml:space="preserve"> partir da</w:t>
      </w:r>
      <w:r w:rsidRPr="006D2B8D">
        <w:rPr>
          <w:rFonts w:cstheme="minorHAnsi"/>
          <w:sz w:val="20"/>
        </w:rPr>
        <w:t xml:space="preserve"> análise técnica individual dos advogados, quando for considerado provável o risco de perda de uma ação judicial ou administrativa, e sempre que os montantes envolvidos forem mensuráveis com suficiente segurança, conforme Nota </w:t>
      </w:r>
      <w:r w:rsidR="001177CE">
        <w:rPr>
          <w:rFonts w:cstheme="minorHAnsi"/>
          <w:sz w:val="20"/>
        </w:rPr>
        <w:t>Explicativa 2</w:t>
      </w:r>
      <w:r w:rsidR="00BB5D8C">
        <w:rPr>
          <w:rFonts w:cstheme="minorHAnsi"/>
          <w:sz w:val="20"/>
        </w:rPr>
        <w:t>2</w:t>
      </w:r>
      <w:r w:rsidRPr="006D2B8D">
        <w:rPr>
          <w:rFonts w:cstheme="minorHAnsi"/>
          <w:sz w:val="20"/>
        </w:rPr>
        <w:t>. As provisões classificadas como perdas possíveis pela Procuradoria Jurídica são divulgadas com base na perda histórica, enquanto aquelas classificadas como perda remota não são passíveis de provisão e divulgação, atendendo ao disposto no CPC 25 – Provisões, Passivos Contingentes e Ativos Contingentes</w:t>
      </w:r>
      <w:r w:rsidR="003B4BE2">
        <w:rPr>
          <w:rFonts w:cstheme="minorHAnsi"/>
          <w:sz w:val="20"/>
        </w:rPr>
        <w:t>;</w:t>
      </w:r>
    </w:p>
    <w:p w14:paraId="02A63596" w14:textId="77777777" w:rsidR="007C0418" w:rsidRDefault="00314A17" w:rsidP="007C0418">
      <w:pPr>
        <w:pStyle w:val="PargrafodaLista"/>
        <w:numPr>
          <w:ilvl w:val="0"/>
          <w:numId w:val="10"/>
        </w:numPr>
        <w:spacing w:before="120"/>
        <w:ind w:left="700"/>
        <w:jc w:val="both"/>
        <w:rPr>
          <w:rFonts w:cstheme="minorHAnsi"/>
          <w:sz w:val="20"/>
        </w:rPr>
      </w:pPr>
      <w:r w:rsidRPr="007C0418">
        <w:rPr>
          <w:rFonts w:cstheme="minorHAnsi"/>
          <w:sz w:val="20"/>
        </w:rPr>
        <w:t>A divulgação das partes relacionadas segue as disposições do Pronunciamento Técnico CPC 05 (R1) – Divulgação sobre Partes Relacionadas</w:t>
      </w:r>
      <w:r w:rsidR="008C1128" w:rsidRPr="007C0418">
        <w:rPr>
          <w:rFonts w:cstheme="minorHAnsi"/>
          <w:sz w:val="20"/>
        </w:rPr>
        <w:t>;</w:t>
      </w:r>
    </w:p>
    <w:p w14:paraId="7B54C5B7" w14:textId="04004329" w:rsidR="008C1128" w:rsidRPr="007C0418" w:rsidRDefault="008C1128" w:rsidP="00CA1867">
      <w:pPr>
        <w:pStyle w:val="PargrafodaLista"/>
        <w:numPr>
          <w:ilvl w:val="0"/>
          <w:numId w:val="10"/>
        </w:numPr>
        <w:spacing w:before="120" w:after="0"/>
        <w:ind w:left="700"/>
        <w:jc w:val="both"/>
        <w:rPr>
          <w:rFonts w:cstheme="minorHAnsi"/>
          <w:sz w:val="20"/>
        </w:rPr>
      </w:pPr>
      <w:r w:rsidRPr="007C0418">
        <w:rPr>
          <w:rFonts w:cstheme="minorHAnsi"/>
          <w:sz w:val="20"/>
        </w:rPr>
        <w:t>Para melhor apresentação das Demonstrações Financeiras, e maior aderência ao sistema contábil implantado pela Infra S.A.</w:t>
      </w:r>
      <w:r w:rsidR="00BC7E03" w:rsidRPr="007C0418">
        <w:rPr>
          <w:rFonts w:cstheme="minorHAnsi"/>
          <w:sz w:val="20"/>
        </w:rPr>
        <w:t xml:space="preserve">, </w:t>
      </w:r>
      <w:r w:rsidR="00146149" w:rsidRPr="007C0418">
        <w:rPr>
          <w:rFonts w:cstheme="minorHAnsi"/>
          <w:sz w:val="20"/>
        </w:rPr>
        <w:t>a partir do segundo trimestre de 202</w:t>
      </w:r>
      <w:r w:rsidR="00E14DA2">
        <w:rPr>
          <w:rFonts w:cstheme="minorHAnsi"/>
          <w:sz w:val="20"/>
        </w:rPr>
        <w:t>3</w:t>
      </w:r>
      <w:r w:rsidR="00146149" w:rsidRPr="007C0418">
        <w:rPr>
          <w:rFonts w:cstheme="minorHAnsi"/>
          <w:sz w:val="20"/>
        </w:rPr>
        <w:t xml:space="preserve"> foram realizadas </w:t>
      </w:r>
      <w:r w:rsidR="00BC7E03" w:rsidRPr="007C0418">
        <w:rPr>
          <w:rFonts w:cstheme="minorHAnsi"/>
          <w:sz w:val="20"/>
        </w:rPr>
        <w:t xml:space="preserve">alterações na forma de apresentação </w:t>
      </w:r>
      <w:r w:rsidR="00EF393B" w:rsidRPr="007C0418">
        <w:rPr>
          <w:rFonts w:cstheme="minorHAnsi"/>
          <w:sz w:val="20"/>
        </w:rPr>
        <w:t>de algumas</w:t>
      </w:r>
      <w:r w:rsidR="005C0A78" w:rsidRPr="007C0418">
        <w:rPr>
          <w:rFonts w:cstheme="minorHAnsi"/>
          <w:sz w:val="20"/>
        </w:rPr>
        <w:t xml:space="preserve"> d</w:t>
      </w:r>
      <w:r w:rsidR="00EF393B" w:rsidRPr="007C0418">
        <w:rPr>
          <w:rFonts w:cstheme="minorHAnsi"/>
          <w:sz w:val="20"/>
        </w:rPr>
        <w:t>emonstrações</w:t>
      </w:r>
      <w:r w:rsidR="00BC7E03" w:rsidRPr="007C0418">
        <w:rPr>
          <w:rFonts w:cstheme="minorHAnsi"/>
          <w:sz w:val="20"/>
        </w:rPr>
        <w:t>. Assim,</w:t>
      </w:r>
      <w:r w:rsidR="00EF393B" w:rsidRPr="007C0418">
        <w:rPr>
          <w:rFonts w:cstheme="minorHAnsi"/>
          <w:sz w:val="20"/>
        </w:rPr>
        <w:t xml:space="preserve"> as reclassificações </w:t>
      </w:r>
      <w:r w:rsidR="004A292F" w:rsidRPr="007C0418">
        <w:rPr>
          <w:rFonts w:cstheme="minorHAnsi"/>
          <w:sz w:val="20"/>
        </w:rPr>
        <w:t>d</w:t>
      </w:r>
      <w:r w:rsidRPr="007C0418">
        <w:rPr>
          <w:rFonts w:cstheme="minorHAnsi"/>
          <w:sz w:val="20"/>
        </w:rPr>
        <w:t xml:space="preserve">o </w:t>
      </w:r>
      <w:r w:rsidR="00B82CB7" w:rsidRPr="007C0418">
        <w:rPr>
          <w:rFonts w:cstheme="minorHAnsi"/>
          <w:sz w:val="20"/>
        </w:rPr>
        <w:t>primeiro</w:t>
      </w:r>
      <w:r w:rsidRPr="007C0418">
        <w:rPr>
          <w:rFonts w:cstheme="minorHAnsi"/>
          <w:sz w:val="20"/>
        </w:rPr>
        <w:t xml:space="preserve"> </w:t>
      </w:r>
      <w:r w:rsidR="00B82CB7" w:rsidRPr="007C0418">
        <w:rPr>
          <w:rFonts w:cstheme="minorHAnsi"/>
          <w:sz w:val="20"/>
        </w:rPr>
        <w:t>trimestre</w:t>
      </w:r>
      <w:r w:rsidRPr="007C0418">
        <w:rPr>
          <w:rFonts w:cstheme="minorHAnsi"/>
          <w:sz w:val="20"/>
        </w:rPr>
        <w:t xml:space="preserve"> </w:t>
      </w:r>
      <w:r w:rsidR="004A292F" w:rsidRPr="007C0418">
        <w:rPr>
          <w:rFonts w:cstheme="minorHAnsi"/>
          <w:sz w:val="20"/>
        </w:rPr>
        <w:t>estão apresentadas</w:t>
      </w:r>
      <w:r w:rsidRPr="007C0418">
        <w:rPr>
          <w:rFonts w:cstheme="minorHAnsi"/>
          <w:sz w:val="20"/>
        </w:rPr>
        <w:t xml:space="preserve"> conforme Anexo I deste documento.</w:t>
      </w:r>
    </w:p>
    <w:p w14:paraId="3E8D6195" w14:textId="77777777" w:rsidR="008C1128" w:rsidRPr="00CA1867" w:rsidRDefault="008C1128" w:rsidP="00CA1867">
      <w:pPr>
        <w:spacing w:after="0"/>
        <w:rPr>
          <w:rFonts w:cstheme="minorHAnsi"/>
          <w:sz w:val="20"/>
        </w:rPr>
      </w:pPr>
    </w:p>
    <w:p w14:paraId="58FB2306" w14:textId="4FA07C23" w:rsidR="00E71553" w:rsidRPr="006D2B8D" w:rsidRDefault="00E71553" w:rsidP="006D2B8D">
      <w:pPr>
        <w:pStyle w:val="Ttulo1"/>
      </w:pPr>
      <w:bookmarkStart w:id="19" w:name="_Toc152230723"/>
      <w:bookmarkStart w:id="20" w:name="_Toc184926666"/>
      <w:r w:rsidRPr="006D2B8D">
        <w:t xml:space="preserve">3 – </w:t>
      </w:r>
      <w:r w:rsidR="00EA0857" w:rsidRPr="006D2B8D">
        <w:t>Caixa e Equivalente</w:t>
      </w:r>
      <w:r w:rsidR="005B4F5C" w:rsidRPr="006D2B8D">
        <w:t>s</w:t>
      </w:r>
      <w:r w:rsidR="00EA0857" w:rsidRPr="006D2B8D">
        <w:t xml:space="preserve"> de Caixa</w:t>
      </w:r>
      <w:bookmarkEnd w:id="19"/>
      <w:bookmarkEnd w:id="20"/>
      <w:r w:rsidR="00EA0857" w:rsidRPr="006D2B8D">
        <w:t xml:space="preserve"> </w:t>
      </w:r>
    </w:p>
    <w:p w14:paraId="357B7BAA" w14:textId="3954BDAB" w:rsidR="00E71553" w:rsidRPr="006D2B8D" w:rsidRDefault="00E71553" w:rsidP="00E04F57">
      <w:pPr>
        <w:spacing w:before="120"/>
        <w:jc w:val="both"/>
        <w:rPr>
          <w:rFonts w:cstheme="minorHAnsi"/>
          <w:sz w:val="20"/>
          <w:szCs w:val="20"/>
        </w:rPr>
      </w:pPr>
      <w:r w:rsidRPr="006D2B8D">
        <w:rPr>
          <w:rFonts w:cstheme="minorHAnsi"/>
          <w:sz w:val="20"/>
          <w:szCs w:val="20"/>
        </w:rPr>
        <w:t xml:space="preserve">Nesta conta </w:t>
      </w:r>
      <w:r w:rsidR="00F557D2" w:rsidRPr="006D2B8D">
        <w:rPr>
          <w:rFonts w:cstheme="minorHAnsi"/>
          <w:sz w:val="20"/>
          <w:szCs w:val="20"/>
        </w:rPr>
        <w:t>são</w:t>
      </w:r>
      <w:r w:rsidRPr="006D2B8D">
        <w:rPr>
          <w:rFonts w:cstheme="minorHAnsi"/>
          <w:sz w:val="20"/>
          <w:szCs w:val="20"/>
        </w:rPr>
        <w:t xml:space="preserve"> registrado</w:t>
      </w:r>
      <w:r w:rsidR="00F557D2" w:rsidRPr="006D2B8D">
        <w:rPr>
          <w:rFonts w:cstheme="minorHAnsi"/>
          <w:sz w:val="20"/>
          <w:szCs w:val="20"/>
        </w:rPr>
        <w:t>s</w:t>
      </w:r>
      <w:r w:rsidRPr="006D2B8D">
        <w:rPr>
          <w:rFonts w:cstheme="minorHAnsi"/>
          <w:sz w:val="20"/>
          <w:szCs w:val="20"/>
        </w:rPr>
        <w:t xml:space="preserve"> o</w:t>
      </w:r>
      <w:r w:rsidR="00977375">
        <w:rPr>
          <w:rFonts w:cstheme="minorHAnsi"/>
          <w:sz w:val="20"/>
          <w:szCs w:val="20"/>
        </w:rPr>
        <w:t>s</w:t>
      </w:r>
      <w:r w:rsidRPr="006D2B8D">
        <w:rPr>
          <w:rFonts w:cstheme="minorHAnsi"/>
          <w:sz w:val="20"/>
          <w:szCs w:val="20"/>
        </w:rPr>
        <w:t xml:space="preserve"> valor</w:t>
      </w:r>
      <w:r w:rsidR="00977375">
        <w:rPr>
          <w:rFonts w:cstheme="minorHAnsi"/>
          <w:sz w:val="20"/>
          <w:szCs w:val="20"/>
        </w:rPr>
        <w:t>es</w:t>
      </w:r>
      <w:r w:rsidRPr="006D2B8D">
        <w:rPr>
          <w:rFonts w:cstheme="minorHAnsi"/>
          <w:sz w:val="20"/>
          <w:szCs w:val="20"/>
        </w:rPr>
        <w:t xml:space="preserve"> </w:t>
      </w:r>
      <w:r w:rsidR="00AD0DDB" w:rsidRPr="006D2B8D">
        <w:rPr>
          <w:rFonts w:cstheme="minorHAnsi"/>
          <w:sz w:val="20"/>
          <w:szCs w:val="20"/>
        </w:rPr>
        <w:t xml:space="preserve">da aplicação financeira e do </w:t>
      </w:r>
      <w:r w:rsidRPr="006D2B8D">
        <w:rPr>
          <w:rFonts w:cstheme="minorHAnsi"/>
          <w:sz w:val="20"/>
          <w:szCs w:val="20"/>
        </w:rPr>
        <w:t xml:space="preserve">limite de saque da Conta Única do Tesouro Nacional, </w:t>
      </w:r>
      <w:r w:rsidR="00AD0DDB" w:rsidRPr="006D2B8D">
        <w:rPr>
          <w:rFonts w:cstheme="minorHAnsi"/>
          <w:sz w:val="20"/>
          <w:szCs w:val="20"/>
        </w:rPr>
        <w:t xml:space="preserve">conforme </w:t>
      </w:r>
      <w:r w:rsidRPr="006D2B8D">
        <w:rPr>
          <w:rFonts w:cstheme="minorHAnsi"/>
          <w:sz w:val="20"/>
          <w:szCs w:val="20"/>
        </w:rPr>
        <w:t xml:space="preserve">estabelecido pelo </w:t>
      </w:r>
      <w:r w:rsidR="00243041">
        <w:rPr>
          <w:rFonts w:cstheme="minorHAnsi"/>
          <w:sz w:val="20"/>
          <w:szCs w:val="20"/>
        </w:rPr>
        <w:t>Ó</w:t>
      </w:r>
      <w:r w:rsidRPr="006D2B8D">
        <w:rPr>
          <w:rFonts w:cstheme="minorHAnsi"/>
          <w:sz w:val="20"/>
          <w:szCs w:val="20"/>
        </w:rPr>
        <w:t xml:space="preserve">rgão </w:t>
      </w:r>
      <w:r w:rsidR="00243041">
        <w:rPr>
          <w:rFonts w:cstheme="minorHAnsi"/>
          <w:sz w:val="20"/>
          <w:szCs w:val="20"/>
        </w:rPr>
        <w:t>C</w:t>
      </w:r>
      <w:r w:rsidRPr="006D2B8D">
        <w:rPr>
          <w:rFonts w:cstheme="minorHAnsi"/>
          <w:sz w:val="20"/>
          <w:szCs w:val="20"/>
        </w:rPr>
        <w:t xml:space="preserve">entral de </w:t>
      </w:r>
      <w:r w:rsidR="00243041">
        <w:rPr>
          <w:rFonts w:cstheme="minorHAnsi"/>
          <w:sz w:val="20"/>
          <w:szCs w:val="20"/>
        </w:rPr>
        <w:t>P</w:t>
      </w:r>
      <w:r w:rsidRPr="006D2B8D">
        <w:rPr>
          <w:rFonts w:cstheme="minorHAnsi"/>
          <w:sz w:val="20"/>
          <w:szCs w:val="20"/>
        </w:rPr>
        <w:t xml:space="preserve">rogramação </w:t>
      </w:r>
      <w:r w:rsidR="00243041">
        <w:rPr>
          <w:rFonts w:cstheme="minorHAnsi"/>
          <w:sz w:val="20"/>
          <w:szCs w:val="20"/>
        </w:rPr>
        <w:t>F</w:t>
      </w:r>
      <w:r w:rsidRPr="006D2B8D">
        <w:rPr>
          <w:rFonts w:cstheme="minorHAnsi"/>
          <w:sz w:val="20"/>
          <w:szCs w:val="20"/>
        </w:rPr>
        <w:t>inanceira, para atender as despesas com vinculações de pagamentos</w:t>
      </w:r>
      <w:r w:rsidR="00F557D2" w:rsidRPr="006D2B8D">
        <w:rPr>
          <w:rFonts w:cstheme="minorHAnsi"/>
          <w:sz w:val="20"/>
          <w:szCs w:val="20"/>
        </w:rPr>
        <w:t>.</w:t>
      </w:r>
    </w:p>
    <w:p w14:paraId="5D440478" w14:textId="210A973A" w:rsidR="00E71553" w:rsidRPr="006D2B8D" w:rsidRDefault="00E71553" w:rsidP="00E04F57">
      <w:pPr>
        <w:spacing w:before="120"/>
        <w:jc w:val="both"/>
        <w:rPr>
          <w:rFonts w:cstheme="minorHAnsi"/>
          <w:sz w:val="20"/>
          <w:szCs w:val="20"/>
        </w:rPr>
      </w:pPr>
      <w:r w:rsidRPr="006D2B8D">
        <w:rPr>
          <w:rFonts w:cstheme="minorHAnsi"/>
          <w:sz w:val="20"/>
          <w:szCs w:val="20"/>
        </w:rPr>
        <w:t>Es</w:t>
      </w:r>
      <w:r w:rsidR="00F557D2" w:rsidRPr="006D2B8D">
        <w:rPr>
          <w:rFonts w:cstheme="minorHAnsi"/>
          <w:sz w:val="20"/>
          <w:szCs w:val="20"/>
        </w:rPr>
        <w:t>s</w:t>
      </w:r>
      <w:r w:rsidRPr="006D2B8D">
        <w:rPr>
          <w:rFonts w:cstheme="minorHAnsi"/>
          <w:sz w:val="20"/>
          <w:szCs w:val="20"/>
        </w:rPr>
        <w:t>a conta apresent</w:t>
      </w:r>
      <w:r w:rsidR="00134A8B">
        <w:rPr>
          <w:rFonts w:cstheme="minorHAnsi"/>
          <w:sz w:val="20"/>
          <w:szCs w:val="20"/>
        </w:rPr>
        <w:t>ou</w:t>
      </w:r>
      <w:r w:rsidRPr="006D2B8D">
        <w:rPr>
          <w:rFonts w:cstheme="minorHAnsi"/>
          <w:sz w:val="20"/>
          <w:szCs w:val="20"/>
        </w:rPr>
        <w:t xml:space="preserve"> o seguinte saldo</w:t>
      </w:r>
      <w:r w:rsidR="00243041">
        <w:rPr>
          <w:rFonts w:cstheme="minorHAnsi"/>
          <w:sz w:val="20"/>
          <w:szCs w:val="20"/>
        </w:rPr>
        <w:t>,</w:t>
      </w:r>
      <w:r w:rsidRPr="006D2B8D">
        <w:rPr>
          <w:rFonts w:cstheme="minorHAnsi"/>
          <w:sz w:val="20"/>
          <w:szCs w:val="20"/>
        </w:rPr>
        <w:t xml:space="preserve"> em 3</w:t>
      </w:r>
      <w:r w:rsidR="00134A8B">
        <w:rPr>
          <w:rFonts w:cstheme="minorHAnsi"/>
          <w:sz w:val="20"/>
          <w:szCs w:val="20"/>
        </w:rPr>
        <w:t>1</w:t>
      </w:r>
      <w:r w:rsidRPr="006D2B8D">
        <w:rPr>
          <w:rFonts w:cstheme="minorHAnsi"/>
          <w:sz w:val="20"/>
          <w:szCs w:val="20"/>
        </w:rPr>
        <w:t xml:space="preserve"> de </w:t>
      </w:r>
      <w:r w:rsidR="00A317D9">
        <w:rPr>
          <w:rFonts w:cstheme="minorHAnsi"/>
          <w:sz w:val="20"/>
          <w:szCs w:val="20"/>
        </w:rPr>
        <w:t>março</w:t>
      </w:r>
      <w:r w:rsidRPr="006D2B8D">
        <w:rPr>
          <w:rFonts w:cstheme="minorHAnsi"/>
          <w:sz w:val="20"/>
          <w:szCs w:val="20"/>
        </w:rPr>
        <w:t xml:space="preserve"> de 202</w:t>
      </w:r>
      <w:r w:rsidR="00A317D9">
        <w:rPr>
          <w:rFonts w:cstheme="minorHAnsi"/>
          <w:sz w:val="20"/>
          <w:szCs w:val="20"/>
        </w:rPr>
        <w:t>4</w:t>
      </w:r>
      <w:r w:rsidRPr="006D2B8D">
        <w:rPr>
          <w:rFonts w:cstheme="minorHAnsi"/>
          <w:sz w:val="20"/>
          <w:szCs w:val="20"/>
        </w:rPr>
        <w:t>:</w:t>
      </w:r>
    </w:p>
    <w:tbl>
      <w:tblPr>
        <w:tblW w:w="5000" w:type="pct"/>
        <w:tblCellMar>
          <w:left w:w="70" w:type="dxa"/>
          <w:right w:w="70" w:type="dxa"/>
        </w:tblCellMar>
        <w:tblLook w:val="04A0" w:firstRow="1" w:lastRow="0" w:firstColumn="1" w:lastColumn="0" w:noHBand="0" w:noVBand="1"/>
      </w:tblPr>
      <w:tblGrid>
        <w:gridCol w:w="1443"/>
        <w:gridCol w:w="6576"/>
        <w:gridCol w:w="1224"/>
        <w:gridCol w:w="1224"/>
      </w:tblGrid>
      <w:tr w:rsidR="00265547" w:rsidRPr="00265547" w14:paraId="387CCC79" w14:textId="77777777" w:rsidTr="00D97C15">
        <w:trPr>
          <w:trHeight w:val="227"/>
        </w:trPr>
        <w:tc>
          <w:tcPr>
            <w:tcW w:w="1337" w:type="dxa"/>
            <w:tcBorders>
              <w:top w:val="nil"/>
              <w:left w:val="nil"/>
              <w:bottom w:val="single" w:sz="8" w:space="0" w:color="auto"/>
              <w:right w:val="nil"/>
            </w:tcBorders>
            <w:shd w:val="clear" w:color="000000" w:fill="DEEAF6"/>
            <w:noWrap/>
            <w:vAlign w:val="center"/>
            <w:hideMark/>
          </w:tcPr>
          <w:p w14:paraId="746C73C2" w14:textId="77777777" w:rsidR="00265547" w:rsidRPr="00265547" w:rsidRDefault="00265547" w:rsidP="00265547">
            <w:pPr>
              <w:spacing w:after="0" w:line="240" w:lineRule="auto"/>
              <w:jc w:val="center"/>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Vinculação</w:t>
            </w:r>
          </w:p>
        </w:tc>
        <w:tc>
          <w:tcPr>
            <w:tcW w:w="6092" w:type="dxa"/>
            <w:tcBorders>
              <w:top w:val="nil"/>
              <w:left w:val="nil"/>
              <w:bottom w:val="single" w:sz="8" w:space="0" w:color="auto"/>
              <w:right w:val="nil"/>
            </w:tcBorders>
            <w:shd w:val="clear" w:color="000000" w:fill="DEEAF6"/>
            <w:noWrap/>
            <w:vAlign w:val="center"/>
            <w:hideMark/>
          </w:tcPr>
          <w:p w14:paraId="7FA1E211" w14:textId="77777777" w:rsidR="00265547" w:rsidRPr="00265547" w:rsidRDefault="00265547" w:rsidP="00265547">
            <w:pPr>
              <w:spacing w:after="0" w:line="240" w:lineRule="auto"/>
              <w:jc w:val="both"/>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Descrição da Vinculação</w:t>
            </w:r>
          </w:p>
        </w:tc>
        <w:tc>
          <w:tcPr>
            <w:tcW w:w="1134" w:type="dxa"/>
            <w:tcBorders>
              <w:top w:val="nil"/>
              <w:left w:val="nil"/>
              <w:bottom w:val="single" w:sz="8" w:space="0" w:color="auto"/>
              <w:right w:val="nil"/>
            </w:tcBorders>
            <w:shd w:val="clear" w:color="000000" w:fill="DEEAF6"/>
            <w:noWrap/>
            <w:vAlign w:val="center"/>
            <w:hideMark/>
          </w:tcPr>
          <w:p w14:paraId="006AAB7A"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noWrap/>
            <w:vAlign w:val="center"/>
            <w:hideMark/>
          </w:tcPr>
          <w:p w14:paraId="17412032"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31/12/2023</w:t>
            </w:r>
          </w:p>
        </w:tc>
      </w:tr>
      <w:tr w:rsidR="00265547" w:rsidRPr="00265547" w14:paraId="2BDDBC88" w14:textId="77777777" w:rsidTr="00D97C15">
        <w:trPr>
          <w:trHeight w:val="227"/>
        </w:trPr>
        <w:tc>
          <w:tcPr>
            <w:tcW w:w="1337" w:type="dxa"/>
            <w:tcBorders>
              <w:top w:val="nil"/>
              <w:left w:val="nil"/>
              <w:bottom w:val="nil"/>
              <w:right w:val="nil"/>
            </w:tcBorders>
            <w:shd w:val="clear" w:color="000000" w:fill="FFFFFF"/>
            <w:noWrap/>
            <w:vAlign w:val="center"/>
            <w:hideMark/>
          </w:tcPr>
          <w:p w14:paraId="26BD06AD"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w:t>
            </w:r>
          </w:p>
        </w:tc>
        <w:tc>
          <w:tcPr>
            <w:tcW w:w="6092" w:type="dxa"/>
            <w:tcBorders>
              <w:top w:val="nil"/>
              <w:left w:val="nil"/>
              <w:bottom w:val="nil"/>
              <w:right w:val="nil"/>
            </w:tcBorders>
            <w:shd w:val="clear" w:color="000000" w:fill="FFFFFF"/>
            <w:noWrap/>
            <w:vAlign w:val="center"/>
            <w:hideMark/>
          </w:tcPr>
          <w:p w14:paraId="3CB5EC5F"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Recurso Aplicado</w:t>
            </w:r>
          </w:p>
        </w:tc>
        <w:tc>
          <w:tcPr>
            <w:tcW w:w="1134" w:type="dxa"/>
            <w:tcBorders>
              <w:top w:val="nil"/>
              <w:left w:val="nil"/>
              <w:bottom w:val="nil"/>
              <w:right w:val="nil"/>
            </w:tcBorders>
            <w:shd w:val="clear" w:color="auto" w:fill="auto"/>
            <w:noWrap/>
            <w:vAlign w:val="center"/>
            <w:hideMark/>
          </w:tcPr>
          <w:p w14:paraId="2A39C3F7"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149.212.857</w:t>
            </w:r>
          </w:p>
        </w:tc>
        <w:tc>
          <w:tcPr>
            <w:tcW w:w="1134" w:type="dxa"/>
            <w:tcBorders>
              <w:top w:val="nil"/>
              <w:left w:val="nil"/>
              <w:bottom w:val="nil"/>
              <w:right w:val="nil"/>
            </w:tcBorders>
            <w:shd w:val="clear" w:color="auto" w:fill="auto"/>
            <w:noWrap/>
            <w:vAlign w:val="center"/>
            <w:hideMark/>
          </w:tcPr>
          <w:p w14:paraId="051FB134"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145.392.044</w:t>
            </w:r>
          </w:p>
        </w:tc>
      </w:tr>
      <w:tr w:rsidR="00265547" w:rsidRPr="00265547" w14:paraId="621CED97" w14:textId="77777777" w:rsidTr="00D97C15">
        <w:trPr>
          <w:trHeight w:val="227"/>
        </w:trPr>
        <w:tc>
          <w:tcPr>
            <w:tcW w:w="1337" w:type="dxa"/>
            <w:tcBorders>
              <w:top w:val="nil"/>
              <w:left w:val="nil"/>
              <w:bottom w:val="nil"/>
              <w:right w:val="nil"/>
            </w:tcBorders>
            <w:shd w:val="clear" w:color="000000" w:fill="FFFFFF"/>
            <w:noWrap/>
            <w:vAlign w:val="center"/>
            <w:hideMark/>
          </w:tcPr>
          <w:p w14:paraId="7496806D"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w:t>
            </w:r>
          </w:p>
        </w:tc>
        <w:tc>
          <w:tcPr>
            <w:tcW w:w="6092" w:type="dxa"/>
            <w:tcBorders>
              <w:top w:val="nil"/>
              <w:left w:val="nil"/>
              <w:bottom w:val="nil"/>
              <w:right w:val="nil"/>
            </w:tcBorders>
            <w:shd w:val="clear" w:color="000000" w:fill="FFFFFF"/>
            <w:noWrap/>
            <w:vAlign w:val="center"/>
            <w:hideMark/>
          </w:tcPr>
          <w:p w14:paraId="4CC9B954"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Rendimento</w:t>
            </w:r>
          </w:p>
        </w:tc>
        <w:tc>
          <w:tcPr>
            <w:tcW w:w="1134" w:type="dxa"/>
            <w:tcBorders>
              <w:top w:val="nil"/>
              <w:left w:val="nil"/>
              <w:bottom w:val="nil"/>
              <w:right w:val="nil"/>
            </w:tcBorders>
            <w:shd w:val="clear" w:color="auto" w:fill="auto"/>
            <w:noWrap/>
            <w:vAlign w:val="center"/>
            <w:hideMark/>
          </w:tcPr>
          <w:p w14:paraId="71D79C5C"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3.419.620</w:t>
            </w:r>
          </w:p>
        </w:tc>
        <w:tc>
          <w:tcPr>
            <w:tcW w:w="1134" w:type="dxa"/>
            <w:tcBorders>
              <w:top w:val="nil"/>
              <w:left w:val="nil"/>
              <w:bottom w:val="nil"/>
              <w:right w:val="nil"/>
            </w:tcBorders>
            <w:shd w:val="clear" w:color="auto" w:fill="auto"/>
            <w:noWrap/>
            <w:vAlign w:val="center"/>
            <w:hideMark/>
          </w:tcPr>
          <w:p w14:paraId="7796753F"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10.158.076</w:t>
            </w:r>
          </w:p>
        </w:tc>
      </w:tr>
      <w:tr w:rsidR="00265547" w:rsidRPr="00265547" w14:paraId="653F0126" w14:textId="77777777" w:rsidTr="00D97C15">
        <w:trPr>
          <w:trHeight w:val="227"/>
        </w:trPr>
        <w:tc>
          <w:tcPr>
            <w:tcW w:w="1337" w:type="dxa"/>
            <w:tcBorders>
              <w:top w:val="nil"/>
              <w:left w:val="nil"/>
              <w:bottom w:val="single" w:sz="8" w:space="0" w:color="auto"/>
              <w:right w:val="nil"/>
            </w:tcBorders>
            <w:shd w:val="clear" w:color="000000" w:fill="FFFFFF"/>
            <w:noWrap/>
            <w:vAlign w:val="center"/>
            <w:hideMark/>
          </w:tcPr>
          <w:p w14:paraId="0AD3B5DE"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w:t>
            </w:r>
          </w:p>
        </w:tc>
        <w:tc>
          <w:tcPr>
            <w:tcW w:w="6092" w:type="dxa"/>
            <w:tcBorders>
              <w:top w:val="nil"/>
              <w:left w:val="nil"/>
              <w:bottom w:val="single" w:sz="8" w:space="0" w:color="auto"/>
              <w:right w:val="nil"/>
            </w:tcBorders>
            <w:shd w:val="clear" w:color="000000" w:fill="FFFFFF"/>
            <w:noWrap/>
            <w:vAlign w:val="center"/>
            <w:hideMark/>
          </w:tcPr>
          <w:p w14:paraId="76F4AA5C"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Resgate</w:t>
            </w:r>
          </w:p>
        </w:tc>
        <w:tc>
          <w:tcPr>
            <w:tcW w:w="1134" w:type="dxa"/>
            <w:tcBorders>
              <w:top w:val="nil"/>
              <w:left w:val="nil"/>
              <w:bottom w:val="single" w:sz="8" w:space="0" w:color="auto"/>
              <w:right w:val="nil"/>
            </w:tcBorders>
            <w:shd w:val="clear" w:color="auto" w:fill="auto"/>
            <w:noWrap/>
            <w:vAlign w:val="center"/>
            <w:hideMark/>
          </w:tcPr>
          <w:p w14:paraId="23388BC7" w14:textId="6E42ACC2" w:rsidR="00265547" w:rsidRPr="00265547" w:rsidRDefault="007804FA" w:rsidP="00265547">
            <w:pPr>
              <w:spacing w:after="0" w:line="240" w:lineRule="auto"/>
              <w:jc w:val="right"/>
              <w:rPr>
                <w:rFonts w:ascii="Calibri" w:eastAsia="Times New Roman" w:hAnsi="Calibri" w:cs="Calibri"/>
                <w:color w:val="000000"/>
                <w:sz w:val="16"/>
                <w:szCs w:val="16"/>
              </w:rPr>
            </w:pPr>
            <w:r>
              <w:rPr>
                <w:rFonts w:ascii="Calibri" w:eastAsia="Times New Roman" w:hAnsi="Calibri" w:cstheme="minorHAnsi"/>
                <w:color w:val="000000"/>
                <w:sz w:val="16"/>
                <w:szCs w:val="16"/>
              </w:rPr>
              <w:t>(</w:t>
            </w:r>
            <w:r w:rsidR="00265547" w:rsidRPr="00265547">
              <w:rPr>
                <w:rFonts w:ascii="Calibri" w:eastAsia="Times New Roman" w:hAnsi="Calibri" w:cstheme="minorHAnsi"/>
                <w:color w:val="000000"/>
                <w:sz w:val="16"/>
                <w:szCs w:val="16"/>
              </w:rPr>
              <w:t>31.646.072</w:t>
            </w:r>
            <w:r>
              <w:rPr>
                <w:rFonts w:ascii="Calibri" w:eastAsia="Times New Roman" w:hAnsi="Calibri" w:cstheme="minorHAnsi"/>
                <w:color w:val="000000"/>
                <w:sz w:val="16"/>
                <w:szCs w:val="16"/>
              </w:rPr>
              <w:t>)</w:t>
            </w:r>
          </w:p>
        </w:tc>
        <w:tc>
          <w:tcPr>
            <w:tcW w:w="1134" w:type="dxa"/>
            <w:tcBorders>
              <w:top w:val="nil"/>
              <w:left w:val="nil"/>
              <w:bottom w:val="single" w:sz="8" w:space="0" w:color="auto"/>
              <w:right w:val="nil"/>
            </w:tcBorders>
            <w:shd w:val="clear" w:color="auto" w:fill="auto"/>
            <w:noWrap/>
            <w:vAlign w:val="center"/>
            <w:hideMark/>
          </w:tcPr>
          <w:p w14:paraId="4B570A9D" w14:textId="7590879C" w:rsidR="00265547" w:rsidRPr="00265547" w:rsidRDefault="007804FA" w:rsidP="00265547">
            <w:pPr>
              <w:spacing w:after="0" w:line="240" w:lineRule="auto"/>
              <w:jc w:val="right"/>
              <w:rPr>
                <w:rFonts w:ascii="Calibri" w:eastAsia="Times New Roman" w:hAnsi="Calibri" w:cs="Calibri"/>
                <w:color w:val="000000"/>
                <w:sz w:val="16"/>
                <w:szCs w:val="16"/>
              </w:rPr>
            </w:pPr>
            <w:r>
              <w:rPr>
                <w:rFonts w:ascii="Calibri" w:eastAsia="Times New Roman" w:hAnsi="Calibri" w:cstheme="minorHAnsi"/>
                <w:color w:val="000000"/>
                <w:sz w:val="16"/>
                <w:szCs w:val="16"/>
              </w:rPr>
              <w:t>(</w:t>
            </w:r>
            <w:r w:rsidR="00265547" w:rsidRPr="00265547">
              <w:rPr>
                <w:rFonts w:ascii="Calibri" w:eastAsia="Times New Roman" w:hAnsi="Calibri" w:cstheme="minorHAnsi"/>
                <w:color w:val="000000"/>
                <w:sz w:val="16"/>
                <w:szCs w:val="16"/>
              </w:rPr>
              <w:t>38.462.057</w:t>
            </w:r>
            <w:r>
              <w:rPr>
                <w:rFonts w:ascii="Calibri" w:eastAsia="Times New Roman" w:hAnsi="Calibri" w:cstheme="minorHAnsi"/>
                <w:color w:val="000000"/>
                <w:sz w:val="16"/>
                <w:szCs w:val="16"/>
              </w:rPr>
              <w:t>)</w:t>
            </w:r>
          </w:p>
        </w:tc>
      </w:tr>
      <w:tr w:rsidR="00265547" w:rsidRPr="00265547" w14:paraId="31E0FB67" w14:textId="77777777" w:rsidTr="00D97C15">
        <w:trPr>
          <w:trHeight w:val="227"/>
        </w:trPr>
        <w:tc>
          <w:tcPr>
            <w:tcW w:w="1337" w:type="dxa"/>
            <w:tcBorders>
              <w:top w:val="nil"/>
              <w:left w:val="nil"/>
              <w:bottom w:val="single" w:sz="8" w:space="0" w:color="auto"/>
              <w:right w:val="nil"/>
            </w:tcBorders>
            <w:shd w:val="clear" w:color="000000" w:fill="FFFFFF"/>
            <w:noWrap/>
            <w:vAlign w:val="center"/>
            <w:hideMark/>
          </w:tcPr>
          <w:p w14:paraId="3D1C0006" w14:textId="77777777" w:rsidR="00265547" w:rsidRPr="00265547" w:rsidRDefault="00265547" w:rsidP="00265547">
            <w:pPr>
              <w:spacing w:after="0" w:line="240" w:lineRule="auto"/>
              <w:jc w:val="center"/>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w:t>
            </w:r>
          </w:p>
        </w:tc>
        <w:tc>
          <w:tcPr>
            <w:tcW w:w="6092" w:type="dxa"/>
            <w:tcBorders>
              <w:top w:val="nil"/>
              <w:left w:val="nil"/>
              <w:bottom w:val="single" w:sz="8" w:space="0" w:color="auto"/>
              <w:right w:val="nil"/>
            </w:tcBorders>
            <w:shd w:val="clear" w:color="000000" w:fill="FFFFFF"/>
            <w:noWrap/>
            <w:vAlign w:val="center"/>
            <w:hideMark/>
          </w:tcPr>
          <w:p w14:paraId="7639AB43" w14:textId="77777777" w:rsidR="00265547" w:rsidRPr="00265547" w:rsidRDefault="00265547" w:rsidP="00265547">
            <w:pPr>
              <w:spacing w:after="0" w:line="240" w:lineRule="auto"/>
              <w:jc w:val="both"/>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Aplicação Financeira</w:t>
            </w:r>
          </w:p>
        </w:tc>
        <w:tc>
          <w:tcPr>
            <w:tcW w:w="1134" w:type="dxa"/>
            <w:tcBorders>
              <w:top w:val="nil"/>
              <w:left w:val="nil"/>
              <w:bottom w:val="single" w:sz="8" w:space="0" w:color="auto"/>
              <w:right w:val="nil"/>
            </w:tcBorders>
            <w:shd w:val="clear" w:color="auto" w:fill="auto"/>
            <w:noWrap/>
            <w:vAlign w:val="center"/>
            <w:hideMark/>
          </w:tcPr>
          <w:p w14:paraId="1D6C1550"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theme="minorHAnsi"/>
                <w:b/>
                <w:bCs/>
                <w:color w:val="000000"/>
                <w:sz w:val="16"/>
                <w:szCs w:val="16"/>
              </w:rPr>
              <w:t>120.986.405</w:t>
            </w:r>
          </w:p>
        </w:tc>
        <w:tc>
          <w:tcPr>
            <w:tcW w:w="1134" w:type="dxa"/>
            <w:tcBorders>
              <w:top w:val="nil"/>
              <w:left w:val="nil"/>
              <w:bottom w:val="single" w:sz="8" w:space="0" w:color="auto"/>
              <w:right w:val="nil"/>
            </w:tcBorders>
            <w:shd w:val="clear" w:color="auto" w:fill="auto"/>
            <w:noWrap/>
            <w:vAlign w:val="center"/>
            <w:hideMark/>
          </w:tcPr>
          <w:p w14:paraId="567A6E29"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theme="minorHAnsi"/>
                <w:b/>
                <w:bCs/>
                <w:color w:val="000000"/>
                <w:sz w:val="16"/>
                <w:szCs w:val="16"/>
              </w:rPr>
              <w:t>117.088.062</w:t>
            </w:r>
          </w:p>
        </w:tc>
      </w:tr>
      <w:tr w:rsidR="00265547" w:rsidRPr="00265547" w14:paraId="7DADD9B9" w14:textId="77777777" w:rsidTr="00D97C15">
        <w:trPr>
          <w:trHeight w:val="227"/>
        </w:trPr>
        <w:tc>
          <w:tcPr>
            <w:tcW w:w="1337" w:type="dxa"/>
            <w:tcBorders>
              <w:top w:val="nil"/>
              <w:left w:val="nil"/>
              <w:bottom w:val="nil"/>
              <w:right w:val="nil"/>
            </w:tcBorders>
            <w:shd w:val="clear" w:color="000000" w:fill="FFFFFF"/>
            <w:noWrap/>
            <w:vAlign w:val="center"/>
            <w:hideMark/>
          </w:tcPr>
          <w:p w14:paraId="1F197676"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130</w:t>
            </w:r>
          </w:p>
        </w:tc>
        <w:tc>
          <w:tcPr>
            <w:tcW w:w="6092" w:type="dxa"/>
            <w:tcBorders>
              <w:top w:val="nil"/>
              <w:left w:val="nil"/>
              <w:bottom w:val="nil"/>
              <w:right w:val="nil"/>
            </w:tcBorders>
            <w:shd w:val="clear" w:color="000000" w:fill="FFFFFF"/>
            <w:noWrap/>
            <w:vAlign w:val="center"/>
            <w:hideMark/>
          </w:tcPr>
          <w:p w14:paraId="2EE250C1"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Pessoal - Sentenças Judiciais</w:t>
            </w:r>
          </w:p>
        </w:tc>
        <w:tc>
          <w:tcPr>
            <w:tcW w:w="1134" w:type="dxa"/>
            <w:tcBorders>
              <w:top w:val="nil"/>
              <w:left w:val="nil"/>
              <w:bottom w:val="nil"/>
              <w:right w:val="nil"/>
            </w:tcBorders>
            <w:shd w:val="clear" w:color="auto" w:fill="auto"/>
            <w:noWrap/>
            <w:vAlign w:val="center"/>
            <w:hideMark/>
          </w:tcPr>
          <w:p w14:paraId="3B40C552"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Calibri"/>
                <w:color w:val="000000"/>
                <w:sz w:val="16"/>
                <w:szCs w:val="16"/>
              </w:rPr>
              <w:t>324.475</w:t>
            </w:r>
          </w:p>
        </w:tc>
        <w:tc>
          <w:tcPr>
            <w:tcW w:w="1134" w:type="dxa"/>
            <w:tcBorders>
              <w:top w:val="nil"/>
              <w:left w:val="nil"/>
              <w:bottom w:val="nil"/>
              <w:right w:val="nil"/>
            </w:tcBorders>
            <w:shd w:val="clear" w:color="auto" w:fill="auto"/>
            <w:noWrap/>
            <w:vAlign w:val="center"/>
            <w:hideMark/>
          </w:tcPr>
          <w:p w14:paraId="3EDEA006"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w:t>
            </w:r>
          </w:p>
        </w:tc>
      </w:tr>
      <w:tr w:rsidR="00265547" w:rsidRPr="00265547" w14:paraId="354E71B7" w14:textId="77777777" w:rsidTr="00D97C15">
        <w:trPr>
          <w:trHeight w:val="227"/>
        </w:trPr>
        <w:tc>
          <w:tcPr>
            <w:tcW w:w="1337" w:type="dxa"/>
            <w:tcBorders>
              <w:top w:val="nil"/>
              <w:left w:val="nil"/>
              <w:bottom w:val="nil"/>
              <w:right w:val="nil"/>
            </w:tcBorders>
            <w:shd w:val="clear" w:color="000000" w:fill="FFFFFF"/>
            <w:noWrap/>
            <w:vAlign w:val="center"/>
            <w:hideMark/>
          </w:tcPr>
          <w:p w14:paraId="11867C5B"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307</w:t>
            </w:r>
          </w:p>
        </w:tc>
        <w:tc>
          <w:tcPr>
            <w:tcW w:w="6092" w:type="dxa"/>
            <w:tcBorders>
              <w:top w:val="nil"/>
              <w:left w:val="nil"/>
              <w:bottom w:val="nil"/>
              <w:right w:val="nil"/>
            </w:tcBorders>
            <w:shd w:val="clear" w:color="000000" w:fill="FFFFFF"/>
            <w:noWrap/>
            <w:vAlign w:val="center"/>
            <w:hideMark/>
          </w:tcPr>
          <w:p w14:paraId="6F5D6322"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Outros Pagamentos de Pessoal - Órgãos Integrantes do SIAPE</w:t>
            </w:r>
          </w:p>
        </w:tc>
        <w:tc>
          <w:tcPr>
            <w:tcW w:w="1134" w:type="dxa"/>
            <w:tcBorders>
              <w:top w:val="nil"/>
              <w:left w:val="nil"/>
              <w:bottom w:val="nil"/>
              <w:right w:val="nil"/>
            </w:tcBorders>
            <w:shd w:val="clear" w:color="auto" w:fill="auto"/>
            <w:noWrap/>
            <w:vAlign w:val="center"/>
            <w:hideMark/>
          </w:tcPr>
          <w:p w14:paraId="6CB0F268"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313.418</w:t>
            </w:r>
          </w:p>
        </w:tc>
        <w:tc>
          <w:tcPr>
            <w:tcW w:w="1134" w:type="dxa"/>
            <w:tcBorders>
              <w:top w:val="nil"/>
              <w:left w:val="nil"/>
              <w:bottom w:val="nil"/>
              <w:right w:val="nil"/>
            </w:tcBorders>
            <w:shd w:val="clear" w:color="auto" w:fill="auto"/>
            <w:noWrap/>
            <w:vAlign w:val="center"/>
            <w:hideMark/>
          </w:tcPr>
          <w:p w14:paraId="5B505EB7"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824</w:t>
            </w:r>
          </w:p>
        </w:tc>
      </w:tr>
      <w:tr w:rsidR="00265547" w:rsidRPr="00265547" w14:paraId="1D01462F" w14:textId="77777777" w:rsidTr="00D97C15">
        <w:trPr>
          <w:trHeight w:val="227"/>
        </w:trPr>
        <w:tc>
          <w:tcPr>
            <w:tcW w:w="1337" w:type="dxa"/>
            <w:tcBorders>
              <w:top w:val="nil"/>
              <w:left w:val="nil"/>
              <w:bottom w:val="nil"/>
              <w:right w:val="nil"/>
            </w:tcBorders>
            <w:shd w:val="clear" w:color="000000" w:fill="FFFFFF"/>
            <w:noWrap/>
            <w:vAlign w:val="center"/>
            <w:hideMark/>
          </w:tcPr>
          <w:p w14:paraId="1D6D4E27"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308</w:t>
            </w:r>
          </w:p>
        </w:tc>
        <w:tc>
          <w:tcPr>
            <w:tcW w:w="6092" w:type="dxa"/>
            <w:tcBorders>
              <w:top w:val="nil"/>
              <w:left w:val="nil"/>
              <w:bottom w:val="nil"/>
              <w:right w:val="nil"/>
            </w:tcBorders>
            <w:shd w:val="clear" w:color="000000" w:fill="FFFFFF"/>
            <w:noWrap/>
            <w:vAlign w:val="center"/>
            <w:hideMark/>
          </w:tcPr>
          <w:p w14:paraId="055BEB63" w14:textId="5BAAA189"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 xml:space="preserve">Contribuição Previdência Fechada </w:t>
            </w:r>
          </w:p>
        </w:tc>
        <w:tc>
          <w:tcPr>
            <w:tcW w:w="1134" w:type="dxa"/>
            <w:tcBorders>
              <w:top w:val="nil"/>
              <w:left w:val="nil"/>
              <w:bottom w:val="nil"/>
              <w:right w:val="nil"/>
            </w:tcBorders>
            <w:shd w:val="clear" w:color="auto" w:fill="auto"/>
            <w:noWrap/>
            <w:vAlign w:val="center"/>
            <w:hideMark/>
          </w:tcPr>
          <w:p w14:paraId="3261F7CD"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65.531</w:t>
            </w:r>
          </w:p>
        </w:tc>
        <w:tc>
          <w:tcPr>
            <w:tcW w:w="1134" w:type="dxa"/>
            <w:tcBorders>
              <w:top w:val="nil"/>
              <w:left w:val="nil"/>
              <w:bottom w:val="nil"/>
              <w:right w:val="nil"/>
            </w:tcBorders>
            <w:shd w:val="clear" w:color="auto" w:fill="auto"/>
            <w:noWrap/>
            <w:vAlign w:val="center"/>
            <w:hideMark/>
          </w:tcPr>
          <w:p w14:paraId="736C4E35"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36.946</w:t>
            </w:r>
          </w:p>
        </w:tc>
      </w:tr>
      <w:tr w:rsidR="00265547" w:rsidRPr="00265547" w14:paraId="2D0245A7" w14:textId="77777777" w:rsidTr="00D97C15">
        <w:trPr>
          <w:trHeight w:val="227"/>
        </w:trPr>
        <w:tc>
          <w:tcPr>
            <w:tcW w:w="1337" w:type="dxa"/>
            <w:tcBorders>
              <w:top w:val="nil"/>
              <w:left w:val="nil"/>
              <w:bottom w:val="nil"/>
              <w:right w:val="nil"/>
            </w:tcBorders>
            <w:shd w:val="clear" w:color="000000" w:fill="FFFFFF"/>
            <w:noWrap/>
            <w:vAlign w:val="center"/>
            <w:hideMark/>
          </w:tcPr>
          <w:p w14:paraId="54EE4786"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310</w:t>
            </w:r>
          </w:p>
        </w:tc>
        <w:tc>
          <w:tcPr>
            <w:tcW w:w="6092" w:type="dxa"/>
            <w:tcBorders>
              <w:top w:val="nil"/>
              <w:left w:val="nil"/>
              <w:bottom w:val="nil"/>
              <w:right w:val="nil"/>
            </w:tcBorders>
            <w:shd w:val="clear" w:color="000000" w:fill="FFFFFF"/>
            <w:noWrap/>
            <w:vAlign w:val="center"/>
            <w:hideMark/>
          </w:tcPr>
          <w:p w14:paraId="543AC056" w14:textId="4E58AEEB" w:rsidR="00265547" w:rsidRPr="00265547" w:rsidRDefault="00265547" w:rsidP="00265547">
            <w:pPr>
              <w:spacing w:after="0" w:line="240" w:lineRule="auto"/>
              <w:rPr>
                <w:rFonts w:ascii="Calibri" w:eastAsia="Times New Roman" w:hAnsi="Calibri" w:cs="Calibri"/>
                <w:color w:val="000000"/>
                <w:sz w:val="16"/>
                <w:szCs w:val="16"/>
              </w:rPr>
            </w:pPr>
            <w:r w:rsidRPr="00265547">
              <w:rPr>
                <w:rFonts w:ascii="Calibri" w:eastAsia="Times New Roman" w:hAnsi="Calibri" w:cs="Calibri"/>
                <w:color w:val="000000"/>
                <w:sz w:val="16"/>
                <w:szCs w:val="16"/>
              </w:rPr>
              <w:t>Pagamento de Pessoal</w:t>
            </w:r>
          </w:p>
        </w:tc>
        <w:tc>
          <w:tcPr>
            <w:tcW w:w="1134" w:type="dxa"/>
            <w:tcBorders>
              <w:top w:val="nil"/>
              <w:left w:val="nil"/>
              <w:bottom w:val="nil"/>
              <w:right w:val="nil"/>
            </w:tcBorders>
            <w:shd w:val="clear" w:color="auto" w:fill="auto"/>
            <w:noWrap/>
            <w:vAlign w:val="center"/>
            <w:hideMark/>
          </w:tcPr>
          <w:p w14:paraId="6CF18938" w14:textId="20D2E281"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6.809.39</w:t>
            </w:r>
            <w:r w:rsidR="00767741">
              <w:rPr>
                <w:rFonts w:ascii="Calibri" w:eastAsia="Times New Roman" w:hAnsi="Calibri" w:cstheme="minorHAnsi"/>
                <w:color w:val="000000"/>
                <w:sz w:val="16"/>
                <w:szCs w:val="16"/>
              </w:rPr>
              <w:t>3</w:t>
            </w:r>
          </w:p>
        </w:tc>
        <w:tc>
          <w:tcPr>
            <w:tcW w:w="1134" w:type="dxa"/>
            <w:tcBorders>
              <w:top w:val="nil"/>
              <w:left w:val="nil"/>
              <w:bottom w:val="nil"/>
              <w:right w:val="nil"/>
            </w:tcBorders>
            <w:shd w:val="clear" w:color="auto" w:fill="auto"/>
            <w:noWrap/>
            <w:vAlign w:val="center"/>
            <w:hideMark/>
          </w:tcPr>
          <w:p w14:paraId="092A0B5B"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7.740.527</w:t>
            </w:r>
          </w:p>
        </w:tc>
      </w:tr>
      <w:tr w:rsidR="00265547" w:rsidRPr="00265547" w14:paraId="36C458AC" w14:textId="77777777" w:rsidTr="00D97C15">
        <w:trPr>
          <w:trHeight w:val="227"/>
        </w:trPr>
        <w:tc>
          <w:tcPr>
            <w:tcW w:w="1337" w:type="dxa"/>
            <w:tcBorders>
              <w:top w:val="nil"/>
              <w:left w:val="nil"/>
              <w:bottom w:val="nil"/>
              <w:right w:val="nil"/>
            </w:tcBorders>
            <w:shd w:val="clear" w:color="000000" w:fill="FFFFFF"/>
            <w:noWrap/>
            <w:vAlign w:val="center"/>
            <w:hideMark/>
          </w:tcPr>
          <w:p w14:paraId="4B36D5DC"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400</w:t>
            </w:r>
          </w:p>
        </w:tc>
        <w:tc>
          <w:tcPr>
            <w:tcW w:w="6092" w:type="dxa"/>
            <w:tcBorders>
              <w:top w:val="nil"/>
              <w:left w:val="nil"/>
              <w:bottom w:val="nil"/>
              <w:right w:val="nil"/>
            </w:tcBorders>
            <w:shd w:val="clear" w:color="000000" w:fill="FFFFFF"/>
            <w:noWrap/>
            <w:vAlign w:val="center"/>
            <w:hideMark/>
          </w:tcPr>
          <w:p w14:paraId="11B7299F" w14:textId="3B3B4A0F"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Custeio/ Investimento com Exigência de Empenho</w:t>
            </w:r>
          </w:p>
        </w:tc>
        <w:tc>
          <w:tcPr>
            <w:tcW w:w="1134" w:type="dxa"/>
            <w:tcBorders>
              <w:top w:val="nil"/>
              <w:left w:val="nil"/>
              <w:bottom w:val="nil"/>
              <w:right w:val="nil"/>
            </w:tcBorders>
            <w:shd w:val="clear" w:color="auto" w:fill="auto"/>
            <w:noWrap/>
            <w:vAlign w:val="center"/>
            <w:hideMark/>
          </w:tcPr>
          <w:p w14:paraId="3AC4844A"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Calibri"/>
                <w:color w:val="000000"/>
                <w:sz w:val="16"/>
                <w:szCs w:val="16"/>
              </w:rPr>
              <w:t>320.654</w:t>
            </w:r>
          </w:p>
        </w:tc>
        <w:tc>
          <w:tcPr>
            <w:tcW w:w="1134" w:type="dxa"/>
            <w:tcBorders>
              <w:top w:val="nil"/>
              <w:left w:val="nil"/>
              <w:bottom w:val="nil"/>
              <w:right w:val="nil"/>
            </w:tcBorders>
            <w:shd w:val="clear" w:color="auto" w:fill="auto"/>
            <w:noWrap/>
            <w:vAlign w:val="center"/>
            <w:hideMark/>
          </w:tcPr>
          <w:p w14:paraId="2013E852"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w:t>
            </w:r>
          </w:p>
        </w:tc>
      </w:tr>
      <w:tr w:rsidR="00265547" w:rsidRPr="00265547" w14:paraId="4B9BB5BA" w14:textId="77777777" w:rsidTr="00D97C15">
        <w:trPr>
          <w:trHeight w:val="227"/>
        </w:trPr>
        <w:tc>
          <w:tcPr>
            <w:tcW w:w="1337" w:type="dxa"/>
            <w:tcBorders>
              <w:top w:val="nil"/>
              <w:left w:val="nil"/>
              <w:bottom w:val="nil"/>
              <w:right w:val="nil"/>
            </w:tcBorders>
            <w:shd w:val="clear" w:color="000000" w:fill="FFFFFF"/>
            <w:noWrap/>
            <w:vAlign w:val="center"/>
            <w:hideMark/>
          </w:tcPr>
          <w:p w14:paraId="258A91E2"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510</w:t>
            </w:r>
          </w:p>
        </w:tc>
        <w:tc>
          <w:tcPr>
            <w:tcW w:w="6092" w:type="dxa"/>
            <w:tcBorders>
              <w:top w:val="nil"/>
              <w:left w:val="nil"/>
              <w:bottom w:val="nil"/>
              <w:right w:val="nil"/>
            </w:tcBorders>
            <w:shd w:val="clear" w:color="000000" w:fill="FFFFFF"/>
            <w:noWrap/>
            <w:vAlign w:val="center"/>
            <w:hideMark/>
          </w:tcPr>
          <w:p w14:paraId="500B44F2" w14:textId="578A11CC"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Folha – Custeio Obrigatório</w:t>
            </w:r>
          </w:p>
        </w:tc>
        <w:tc>
          <w:tcPr>
            <w:tcW w:w="1134" w:type="dxa"/>
            <w:tcBorders>
              <w:top w:val="nil"/>
              <w:left w:val="nil"/>
              <w:bottom w:val="nil"/>
              <w:right w:val="nil"/>
            </w:tcBorders>
            <w:shd w:val="clear" w:color="auto" w:fill="auto"/>
            <w:noWrap/>
            <w:vAlign w:val="center"/>
            <w:hideMark/>
          </w:tcPr>
          <w:p w14:paraId="5B60DA72"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Calibri"/>
                <w:color w:val="000000"/>
                <w:sz w:val="16"/>
                <w:szCs w:val="16"/>
              </w:rPr>
              <w:t>1.414.751</w:t>
            </w:r>
          </w:p>
        </w:tc>
        <w:tc>
          <w:tcPr>
            <w:tcW w:w="1134" w:type="dxa"/>
            <w:tcBorders>
              <w:top w:val="nil"/>
              <w:left w:val="nil"/>
              <w:bottom w:val="nil"/>
              <w:right w:val="nil"/>
            </w:tcBorders>
            <w:shd w:val="clear" w:color="auto" w:fill="auto"/>
            <w:noWrap/>
            <w:vAlign w:val="center"/>
            <w:hideMark/>
          </w:tcPr>
          <w:p w14:paraId="2DA91BC9"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485.941</w:t>
            </w:r>
          </w:p>
        </w:tc>
      </w:tr>
      <w:tr w:rsidR="00265547" w:rsidRPr="00265547" w14:paraId="06364C66" w14:textId="77777777" w:rsidTr="00D97C15">
        <w:trPr>
          <w:trHeight w:val="227"/>
        </w:trPr>
        <w:tc>
          <w:tcPr>
            <w:tcW w:w="1337" w:type="dxa"/>
            <w:tcBorders>
              <w:top w:val="nil"/>
              <w:left w:val="nil"/>
              <w:bottom w:val="nil"/>
              <w:right w:val="nil"/>
            </w:tcBorders>
            <w:shd w:val="clear" w:color="000000" w:fill="FFFFFF"/>
            <w:noWrap/>
            <w:vAlign w:val="center"/>
            <w:hideMark/>
          </w:tcPr>
          <w:p w14:paraId="2F9773E4" w14:textId="77777777" w:rsidR="00265547" w:rsidRPr="00265547" w:rsidRDefault="00265547" w:rsidP="00265547">
            <w:pPr>
              <w:spacing w:after="0" w:line="240" w:lineRule="auto"/>
              <w:jc w:val="center"/>
              <w:rPr>
                <w:rFonts w:ascii="Calibri" w:eastAsia="Times New Roman" w:hAnsi="Calibri" w:cs="Calibri"/>
                <w:color w:val="000000"/>
                <w:sz w:val="16"/>
                <w:szCs w:val="16"/>
              </w:rPr>
            </w:pPr>
            <w:r w:rsidRPr="00265547">
              <w:rPr>
                <w:rFonts w:ascii="Calibri" w:eastAsia="Times New Roman" w:hAnsi="Calibri" w:cs="Calibri"/>
                <w:color w:val="000000"/>
                <w:sz w:val="16"/>
                <w:szCs w:val="16"/>
              </w:rPr>
              <w:t>514</w:t>
            </w:r>
          </w:p>
        </w:tc>
        <w:tc>
          <w:tcPr>
            <w:tcW w:w="6092" w:type="dxa"/>
            <w:tcBorders>
              <w:top w:val="nil"/>
              <w:left w:val="nil"/>
              <w:bottom w:val="nil"/>
              <w:right w:val="nil"/>
            </w:tcBorders>
            <w:shd w:val="clear" w:color="000000" w:fill="FFFFFF"/>
            <w:noWrap/>
            <w:vAlign w:val="center"/>
            <w:hideMark/>
          </w:tcPr>
          <w:p w14:paraId="6045CB11" w14:textId="77777777" w:rsidR="00265547" w:rsidRPr="00265547" w:rsidRDefault="00265547" w:rsidP="00265547">
            <w:pPr>
              <w:spacing w:after="0" w:line="240" w:lineRule="auto"/>
              <w:jc w:val="both"/>
              <w:rPr>
                <w:rFonts w:ascii="Calibri" w:eastAsia="Times New Roman" w:hAnsi="Calibri" w:cs="Calibri"/>
                <w:color w:val="000000"/>
                <w:sz w:val="16"/>
                <w:szCs w:val="16"/>
              </w:rPr>
            </w:pPr>
            <w:r w:rsidRPr="00265547">
              <w:rPr>
                <w:rFonts w:ascii="Calibri" w:eastAsia="Times New Roman" w:hAnsi="Calibri" w:cs="Calibri"/>
                <w:color w:val="000000"/>
                <w:sz w:val="16"/>
                <w:szCs w:val="16"/>
              </w:rPr>
              <w:t>Folha – Custeio Discricionário</w:t>
            </w:r>
          </w:p>
        </w:tc>
        <w:tc>
          <w:tcPr>
            <w:tcW w:w="1134" w:type="dxa"/>
            <w:tcBorders>
              <w:top w:val="nil"/>
              <w:left w:val="nil"/>
              <w:bottom w:val="nil"/>
              <w:right w:val="nil"/>
            </w:tcBorders>
            <w:shd w:val="clear" w:color="auto" w:fill="auto"/>
            <w:noWrap/>
            <w:vAlign w:val="center"/>
            <w:hideMark/>
          </w:tcPr>
          <w:p w14:paraId="708C31D3"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Calibri"/>
                <w:color w:val="000000"/>
                <w:sz w:val="16"/>
                <w:szCs w:val="16"/>
              </w:rPr>
              <w:t>56.290</w:t>
            </w:r>
          </w:p>
        </w:tc>
        <w:tc>
          <w:tcPr>
            <w:tcW w:w="1134" w:type="dxa"/>
            <w:tcBorders>
              <w:top w:val="nil"/>
              <w:left w:val="nil"/>
              <w:bottom w:val="nil"/>
              <w:right w:val="nil"/>
            </w:tcBorders>
            <w:shd w:val="clear" w:color="auto" w:fill="auto"/>
            <w:noWrap/>
            <w:vAlign w:val="center"/>
            <w:hideMark/>
          </w:tcPr>
          <w:p w14:paraId="4D606602" w14:textId="77777777" w:rsidR="00265547" w:rsidRPr="00265547" w:rsidRDefault="00265547" w:rsidP="00265547">
            <w:pPr>
              <w:spacing w:after="0" w:line="240" w:lineRule="auto"/>
              <w:jc w:val="right"/>
              <w:rPr>
                <w:rFonts w:ascii="Calibri" w:eastAsia="Times New Roman" w:hAnsi="Calibri" w:cs="Calibri"/>
                <w:color w:val="000000"/>
                <w:sz w:val="16"/>
                <w:szCs w:val="16"/>
              </w:rPr>
            </w:pPr>
            <w:r w:rsidRPr="00265547">
              <w:rPr>
                <w:rFonts w:ascii="Calibri" w:eastAsia="Times New Roman" w:hAnsi="Calibri" w:cstheme="minorHAnsi"/>
                <w:color w:val="000000"/>
                <w:sz w:val="16"/>
                <w:szCs w:val="16"/>
              </w:rPr>
              <w:t>25.574</w:t>
            </w:r>
          </w:p>
        </w:tc>
      </w:tr>
      <w:tr w:rsidR="00265547" w:rsidRPr="00265547" w14:paraId="5500A161" w14:textId="77777777" w:rsidTr="00D97C15">
        <w:trPr>
          <w:trHeight w:val="227"/>
        </w:trPr>
        <w:tc>
          <w:tcPr>
            <w:tcW w:w="1337" w:type="dxa"/>
            <w:tcBorders>
              <w:top w:val="single" w:sz="8" w:space="0" w:color="auto"/>
              <w:left w:val="nil"/>
              <w:bottom w:val="nil"/>
              <w:right w:val="nil"/>
            </w:tcBorders>
            <w:shd w:val="clear" w:color="000000" w:fill="FFFFFF"/>
            <w:noWrap/>
            <w:vAlign w:val="center"/>
            <w:hideMark/>
          </w:tcPr>
          <w:p w14:paraId="6C1D8738" w14:textId="77777777" w:rsidR="00265547" w:rsidRPr="00265547" w:rsidRDefault="00265547" w:rsidP="00265547">
            <w:pPr>
              <w:spacing w:after="0" w:line="240" w:lineRule="auto"/>
              <w:jc w:val="center"/>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w:t>
            </w:r>
          </w:p>
        </w:tc>
        <w:tc>
          <w:tcPr>
            <w:tcW w:w="6092" w:type="dxa"/>
            <w:tcBorders>
              <w:top w:val="single" w:sz="8" w:space="0" w:color="auto"/>
              <w:left w:val="nil"/>
              <w:bottom w:val="nil"/>
              <w:right w:val="nil"/>
            </w:tcBorders>
            <w:shd w:val="clear" w:color="000000" w:fill="FFFFFF"/>
            <w:noWrap/>
            <w:vAlign w:val="center"/>
            <w:hideMark/>
          </w:tcPr>
          <w:p w14:paraId="43D968F4" w14:textId="77777777" w:rsidR="00265547" w:rsidRPr="00265547" w:rsidRDefault="00265547" w:rsidP="00265547">
            <w:pPr>
              <w:spacing w:after="0" w:line="240" w:lineRule="auto"/>
              <w:jc w:val="both"/>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Tesouro – Limite Saque</w:t>
            </w:r>
          </w:p>
        </w:tc>
        <w:tc>
          <w:tcPr>
            <w:tcW w:w="1134" w:type="dxa"/>
            <w:tcBorders>
              <w:top w:val="single" w:sz="8" w:space="0" w:color="auto"/>
              <w:left w:val="nil"/>
              <w:bottom w:val="nil"/>
              <w:right w:val="nil"/>
            </w:tcBorders>
            <w:shd w:val="clear" w:color="auto" w:fill="auto"/>
            <w:noWrap/>
            <w:vAlign w:val="center"/>
            <w:hideMark/>
          </w:tcPr>
          <w:p w14:paraId="069C2AFE" w14:textId="037E92F3"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theme="minorHAnsi"/>
                <w:b/>
                <w:bCs/>
                <w:color w:val="000000"/>
                <w:sz w:val="16"/>
                <w:szCs w:val="16"/>
              </w:rPr>
              <w:t>9.304.51</w:t>
            </w:r>
            <w:r w:rsidR="008041F3">
              <w:rPr>
                <w:rFonts w:ascii="Calibri" w:eastAsia="Times New Roman" w:hAnsi="Calibri" w:cstheme="minorHAnsi"/>
                <w:b/>
                <w:bCs/>
                <w:color w:val="000000"/>
                <w:sz w:val="16"/>
                <w:szCs w:val="16"/>
              </w:rPr>
              <w:t>2</w:t>
            </w:r>
          </w:p>
        </w:tc>
        <w:tc>
          <w:tcPr>
            <w:tcW w:w="1134" w:type="dxa"/>
            <w:tcBorders>
              <w:top w:val="single" w:sz="8" w:space="0" w:color="auto"/>
              <w:left w:val="nil"/>
              <w:bottom w:val="nil"/>
              <w:right w:val="nil"/>
            </w:tcBorders>
            <w:shd w:val="clear" w:color="auto" w:fill="auto"/>
            <w:noWrap/>
            <w:vAlign w:val="center"/>
            <w:hideMark/>
          </w:tcPr>
          <w:p w14:paraId="3029F74A" w14:textId="77777777"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theme="minorHAnsi"/>
                <w:b/>
                <w:bCs/>
                <w:color w:val="000000"/>
                <w:sz w:val="16"/>
                <w:szCs w:val="16"/>
              </w:rPr>
              <w:t>8.289.812</w:t>
            </w:r>
          </w:p>
        </w:tc>
      </w:tr>
      <w:tr w:rsidR="00265547" w:rsidRPr="00265547" w14:paraId="36B4BA43" w14:textId="77777777" w:rsidTr="00D97C15">
        <w:trPr>
          <w:trHeight w:val="227"/>
        </w:trPr>
        <w:tc>
          <w:tcPr>
            <w:tcW w:w="1337" w:type="dxa"/>
            <w:tcBorders>
              <w:top w:val="single" w:sz="8" w:space="0" w:color="auto"/>
              <w:left w:val="nil"/>
              <w:bottom w:val="nil"/>
              <w:right w:val="nil"/>
            </w:tcBorders>
            <w:shd w:val="clear" w:color="000000" w:fill="DEEAF6"/>
            <w:noWrap/>
            <w:vAlign w:val="center"/>
            <w:hideMark/>
          </w:tcPr>
          <w:p w14:paraId="143BFBBB" w14:textId="77777777" w:rsidR="00265547" w:rsidRPr="00265547" w:rsidRDefault="00265547" w:rsidP="00265547">
            <w:pPr>
              <w:spacing w:after="0" w:line="240" w:lineRule="auto"/>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Total</w:t>
            </w:r>
          </w:p>
        </w:tc>
        <w:tc>
          <w:tcPr>
            <w:tcW w:w="6092" w:type="dxa"/>
            <w:tcBorders>
              <w:top w:val="single" w:sz="8" w:space="0" w:color="auto"/>
              <w:left w:val="nil"/>
              <w:bottom w:val="nil"/>
              <w:right w:val="nil"/>
            </w:tcBorders>
            <w:shd w:val="clear" w:color="000000" w:fill="DEEAF6"/>
            <w:noWrap/>
            <w:vAlign w:val="center"/>
            <w:hideMark/>
          </w:tcPr>
          <w:p w14:paraId="5C34E137" w14:textId="77777777" w:rsidR="00265547" w:rsidRPr="00265547" w:rsidRDefault="00265547" w:rsidP="00265547">
            <w:pPr>
              <w:spacing w:after="0" w:line="240" w:lineRule="auto"/>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 </w:t>
            </w:r>
          </w:p>
        </w:tc>
        <w:tc>
          <w:tcPr>
            <w:tcW w:w="1134" w:type="dxa"/>
            <w:tcBorders>
              <w:top w:val="single" w:sz="8" w:space="0" w:color="auto"/>
              <w:left w:val="nil"/>
              <w:bottom w:val="nil"/>
              <w:right w:val="nil"/>
            </w:tcBorders>
            <w:shd w:val="clear" w:color="000000" w:fill="DEEAF6"/>
            <w:noWrap/>
            <w:vAlign w:val="center"/>
            <w:hideMark/>
          </w:tcPr>
          <w:p w14:paraId="73B0E23B" w14:textId="00F42C95"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130.290.91</w:t>
            </w:r>
            <w:r w:rsidR="008041F3">
              <w:rPr>
                <w:rFonts w:ascii="Calibri" w:eastAsia="Times New Roman" w:hAnsi="Calibri" w:cs="Calibri"/>
                <w:b/>
                <w:bCs/>
                <w:color w:val="000000"/>
                <w:sz w:val="16"/>
                <w:szCs w:val="16"/>
              </w:rPr>
              <w:t>7</w:t>
            </w:r>
          </w:p>
        </w:tc>
        <w:tc>
          <w:tcPr>
            <w:tcW w:w="1134" w:type="dxa"/>
            <w:tcBorders>
              <w:top w:val="single" w:sz="8" w:space="0" w:color="auto"/>
              <w:left w:val="nil"/>
              <w:bottom w:val="nil"/>
              <w:right w:val="nil"/>
            </w:tcBorders>
            <w:shd w:val="clear" w:color="000000" w:fill="DEEAF6"/>
            <w:noWrap/>
            <w:vAlign w:val="center"/>
            <w:hideMark/>
          </w:tcPr>
          <w:p w14:paraId="63E3D6CF" w14:textId="1D6438D5" w:rsidR="00265547" w:rsidRPr="00265547" w:rsidRDefault="00265547" w:rsidP="00265547">
            <w:pPr>
              <w:spacing w:after="0" w:line="240" w:lineRule="auto"/>
              <w:jc w:val="right"/>
              <w:rPr>
                <w:rFonts w:ascii="Calibri" w:eastAsia="Times New Roman" w:hAnsi="Calibri" w:cs="Calibri"/>
                <w:b/>
                <w:bCs/>
                <w:color w:val="000000"/>
                <w:sz w:val="16"/>
                <w:szCs w:val="16"/>
              </w:rPr>
            </w:pPr>
            <w:r w:rsidRPr="00265547">
              <w:rPr>
                <w:rFonts w:ascii="Calibri" w:eastAsia="Times New Roman" w:hAnsi="Calibri" w:cs="Calibri"/>
                <w:b/>
                <w:bCs/>
                <w:color w:val="000000"/>
                <w:sz w:val="16"/>
                <w:szCs w:val="16"/>
              </w:rPr>
              <w:t>12</w:t>
            </w:r>
            <w:r w:rsidR="00D36BD7">
              <w:rPr>
                <w:rFonts w:ascii="Calibri" w:eastAsia="Times New Roman" w:hAnsi="Calibri" w:cs="Calibri"/>
                <w:b/>
                <w:bCs/>
                <w:color w:val="000000"/>
                <w:sz w:val="16"/>
                <w:szCs w:val="16"/>
              </w:rPr>
              <w:t>5</w:t>
            </w:r>
            <w:r w:rsidRPr="00265547">
              <w:rPr>
                <w:rFonts w:ascii="Calibri" w:eastAsia="Times New Roman" w:hAnsi="Calibri" w:cs="Calibri"/>
                <w:b/>
                <w:bCs/>
                <w:color w:val="000000"/>
                <w:sz w:val="16"/>
                <w:szCs w:val="16"/>
              </w:rPr>
              <w:t>.</w:t>
            </w:r>
            <w:r w:rsidR="00D36BD7">
              <w:rPr>
                <w:rFonts w:ascii="Calibri" w:eastAsia="Times New Roman" w:hAnsi="Calibri" w:cs="Calibri"/>
                <w:b/>
                <w:bCs/>
                <w:color w:val="000000"/>
                <w:sz w:val="16"/>
                <w:szCs w:val="16"/>
              </w:rPr>
              <w:t>37</w:t>
            </w:r>
            <w:r w:rsidRPr="00265547">
              <w:rPr>
                <w:rFonts w:ascii="Calibri" w:eastAsia="Times New Roman" w:hAnsi="Calibri" w:cs="Calibri"/>
                <w:b/>
                <w:bCs/>
                <w:color w:val="000000"/>
                <w:sz w:val="16"/>
                <w:szCs w:val="16"/>
              </w:rPr>
              <w:t>7.</w:t>
            </w:r>
            <w:r w:rsidR="00D36BD7">
              <w:rPr>
                <w:rFonts w:ascii="Calibri" w:eastAsia="Times New Roman" w:hAnsi="Calibri" w:cs="Calibri"/>
                <w:b/>
                <w:bCs/>
                <w:color w:val="000000"/>
                <w:sz w:val="16"/>
                <w:szCs w:val="16"/>
              </w:rPr>
              <w:t>874</w:t>
            </w:r>
          </w:p>
        </w:tc>
      </w:tr>
    </w:tbl>
    <w:p w14:paraId="21C24465" w14:textId="02A4BE70" w:rsidR="00142596" w:rsidRPr="006D2B8D" w:rsidRDefault="00FE6471" w:rsidP="00CA1867">
      <w:pPr>
        <w:spacing w:before="120" w:after="0"/>
        <w:jc w:val="both"/>
        <w:rPr>
          <w:rFonts w:cstheme="minorHAnsi"/>
          <w:sz w:val="20"/>
          <w:szCs w:val="20"/>
        </w:rPr>
      </w:pPr>
      <w:r w:rsidRPr="006D2B8D">
        <w:rPr>
          <w:rFonts w:cstheme="minorHAnsi"/>
          <w:sz w:val="20"/>
          <w:szCs w:val="20"/>
        </w:rPr>
        <w:t>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w:t>
      </w:r>
      <w:r w:rsidR="00551D5C">
        <w:rPr>
          <w:rFonts w:cstheme="minorHAnsi"/>
          <w:sz w:val="20"/>
          <w:szCs w:val="20"/>
        </w:rPr>
        <w:t xml:space="preserve">, </w:t>
      </w:r>
      <w:r w:rsidR="00551D5C" w:rsidRPr="00551D5C">
        <w:rPr>
          <w:rFonts w:cstheme="minorHAnsi"/>
          <w:sz w:val="20"/>
          <w:szCs w:val="20"/>
        </w:rPr>
        <w:t>e poderão ser aplicados e/ou utilizados para financiar novos</w:t>
      </w:r>
      <w:r w:rsidR="00551D5C">
        <w:rPr>
          <w:rFonts w:cstheme="minorHAnsi"/>
          <w:sz w:val="20"/>
          <w:szCs w:val="20"/>
        </w:rPr>
        <w:t xml:space="preserve"> </w:t>
      </w:r>
      <w:r w:rsidR="00551D5C" w:rsidRPr="00551D5C">
        <w:rPr>
          <w:rFonts w:cstheme="minorHAnsi"/>
          <w:sz w:val="20"/>
          <w:szCs w:val="20"/>
        </w:rPr>
        <w:t>estudos, adquirir bens e financiar despesas de custeio, desde que haja autorização do acionista por meio</w:t>
      </w:r>
      <w:r w:rsidR="00551D5C">
        <w:rPr>
          <w:rFonts w:cstheme="minorHAnsi"/>
          <w:sz w:val="20"/>
          <w:szCs w:val="20"/>
        </w:rPr>
        <w:t xml:space="preserve"> </w:t>
      </w:r>
      <w:r w:rsidR="00551D5C" w:rsidRPr="00551D5C">
        <w:rPr>
          <w:rFonts w:cstheme="minorHAnsi"/>
          <w:sz w:val="20"/>
          <w:szCs w:val="20"/>
        </w:rPr>
        <w:t xml:space="preserve">da </w:t>
      </w:r>
      <w:r w:rsidR="00E10B7B" w:rsidRPr="00551D5C">
        <w:rPr>
          <w:rFonts w:cstheme="minorHAnsi"/>
          <w:sz w:val="20"/>
          <w:szCs w:val="20"/>
        </w:rPr>
        <w:t xml:space="preserve">Lei Orçamentária Anual – </w:t>
      </w:r>
      <w:r w:rsidR="00551D5C" w:rsidRPr="00551D5C">
        <w:rPr>
          <w:rFonts w:cstheme="minorHAnsi"/>
          <w:sz w:val="20"/>
          <w:szCs w:val="20"/>
        </w:rPr>
        <w:t>LOA.</w:t>
      </w:r>
      <w:r w:rsidRPr="006D2B8D">
        <w:rPr>
          <w:rFonts w:cstheme="minorHAnsi"/>
          <w:sz w:val="20"/>
          <w:szCs w:val="20"/>
        </w:rPr>
        <w:t xml:space="preserve"> Esses recursos </w:t>
      </w:r>
      <w:r w:rsidR="00AD0DDB" w:rsidRPr="006D2B8D">
        <w:rPr>
          <w:rFonts w:cstheme="minorHAnsi"/>
          <w:sz w:val="20"/>
          <w:szCs w:val="20"/>
        </w:rPr>
        <w:t>foram</w:t>
      </w:r>
      <w:r w:rsidRPr="006D2B8D">
        <w:rPr>
          <w:rFonts w:cstheme="minorHAnsi"/>
          <w:sz w:val="20"/>
          <w:szCs w:val="20"/>
        </w:rPr>
        <w:t xml:space="preserve"> aplicados na Conta Única do Tesouro Nacional</w:t>
      </w:r>
      <w:r w:rsidR="00AD0DDB" w:rsidRPr="006D2B8D">
        <w:rPr>
          <w:rFonts w:cstheme="minorHAnsi"/>
          <w:sz w:val="20"/>
          <w:szCs w:val="20"/>
        </w:rPr>
        <w:t xml:space="preserve"> </w:t>
      </w:r>
      <w:r w:rsidR="00E8721B" w:rsidRPr="006D2B8D">
        <w:rPr>
          <w:rFonts w:cstheme="minorHAnsi"/>
          <w:sz w:val="20"/>
          <w:szCs w:val="20"/>
        </w:rPr>
        <w:t>a partir</w:t>
      </w:r>
      <w:r w:rsidR="00AD0DDB" w:rsidRPr="006D2B8D">
        <w:rPr>
          <w:rFonts w:cstheme="minorHAnsi"/>
          <w:sz w:val="20"/>
          <w:szCs w:val="20"/>
        </w:rPr>
        <w:t xml:space="preserve"> janeiro de 202</w:t>
      </w:r>
      <w:r w:rsidR="00CC2FF5">
        <w:rPr>
          <w:rFonts w:cstheme="minorHAnsi"/>
          <w:sz w:val="20"/>
          <w:szCs w:val="20"/>
        </w:rPr>
        <w:t>3</w:t>
      </w:r>
      <w:r w:rsidR="00AD0DDB" w:rsidRPr="006D2B8D">
        <w:rPr>
          <w:rFonts w:cstheme="minorHAnsi"/>
          <w:sz w:val="20"/>
          <w:szCs w:val="20"/>
        </w:rPr>
        <w:t>.</w:t>
      </w:r>
      <w:r w:rsidR="000D59A2">
        <w:rPr>
          <w:rFonts w:cstheme="minorHAnsi"/>
          <w:sz w:val="20"/>
          <w:szCs w:val="20"/>
        </w:rPr>
        <w:t xml:space="preserve"> Os resgates são </w:t>
      </w:r>
      <w:r w:rsidR="00503BDB">
        <w:rPr>
          <w:rFonts w:cstheme="minorHAnsi"/>
          <w:sz w:val="20"/>
          <w:szCs w:val="20"/>
        </w:rPr>
        <w:t>utilizados para pagamentos de investimentos (ativo imobilizado e intangível</w:t>
      </w:r>
      <w:r w:rsidR="00503BDB" w:rsidRPr="001B35E0">
        <w:rPr>
          <w:rFonts w:cstheme="minorHAnsi"/>
          <w:sz w:val="20"/>
          <w:szCs w:val="20"/>
        </w:rPr>
        <w:t>)</w:t>
      </w:r>
      <w:r w:rsidR="00322AF8">
        <w:rPr>
          <w:rFonts w:cstheme="minorHAnsi"/>
          <w:sz w:val="20"/>
          <w:szCs w:val="20"/>
        </w:rPr>
        <w:t xml:space="preserve"> e custeio</w:t>
      </w:r>
      <w:r w:rsidR="00503BDB" w:rsidRPr="001B35E0">
        <w:rPr>
          <w:rFonts w:cstheme="minorHAnsi"/>
          <w:sz w:val="20"/>
          <w:szCs w:val="20"/>
        </w:rPr>
        <w:t>.</w:t>
      </w:r>
    </w:p>
    <w:p w14:paraId="6042B5BB" w14:textId="77777777" w:rsidR="00FD49BE" w:rsidRPr="00F269C4" w:rsidRDefault="00FD49BE" w:rsidP="00A17E59">
      <w:pPr>
        <w:spacing w:after="0" w:line="240" w:lineRule="auto"/>
        <w:contextualSpacing/>
        <w:jc w:val="both"/>
        <w:rPr>
          <w:rFonts w:ascii="Calibri" w:hAnsi="Calibri" w:cs="Calibri"/>
          <w:color w:val="FF0000"/>
        </w:rPr>
      </w:pPr>
    </w:p>
    <w:p w14:paraId="33A6FE53" w14:textId="77777777" w:rsidR="00703D25" w:rsidRPr="006D2B8D" w:rsidRDefault="00703D25" w:rsidP="006D2B8D">
      <w:pPr>
        <w:pStyle w:val="Ttulo1"/>
      </w:pPr>
      <w:bookmarkStart w:id="21" w:name="_Toc152230724"/>
      <w:bookmarkStart w:id="22" w:name="_Toc184926667"/>
      <w:r w:rsidRPr="006D2B8D">
        <w:t>4 – Permissões para Uso de Pátios</w:t>
      </w:r>
      <w:bookmarkEnd w:id="21"/>
      <w:bookmarkEnd w:id="22"/>
      <w:r w:rsidRPr="006D2B8D">
        <w:t xml:space="preserve"> </w:t>
      </w:r>
    </w:p>
    <w:p w14:paraId="66F95365" w14:textId="27E9900E" w:rsidR="00E96172" w:rsidRPr="006D2B8D" w:rsidRDefault="001073BD" w:rsidP="00557CA8">
      <w:pPr>
        <w:spacing w:before="120"/>
        <w:jc w:val="both"/>
        <w:rPr>
          <w:rFonts w:cstheme="minorHAnsi"/>
          <w:sz w:val="20"/>
          <w:szCs w:val="20"/>
        </w:rPr>
      </w:pPr>
      <w:r w:rsidRPr="006D2B8D">
        <w:rPr>
          <w:rFonts w:cstheme="minorHAnsi"/>
          <w:sz w:val="20"/>
          <w:szCs w:val="20"/>
        </w:rPr>
        <w:t>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w:t>
      </w:r>
      <w:r>
        <w:rPr>
          <w:rFonts w:cstheme="minorHAnsi"/>
          <w:sz w:val="20"/>
          <w:szCs w:val="20"/>
        </w:rPr>
        <w:t>s</w:t>
      </w:r>
      <w:r w:rsidRPr="006D2B8D">
        <w:rPr>
          <w:rFonts w:cstheme="minorHAnsi"/>
          <w:sz w:val="20"/>
          <w:szCs w:val="20"/>
        </w:rPr>
        <w:t xml:space="preserve"> Permiss</w:t>
      </w:r>
      <w:r>
        <w:rPr>
          <w:rFonts w:cstheme="minorHAnsi"/>
          <w:sz w:val="20"/>
          <w:szCs w:val="20"/>
        </w:rPr>
        <w:t>ões</w:t>
      </w:r>
      <w:r w:rsidRPr="006D2B8D">
        <w:rPr>
          <w:rFonts w:cstheme="minorHAnsi"/>
          <w:sz w:val="20"/>
          <w:szCs w:val="20"/>
        </w:rPr>
        <w:t xml:space="preserve"> para Uso de Pátios</w:t>
      </w:r>
      <w:r>
        <w:rPr>
          <w:rFonts w:cstheme="minorHAnsi"/>
          <w:sz w:val="20"/>
          <w:szCs w:val="20"/>
        </w:rPr>
        <w:t xml:space="preserve"> </w:t>
      </w:r>
      <w:r w:rsidRPr="006D2B8D">
        <w:rPr>
          <w:rFonts w:cstheme="minorHAnsi"/>
          <w:sz w:val="20"/>
          <w:szCs w:val="20"/>
        </w:rPr>
        <w:t>são:</w:t>
      </w:r>
    </w:p>
    <w:tbl>
      <w:tblPr>
        <w:tblW w:w="4950" w:type="pct"/>
        <w:tblCellMar>
          <w:left w:w="70" w:type="dxa"/>
          <w:right w:w="70" w:type="dxa"/>
        </w:tblCellMar>
        <w:tblLook w:val="04A0" w:firstRow="1" w:lastRow="0" w:firstColumn="1" w:lastColumn="0" w:noHBand="0" w:noVBand="1"/>
      </w:tblPr>
      <w:tblGrid>
        <w:gridCol w:w="1021"/>
        <w:gridCol w:w="1021"/>
        <w:gridCol w:w="1020"/>
        <w:gridCol w:w="1019"/>
        <w:gridCol w:w="1261"/>
        <w:gridCol w:w="915"/>
        <w:gridCol w:w="1086"/>
        <w:gridCol w:w="1019"/>
        <w:gridCol w:w="1019"/>
        <w:gridCol w:w="1019"/>
      </w:tblGrid>
      <w:tr w:rsidR="007B73C0" w:rsidRPr="00F90B3F" w14:paraId="3A35A296" w14:textId="77777777" w:rsidTr="00E526D4">
        <w:trPr>
          <w:trHeight w:hRule="exact" w:val="696"/>
        </w:trPr>
        <w:tc>
          <w:tcPr>
            <w:tcW w:w="1021" w:type="dxa"/>
            <w:tcBorders>
              <w:top w:val="nil"/>
              <w:left w:val="nil"/>
              <w:bottom w:val="single" w:sz="8" w:space="0" w:color="auto"/>
              <w:right w:val="nil"/>
            </w:tcBorders>
            <w:shd w:val="clear" w:color="000000" w:fill="DEEAF6"/>
            <w:noWrap/>
            <w:vAlign w:val="center"/>
            <w:hideMark/>
          </w:tcPr>
          <w:p w14:paraId="4D84CABD"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Contrato</w:t>
            </w:r>
          </w:p>
        </w:tc>
        <w:tc>
          <w:tcPr>
            <w:tcW w:w="1021" w:type="dxa"/>
            <w:tcBorders>
              <w:top w:val="nil"/>
              <w:left w:val="nil"/>
              <w:bottom w:val="single" w:sz="8" w:space="0" w:color="auto"/>
              <w:right w:val="nil"/>
            </w:tcBorders>
            <w:shd w:val="clear" w:color="000000" w:fill="DEEAF6"/>
            <w:noWrap/>
            <w:vAlign w:val="center"/>
            <w:hideMark/>
          </w:tcPr>
          <w:p w14:paraId="7A628727"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Ativo Circulante 31/12/2023</w:t>
            </w:r>
          </w:p>
        </w:tc>
        <w:tc>
          <w:tcPr>
            <w:tcW w:w="1020" w:type="dxa"/>
            <w:tcBorders>
              <w:top w:val="nil"/>
              <w:left w:val="nil"/>
              <w:bottom w:val="single" w:sz="8" w:space="0" w:color="auto"/>
              <w:right w:val="nil"/>
            </w:tcBorders>
            <w:shd w:val="clear" w:color="000000" w:fill="DEEAF6"/>
            <w:noWrap/>
            <w:vAlign w:val="center"/>
            <w:hideMark/>
          </w:tcPr>
          <w:p w14:paraId="30E7E2D9" w14:textId="344CB23D"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 xml:space="preserve">Ativo </w:t>
            </w:r>
            <w:r w:rsidR="00587CE9" w:rsidRPr="00F90B3F">
              <w:rPr>
                <w:rFonts w:ascii="Calibri" w:eastAsia="Times New Roman" w:hAnsi="Calibri" w:cs="Calibri"/>
                <w:b/>
                <w:bCs/>
                <w:color w:val="000000"/>
                <w:sz w:val="16"/>
                <w:szCs w:val="16"/>
              </w:rPr>
              <w:t xml:space="preserve">não </w:t>
            </w:r>
            <w:r w:rsidR="001E6972">
              <w:rPr>
                <w:rFonts w:ascii="Calibri" w:eastAsia="Times New Roman" w:hAnsi="Calibri" w:cs="Calibri"/>
                <w:b/>
                <w:bCs/>
                <w:color w:val="000000"/>
                <w:sz w:val="16"/>
                <w:szCs w:val="16"/>
              </w:rPr>
              <w:t>C</w:t>
            </w:r>
            <w:r w:rsidR="00587CE9" w:rsidRPr="00F90B3F">
              <w:rPr>
                <w:rFonts w:ascii="Calibri" w:eastAsia="Times New Roman" w:hAnsi="Calibri" w:cs="Calibri"/>
                <w:b/>
                <w:bCs/>
                <w:color w:val="000000"/>
                <w:sz w:val="16"/>
                <w:szCs w:val="16"/>
              </w:rPr>
              <w:t>irculante</w:t>
            </w:r>
            <w:r w:rsidRPr="00F90B3F">
              <w:rPr>
                <w:rFonts w:ascii="Calibri" w:eastAsia="Times New Roman" w:hAnsi="Calibri" w:cs="Calibri"/>
                <w:b/>
                <w:bCs/>
                <w:color w:val="000000"/>
                <w:sz w:val="16"/>
                <w:szCs w:val="16"/>
              </w:rPr>
              <w:t xml:space="preserve"> 31/12/2023</w:t>
            </w:r>
          </w:p>
        </w:tc>
        <w:tc>
          <w:tcPr>
            <w:tcW w:w="1019" w:type="dxa"/>
            <w:tcBorders>
              <w:top w:val="nil"/>
              <w:left w:val="nil"/>
              <w:bottom w:val="single" w:sz="8" w:space="0" w:color="auto"/>
              <w:right w:val="nil"/>
            </w:tcBorders>
            <w:shd w:val="clear" w:color="000000" w:fill="DEEAF6"/>
            <w:noWrap/>
            <w:vAlign w:val="center"/>
            <w:hideMark/>
          </w:tcPr>
          <w:p w14:paraId="4AF66617"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Total do Ativo em 31/12/2023</w:t>
            </w:r>
          </w:p>
        </w:tc>
        <w:tc>
          <w:tcPr>
            <w:tcW w:w="1241" w:type="dxa"/>
            <w:tcBorders>
              <w:top w:val="nil"/>
              <w:left w:val="nil"/>
              <w:bottom w:val="single" w:sz="8" w:space="0" w:color="auto"/>
              <w:right w:val="nil"/>
            </w:tcBorders>
            <w:shd w:val="clear" w:color="000000" w:fill="DEEAF6"/>
            <w:noWrap/>
            <w:vAlign w:val="center"/>
            <w:hideMark/>
          </w:tcPr>
          <w:p w14:paraId="69B7503A"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Reconhecimento de Receita</w:t>
            </w:r>
          </w:p>
        </w:tc>
        <w:tc>
          <w:tcPr>
            <w:tcW w:w="915" w:type="dxa"/>
            <w:tcBorders>
              <w:top w:val="nil"/>
              <w:left w:val="nil"/>
              <w:bottom w:val="single" w:sz="8" w:space="0" w:color="auto"/>
              <w:right w:val="nil"/>
            </w:tcBorders>
            <w:shd w:val="clear" w:color="000000" w:fill="DEEAF6"/>
            <w:noWrap/>
            <w:vAlign w:val="center"/>
            <w:hideMark/>
          </w:tcPr>
          <w:p w14:paraId="388DB309"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Atualização Monetária</w:t>
            </w:r>
          </w:p>
        </w:tc>
        <w:tc>
          <w:tcPr>
            <w:tcW w:w="1069" w:type="dxa"/>
            <w:tcBorders>
              <w:top w:val="nil"/>
              <w:left w:val="nil"/>
              <w:bottom w:val="single" w:sz="8" w:space="0" w:color="auto"/>
              <w:right w:val="nil"/>
            </w:tcBorders>
            <w:shd w:val="clear" w:color="000000" w:fill="DEEAF6"/>
            <w:noWrap/>
            <w:vAlign w:val="center"/>
            <w:hideMark/>
          </w:tcPr>
          <w:p w14:paraId="2F1A44AD"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 Recebimentos</w:t>
            </w:r>
          </w:p>
        </w:tc>
        <w:tc>
          <w:tcPr>
            <w:tcW w:w="1019" w:type="dxa"/>
            <w:tcBorders>
              <w:top w:val="nil"/>
              <w:left w:val="nil"/>
              <w:bottom w:val="single" w:sz="8" w:space="0" w:color="auto"/>
              <w:right w:val="nil"/>
            </w:tcBorders>
            <w:shd w:val="clear" w:color="000000" w:fill="DEEAF6"/>
            <w:noWrap/>
            <w:vAlign w:val="center"/>
            <w:hideMark/>
          </w:tcPr>
          <w:p w14:paraId="1DC9639C"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Ativo Circulante 31/03/2024</w:t>
            </w:r>
          </w:p>
        </w:tc>
        <w:tc>
          <w:tcPr>
            <w:tcW w:w="1019" w:type="dxa"/>
            <w:tcBorders>
              <w:top w:val="nil"/>
              <w:left w:val="nil"/>
              <w:bottom w:val="single" w:sz="8" w:space="0" w:color="auto"/>
              <w:right w:val="nil"/>
            </w:tcBorders>
            <w:shd w:val="clear" w:color="000000" w:fill="DEEAF6"/>
            <w:noWrap/>
            <w:vAlign w:val="center"/>
            <w:hideMark/>
          </w:tcPr>
          <w:p w14:paraId="51FF2B71" w14:textId="3D6DB749"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 xml:space="preserve">Ativo </w:t>
            </w:r>
            <w:r w:rsidR="00587CE9" w:rsidRPr="00F90B3F">
              <w:rPr>
                <w:rFonts w:ascii="Calibri" w:eastAsia="Times New Roman" w:hAnsi="Calibri" w:cs="Calibri"/>
                <w:b/>
                <w:bCs/>
                <w:color w:val="000000"/>
                <w:sz w:val="16"/>
                <w:szCs w:val="16"/>
              </w:rPr>
              <w:t xml:space="preserve">não </w:t>
            </w:r>
            <w:r w:rsidR="0031637B">
              <w:rPr>
                <w:rFonts w:ascii="Calibri" w:eastAsia="Times New Roman" w:hAnsi="Calibri" w:cs="Calibri"/>
                <w:b/>
                <w:bCs/>
                <w:color w:val="000000"/>
                <w:sz w:val="16"/>
                <w:szCs w:val="16"/>
              </w:rPr>
              <w:t>C</w:t>
            </w:r>
            <w:r w:rsidR="00587CE9" w:rsidRPr="00F90B3F">
              <w:rPr>
                <w:rFonts w:ascii="Calibri" w:eastAsia="Times New Roman" w:hAnsi="Calibri" w:cs="Calibri"/>
                <w:b/>
                <w:bCs/>
                <w:color w:val="000000"/>
                <w:sz w:val="16"/>
                <w:szCs w:val="16"/>
              </w:rPr>
              <w:t>irculante</w:t>
            </w:r>
            <w:r w:rsidRPr="00F90B3F">
              <w:rPr>
                <w:rFonts w:ascii="Calibri" w:eastAsia="Times New Roman" w:hAnsi="Calibri" w:cs="Calibri"/>
                <w:b/>
                <w:bCs/>
                <w:color w:val="000000"/>
                <w:sz w:val="16"/>
                <w:szCs w:val="16"/>
              </w:rPr>
              <w:t xml:space="preserve"> 31/03/2024</w:t>
            </w:r>
          </w:p>
        </w:tc>
        <w:tc>
          <w:tcPr>
            <w:tcW w:w="1019" w:type="dxa"/>
            <w:tcBorders>
              <w:top w:val="nil"/>
              <w:left w:val="nil"/>
              <w:bottom w:val="single" w:sz="8" w:space="0" w:color="auto"/>
              <w:right w:val="nil"/>
            </w:tcBorders>
            <w:shd w:val="clear" w:color="000000" w:fill="DEEAF6"/>
            <w:noWrap/>
            <w:vAlign w:val="center"/>
            <w:hideMark/>
          </w:tcPr>
          <w:p w14:paraId="45326ABD" w14:textId="77777777" w:rsidR="00F90B3F" w:rsidRPr="00F90B3F" w:rsidRDefault="00F90B3F" w:rsidP="00F90B3F">
            <w:pPr>
              <w:spacing w:after="0" w:line="240" w:lineRule="auto"/>
              <w:jc w:val="center"/>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Total do Ativo em 31/03/2024</w:t>
            </w:r>
          </w:p>
        </w:tc>
      </w:tr>
      <w:tr w:rsidR="009F2CD2" w:rsidRPr="00F90B3F" w14:paraId="31AB4A68" w14:textId="77777777" w:rsidTr="007A3945">
        <w:trPr>
          <w:trHeight w:hRule="exact" w:val="227"/>
        </w:trPr>
        <w:tc>
          <w:tcPr>
            <w:tcW w:w="1021" w:type="dxa"/>
            <w:tcBorders>
              <w:top w:val="nil"/>
              <w:left w:val="nil"/>
              <w:bottom w:val="nil"/>
              <w:right w:val="nil"/>
            </w:tcBorders>
            <w:shd w:val="clear" w:color="auto" w:fill="auto"/>
            <w:noWrap/>
            <w:vAlign w:val="center"/>
            <w:hideMark/>
          </w:tcPr>
          <w:p w14:paraId="36AB2ABC" w14:textId="77777777" w:rsidR="00F90B3F" w:rsidRPr="00F90B3F" w:rsidRDefault="00F90B3F" w:rsidP="00F90B3F">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CT 13/2016¹</w:t>
            </w:r>
          </w:p>
        </w:tc>
        <w:tc>
          <w:tcPr>
            <w:tcW w:w="1021" w:type="dxa"/>
            <w:tcBorders>
              <w:top w:val="nil"/>
              <w:left w:val="nil"/>
              <w:bottom w:val="nil"/>
              <w:right w:val="nil"/>
            </w:tcBorders>
            <w:shd w:val="clear" w:color="auto" w:fill="auto"/>
            <w:noWrap/>
            <w:vAlign w:val="center"/>
            <w:hideMark/>
          </w:tcPr>
          <w:p w14:paraId="5F934AC2"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640.905</w:t>
            </w:r>
          </w:p>
        </w:tc>
        <w:tc>
          <w:tcPr>
            <w:tcW w:w="1020" w:type="dxa"/>
            <w:tcBorders>
              <w:top w:val="nil"/>
              <w:left w:val="nil"/>
              <w:bottom w:val="nil"/>
              <w:right w:val="nil"/>
            </w:tcBorders>
            <w:shd w:val="clear" w:color="auto" w:fill="auto"/>
            <w:noWrap/>
            <w:vAlign w:val="center"/>
            <w:hideMark/>
          </w:tcPr>
          <w:p w14:paraId="30A7D3DD"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13.589.336</w:t>
            </w:r>
          </w:p>
        </w:tc>
        <w:tc>
          <w:tcPr>
            <w:tcW w:w="1019" w:type="dxa"/>
            <w:tcBorders>
              <w:top w:val="nil"/>
              <w:left w:val="nil"/>
              <w:bottom w:val="nil"/>
              <w:right w:val="nil"/>
            </w:tcBorders>
            <w:shd w:val="clear" w:color="auto" w:fill="auto"/>
            <w:noWrap/>
            <w:vAlign w:val="center"/>
            <w:hideMark/>
          </w:tcPr>
          <w:p w14:paraId="31778187"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14.230.240</w:t>
            </w:r>
          </w:p>
        </w:tc>
        <w:tc>
          <w:tcPr>
            <w:tcW w:w="1241" w:type="dxa"/>
            <w:tcBorders>
              <w:top w:val="nil"/>
              <w:left w:val="nil"/>
              <w:bottom w:val="nil"/>
              <w:right w:val="nil"/>
            </w:tcBorders>
            <w:shd w:val="clear" w:color="auto" w:fill="auto"/>
            <w:noWrap/>
            <w:vAlign w:val="center"/>
            <w:hideMark/>
          </w:tcPr>
          <w:p w14:paraId="50B0F361" w14:textId="7E264FA7" w:rsidR="00F90B3F" w:rsidRPr="00F90B3F" w:rsidRDefault="003C002E"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15" w:type="dxa"/>
            <w:tcBorders>
              <w:top w:val="nil"/>
              <w:left w:val="nil"/>
              <w:bottom w:val="nil"/>
              <w:right w:val="nil"/>
            </w:tcBorders>
            <w:shd w:val="clear" w:color="auto" w:fill="auto"/>
            <w:noWrap/>
            <w:vAlign w:val="center"/>
            <w:hideMark/>
          </w:tcPr>
          <w:p w14:paraId="2F75BA30"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41.397</w:t>
            </w:r>
          </w:p>
        </w:tc>
        <w:tc>
          <w:tcPr>
            <w:tcW w:w="1069" w:type="dxa"/>
            <w:tcBorders>
              <w:top w:val="nil"/>
              <w:left w:val="nil"/>
              <w:bottom w:val="nil"/>
              <w:right w:val="nil"/>
            </w:tcBorders>
            <w:shd w:val="clear" w:color="auto" w:fill="auto"/>
            <w:noWrap/>
            <w:vAlign w:val="center"/>
            <w:hideMark/>
          </w:tcPr>
          <w:p w14:paraId="52749722" w14:textId="4A8E44F4"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19" w:type="dxa"/>
            <w:tcBorders>
              <w:top w:val="nil"/>
              <w:left w:val="nil"/>
              <w:bottom w:val="nil"/>
              <w:right w:val="nil"/>
            </w:tcBorders>
            <w:shd w:val="clear" w:color="auto" w:fill="auto"/>
            <w:noWrap/>
            <w:vAlign w:val="center"/>
            <w:hideMark/>
          </w:tcPr>
          <w:p w14:paraId="5DD6C911" w14:textId="6E0FD969"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642.769</w:t>
            </w:r>
          </w:p>
        </w:tc>
        <w:tc>
          <w:tcPr>
            <w:tcW w:w="1019" w:type="dxa"/>
            <w:tcBorders>
              <w:top w:val="nil"/>
              <w:left w:val="nil"/>
              <w:bottom w:val="nil"/>
              <w:right w:val="nil"/>
            </w:tcBorders>
            <w:shd w:val="clear" w:color="auto" w:fill="auto"/>
            <w:noWrap/>
            <w:vAlign w:val="center"/>
            <w:hideMark/>
          </w:tcPr>
          <w:p w14:paraId="13EC8997" w14:textId="6EB973C2"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13.628.868</w:t>
            </w:r>
          </w:p>
        </w:tc>
        <w:tc>
          <w:tcPr>
            <w:tcW w:w="1019" w:type="dxa"/>
            <w:tcBorders>
              <w:top w:val="nil"/>
              <w:left w:val="nil"/>
              <w:bottom w:val="nil"/>
              <w:right w:val="nil"/>
            </w:tcBorders>
            <w:shd w:val="clear" w:color="auto" w:fill="auto"/>
            <w:noWrap/>
            <w:vAlign w:val="center"/>
            <w:hideMark/>
          </w:tcPr>
          <w:p w14:paraId="7467155B" w14:textId="6B4DAF0E"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14.271.637</w:t>
            </w:r>
          </w:p>
        </w:tc>
      </w:tr>
      <w:tr w:rsidR="009F2CD2" w:rsidRPr="00F90B3F" w14:paraId="33F3DF5E" w14:textId="77777777" w:rsidTr="007A3945">
        <w:trPr>
          <w:trHeight w:hRule="exact" w:val="227"/>
        </w:trPr>
        <w:tc>
          <w:tcPr>
            <w:tcW w:w="1021" w:type="dxa"/>
            <w:tcBorders>
              <w:top w:val="nil"/>
              <w:left w:val="nil"/>
              <w:bottom w:val="nil"/>
              <w:right w:val="nil"/>
            </w:tcBorders>
            <w:shd w:val="clear" w:color="auto" w:fill="auto"/>
            <w:noWrap/>
            <w:vAlign w:val="center"/>
            <w:hideMark/>
          </w:tcPr>
          <w:p w14:paraId="1352457C" w14:textId="77777777" w:rsidR="00F90B3F" w:rsidRPr="008634EF" w:rsidRDefault="00F90B3F" w:rsidP="00F90B3F">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CT 01/2016²</w:t>
            </w:r>
          </w:p>
        </w:tc>
        <w:tc>
          <w:tcPr>
            <w:tcW w:w="1021" w:type="dxa"/>
            <w:tcBorders>
              <w:top w:val="nil"/>
              <w:left w:val="nil"/>
              <w:bottom w:val="nil"/>
              <w:right w:val="nil"/>
            </w:tcBorders>
            <w:shd w:val="clear" w:color="auto" w:fill="auto"/>
            <w:noWrap/>
            <w:vAlign w:val="center"/>
            <w:hideMark/>
          </w:tcPr>
          <w:p w14:paraId="56406762" w14:textId="77777777"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1.042.268</w:t>
            </w:r>
          </w:p>
        </w:tc>
        <w:tc>
          <w:tcPr>
            <w:tcW w:w="1020" w:type="dxa"/>
            <w:tcBorders>
              <w:top w:val="nil"/>
              <w:left w:val="nil"/>
              <w:bottom w:val="nil"/>
              <w:right w:val="nil"/>
            </w:tcBorders>
            <w:shd w:val="clear" w:color="auto" w:fill="auto"/>
            <w:noWrap/>
            <w:vAlign w:val="center"/>
            <w:hideMark/>
          </w:tcPr>
          <w:p w14:paraId="7FCB036C" w14:textId="77777777"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13.545.542</w:t>
            </w:r>
          </w:p>
        </w:tc>
        <w:tc>
          <w:tcPr>
            <w:tcW w:w="1019" w:type="dxa"/>
            <w:tcBorders>
              <w:top w:val="nil"/>
              <w:left w:val="nil"/>
              <w:bottom w:val="nil"/>
              <w:right w:val="nil"/>
            </w:tcBorders>
            <w:shd w:val="clear" w:color="auto" w:fill="auto"/>
            <w:noWrap/>
            <w:vAlign w:val="center"/>
            <w:hideMark/>
          </w:tcPr>
          <w:p w14:paraId="2A4F4ADC" w14:textId="77777777"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14.587.809</w:t>
            </w:r>
          </w:p>
        </w:tc>
        <w:tc>
          <w:tcPr>
            <w:tcW w:w="1241" w:type="dxa"/>
            <w:tcBorders>
              <w:top w:val="nil"/>
              <w:left w:val="nil"/>
              <w:bottom w:val="nil"/>
              <w:right w:val="nil"/>
            </w:tcBorders>
            <w:shd w:val="clear" w:color="auto" w:fill="auto"/>
            <w:noWrap/>
            <w:vAlign w:val="center"/>
            <w:hideMark/>
          </w:tcPr>
          <w:p w14:paraId="3EF7A0E1" w14:textId="09507AC1" w:rsidR="00F90B3F" w:rsidRPr="008634EF" w:rsidRDefault="003C002E" w:rsidP="00CF2E72">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915" w:type="dxa"/>
            <w:tcBorders>
              <w:top w:val="nil"/>
              <w:left w:val="nil"/>
              <w:bottom w:val="nil"/>
              <w:right w:val="nil"/>
            </w:tcBorders>
            <w:shd w:val="clear" w:color="auto" w:fill="auto"/>
            <w:noWrap/>
            <w:vAlign w:val="center"/>
            <w:hideMark/>
          </w:tcPr>
          <w:p w14:paraId="3CE3B21A" w14:textId="6B593AB1" w:rsidR="00F90B3F" w:rsidRPr="008634EF" w:rsidRDefault="003A3146"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46.317</w:t>
            </w:r>
          </w:p>
        </w:tc>
        <w:tc>
          <w:tcPr>
            <w:tcW w:w="1069" w:type="dxa"/>
            <w:tcBorders>
              <w:top w:val="nil"/>
              <w:left w:val="nil"/>
              <w:bottom w:val="nil"/>
              <w:right w:val="nil"/>
            </w:tcBorders>
            <w:shd w:val="clear" w:color="auto" w:fill="auto"/>
            <w:noWrap/>
            <w:vAlign w:val="center"/>
            <w:hideMark/>
          </w:tcPr>
          <w:p w14:paraId="06346B89" w14:textId="444CCD5A" w:rsidR="00F90B3F" w:rsidRPr="008634EF" w:rsidRDefault="00B80F62" w:rsidP="00CF2E72">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F87BD2" w:rsidRPr="008634EF">
              <w:rPr>
                <w:rFonts w:ascii="Calibri" w:eastAsia="Times New Roman" w:hAnsi="Calibri" w:cs="Calibri"/>
                <w:sz w:val="16"/>
                <w:szCs w:val="16"/>
              </w:rPr>
              <w:t>889.370</w:t>
            </w:r>
            <w:r>
              <w:rPr>
                <w:rFonts w:ascii="Calibri" w:eastAsia="Times New Roman" w:hAnsi="Calibri" w:cs="Calibri"/>
                <w:sz w:val="16"/>
                <w:szCs w:val="16"/>
              </w:rPr>
              <w:t>)</w:t>
            </w:r>
          </w:p>
        </w:tc>
        <w:tc>
          <w:tcPr>
            <w:tcW w:w="1019" w:type="dxa"/>
            <w:tcBorders>
              <w:top w:val="nil"/>
              <w:left w:val="nil"/>
              <w:bottom w:val="nil"/>
              <w:right w:val="nil"/>
            </w:tcBorders>
            <w:shd w:val="clear" w:color="auto" w:fill="auto"/>
            <w:noWrap/>
            <w:vAlign w:val="center"/>
            <w:hideMark/>
          </w:tcPr>
          <w:p w14:paraId="240E2350" w14:textId="71C74D4A"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806.711</w:t>
            </w:r>
          </w:p>
        </w:tc>
        <w:tc>
          <w:tcPr>
            <w:tcW w:w="1019" w:type="dxa"/>
            <w:tcBorders>
              <w:top w:val="nil"/>
              <w:left w:val="nil"/>
              <w:bottom w:val="nil"/>
              <w:right w:val="nil"/>
            </w:tcBorders>
            <w:shd w:val="clear" w:color="auto" w:fill="auto"/>
            <w:noWrap/>
            <w:vAlign w:val="center"/>
            <w:hideMark/>
          </w:tcPr>
          <w:p w14:paraId="4D6D84E9" w14:textId="716E818D"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12.938.045</w:t>
            </w:r>
          </w:p>
        </w:tc>
        <w:tc>
          <w:tcPr>
            <w:tcW w:w="1019" w:type="dxa"/>
            <w:tcBorders>
              <w:top w:val="nil"/>
              <w:left w:val="nil"/>
              <w:bottom w:val="nil"/>
              <w:right w:val="nil"/>
            </w:tcBorders>
            <w:shd w:val="clear" w:color="auto" w:fill="auto"/>
            <w:noWrap/>
            <w:vAlign w:val="center"/>
            <w:hideMark/>
          </w:tcPr>
          <w:p w14:paraId="7D90B81B" w14:textId="052990F6" w:rsidR="00F90B3F" w:rsidRPr="008634EF" w:rsidRDefault="00F90B3F" w:rsidP="00CF2E72">
            <w:pPr>
              <w:spacing w:after="0" w:line="240" w:lineRule="auto"/>
              <w:jc w:val="right"/>
              <w:rPr>
                <w:rFonts w:ascii="Calibri" w:eastAsia="Times New Roman" w:hAnsi="Calibri" w:cs="Calibri"/>
                <w:sz w:val="16"/>
                <w:szCs w:val="16"/>
              </w:rPr>
            </w:pPr>
            <w:r w:rsidRPr="008634EF">
              <w:rPr>
                <w:rFonts w:ascii="Calibri" w:eastAsia="Times New Roman" w:hAnsi="Calibri" w:cs="Calibri"/>
                <w:sz w:val="16"/>
                <w:szCs w:val="16"/>
              </w:rPr>
              <w:t>1</w:t>
            </w:r>
            <w:r w:rsidR="002204BC" w:rsidRPr="008634EF">
              <w:rPr>
                <w:rFonts w:ascii="Calibri" w:eastAsia="Times New Roman" w:hAnsi="Calibri" w:cs="Calibri"/>
                <w:sz w:val="16"/>
                <w:szCs w:val="16"/>
              </w:rPr>
              <w:t>3.</w:t>
            </w:r>
            <w:r w:rsidR="00E86623" w:rsidRPr="008634EF">
              <w:rPr>
                <w:rFonts w:ascii="Calibri" w:eastAsia="Times New Roman" w:hAnsi="Calibri" w:cs="Calibri"/>
                <w:sz w:val="16"/>
                <w:szCs w:val="16"/>
              </w:rPr>
              <w:t>744.756</w:t>
            </w:r>
          </w:p>
        </w:tc>
      </w:tr>
      <w:tr w:rsidR="009F2CD2" w:rsidRPr="00F90B3F" w14:paraId="4306F81F" w14:textId="77777777" w:rsidTr="007A3945">
        <w:trPr>
          <w:trHeight w:hRule="exact" w:val="227"/>
        </w:trPr>
        <w:tc>
          <w:tcPr>
            <w:tcW w:w="1021" w:type="dxa"/>
            <w:tcBorders>
              <w:top w:val="nil"/>
              <w:left w:val="nil"/>
              <w:bottom w:val="nil"/>
              <w:right w:val="nil"/>
            </w:tcBorders>
            <w:shd w:val="clear" w:color="auto" w:fill="auto"/>
            <w:noWrap/>
            <w:vAlign w:val="center"/>
            <w:hideMark/>
          </w:tcPr>
          <w:p w14:paraId="2DCCE0DB" w14:textId="77777777" w:rsidR="00F90B3F" w:rsidRPr="00F90B3F" w:rsidRDefault="00F90B3F" w:rsidP="00F90B3F">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lastRenderedPageBreak/>
              <w:t>CT 19/2021³</w:t>
            </w:r>
          </w:p>
        </w:tc>
        <w:tc>
          <w:tcPr>
            <w:tcW w:w="1021" w:type="dxa"/>
            <w:tcBorders>
              <w:top w:val="nil"/>
              <w:left w:val="nil"/>
              <w:bottom w:val="nil"/>
              <w:right w:val="nil"/>
            </w:tcBorders>
            <w:shd w:val="clear" w:color="auto" w:fill="auto"/>
            <w:noWrap/>
            <w:vAlign w:val="center"/>
            <w:hideMark/>
          </w:tcPr>
          <w:p w14:paraId="27DB04E1"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1.454.889</w:t>
            </w:r>
          </w:p>
        </w:tc>
        <w:tc>
          <w:tcPr>
            <w:tcW w:w="1020" w:type="dxa"/>
            <w:tcBorders>
              <w:top w:val="nil"/>
              <w:left w:val="nil"/>
              <w:bottom w:val="nil"/>
              <w:right w:val="nil"/>
            </w:tcBorders>
            <w:shd w:val="clear" w:color="auto" w:fill="auto"/>
            <w:noWrap/>
            <w:vAlign w:val="center"/>
            <w:hideMark/>
          </w:tcPr>
          <w:p w14:paraId="185704FB"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20.999.865</w:t>
            </w:r>
          </w:p>
        </w:tc>
        <w:tc>
          <w:tcPr>
            <w:tcW w:w="1019" w:type="dxa"/>
            <w:tcBorders>
              <w:top w:val="nil"/>
              <w:left w:val="nil"/>
              <w:bottom w:val="nil"/>
              <w:right w:val="nil"/>
            </w:tcBorders>
            <w:shd w:val="clear" w:color="auto" w:fill="auto"/>
            <w:noWrap/>
            <w:vAlign w:val="center"/>
            <w:hideMark/>
          </w:tcPr>
          <w:p w14:paraId="5D66D178"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22.454.754</w:t>
            </w:r>
          </w:p>
        </w:tc>
        <w:tc>
          <w:tcPr>
            <w:tcW w:w="1241" w:type="dxa"/>
            <w:tcBorders>
              <w:top w:val="nil"/>
              <w:left w:val="nil"/>
              <w:bottom w:val="nil"/>
              <w:right w:val="nil"/>
            </w:tcBorders>
            <w:shd w:val="clear" w:color="auto" w:fill="auto"/>
            <w:noWrap/>
            <w:vAlign w:val="center"/>
            <w:hideMark/>
          </w:tcPr>
          <w:p w14:paraId="4C7EE2F4" w14:textId="6F81E885" w:rsidR="00F90B3F" w:rsidRPr="00F90B3F" w:rsidRDefault="003C002E"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15" w:type="dxa"/>
            <w:tcBorders>
              <w:top w:val="nil"/>
              <w:left w:val="nil"/>
              <w:bottom w:val="nil"/>
              <w:right w:val="nil"/>
            </w:tcBorders>
            <w:shd w:val="clear" w:color="auto" w:fill="auto"/>
            <w:noWrap/>
            <w:vAlign w:val="center"/>
            <w:hideMark/>
          </w:tcPr>
          <w:p w14:paraId="3AD575DF"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408.786</w:t>
            </w:r>
          </w:p>
        </w:tc>
        <w:tc>
          <w:tcPr>
            <w:tcW w:w="1069" w:type="dxa"/>
            <w:tcBorders>
              <w:top w:val="nil"/>
              <w:left w:val="nil"/>
              <w:bottom w:val="nil"/>
              <w:right w:val="nil"/>
            </w:tcBorders>
            <w:shd w:val="clear" w:color="auto" w:fill="auto"/>
            <w:noWrap/>
            <w:vAlign w:val="center"/>
            <w:hideMark/>
          </w:tcPr>
          <w:p w14:paraId="2A17AD93" w14:textId="2B9EEAD6"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19" w:type="dxa"/>
            <w:tcBorders>
              <w:top w:val="nil"/>
              <w:left w:val="nil"/>
              <w:bottom w:val="nil"/>
              <w:right w:val="nil"/>
            </w:tcBorders>
            <w:shd w:val="clear" w:color="auto" w:fill="auto"/>
            <w:noWrap/>
            <w:vAlign w:val="center"/>
            <w:hideMark/>
          </w:tcPr>
          <w:p w14:paraId="696AB7C4" w14:textId="7BD307E8"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1.481.375</w:t>
            </w:r>
          </w:p>
        </w:tc>
        <w:tc>
          <w:tcPr>
            <w:tcW w:w="1019" w:type="dxa"/>
            <w:tcBorders>
              <w:top w:val="nil"/>
              <w:left w:val="nil"/>
              <w:bottom w:val="nil"/>
              <w:right w:val="nil"/>
            </w:tcBorders>
            <w:shd w:val="clear" w:color="auto" w:fill="auto"/>
            <w:noWrap/>
            <w:vAlign w:val="center"/>
            <w:hideMark/>
          </w:tcPr>
          <w:p w14:paraId="3E18D277" w14:textId="7DC2B43F"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21.382.165</w:t>
            </w:r>
          </w:p>
        </w:tc>
        <w:tc>
          <w:tcPr>
            <w:tcW w:w="1019" w:type="dxa"/>
            <w:tcBorders>
              <w:top w:val="nil"/>
              <w:left w:val="nil"/>
              <w:bottom w:val="nil"/>
              <w:right w:val="nil"/>
            </w:tcBorders>
            <w:shd w:val="clear" w:color="auto" w:fill="auto"/>
            <w:noWrap/>
            <w:vAlign w:val="center"/>
            <w:hideMark/>
          </w:tcPr>
          <w:p w14:paraId="594EE729" w14:textId="728FF434"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22.863.540</w:t>
            </w:r>
          </w:p>
        </w:tc>
      </w:tr>
      <w:tr w:rsidR="009F2CD2" w:rsidRPr="00F90B3F" w14:paraId="6F7C921B" w14:textId="77777777" w:rsidTr="007A3945">
        <w:trPr>
          <w:trHeight w:hRule="exact" w:val="227"/>
        </w:trPr>
        <w:tc>
          <w:tcPr>
            <w:tcW w:w="1021" w:type="dxa"/>
            <w:tcBorders>
              <w:top w:val="nil"/>
              <w:left w:val="nil"/>
              <w:bottom w:val="nil"/>
              <w:right w:val="nil"/>
            </w:tcBorders>
            <w:shd w:val="clear" w:color="auto" w:fill="auto"/>
            <w:noWrap/>
            <w:vAlign w:val="center"/>
            <w:hideMark/>
          </w:tcPr>
          <w:p w14:paraId="7D698A22" w14:textId="77777777" w:rsidR="00F90B3F" w:rsidRPr="00F90B3F" w:rsidRDefault="00F90B3F" w:rsidP="00F90B3F">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CT 01/2022</w:t>
            </w:r>
            <w:r w:rsidRPr="00F90B3F">
              <w:rPr>
                <w:rFonts w:ascii="Calibri" w:eastAsia="Times New Roman" w:hAnsi="Calibri" w:cs="Calibri"/>
                <w:color w:val="000000"/>
                <w:sz w:val="16"/>
                <w:szCs w:val="16"/>
                <w:vertAlign w:val="superscript"/>
              </w:rPr>
              <w:t>4</w:t>
            </w:r>
          </w:p>
        </w:tc>
        <w:tc>
          <w:tcPr>
            <w:tcW w:w="1021" w:type="dxa"/>
            <w:tcBorders>
              <w:top w:val="nil"/>
              <w:left w:val="nil"/>
              <w:bottom w:val="nil"/>
              <w:right w:val="nil"/>
            </w:tcBorders>
            <w:shd w:val="clear" w:color="auto" w:fill="auto"/>
            <w:noWrap/>
            <w:vAlign w:val="center"/>
            <w:hideMark/>
          </w:tcPr>
          <w:p w14:paraId="54E5487D"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1.320.020</w:t>
            </w:r>
          </w:p>
        </w:tc>
        <w:tc>
          <w:tcPr>
            <w:tcW w:w="1020" w:type="dxa"/>
            <w:tcBorders>
              <w:top w:val="nil"/>
              <w:left w:val="nil"/>
              <w:bottom w:val="nil"/>
              <w:right w:val="nil"/>
            </w:tcBorders>
            <w:shd w:val="clear" w:color="auto" w:fill="auto"/>
            <w:noWrap/>
            <w:vAlign w:val="center"/>
            <w:hideMark/>
          </w:tcPr>
          <w:p w14:paraId="7B1AD346"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14.089.644</w:t>
            </w:r>
          </w:p>
        </w:tc>
        <w:tc>
          <w:tcPr>
            <w:tcW w:w="1019" w:type="dxa"/>
            <w:tcBorders>
              <w:top w:val="nil"/>
              <w:left w:val="nil"/>
              <w:bottom w:val="nil"/>
              <w:right w:val="nil"/>
            </w:tcBorders>
            <w:shd w:val="clear" w:color="auto" w:fill="auto"/>
            <w:noWrap/>
            <w:vAlign w:val="center"/>
            <w:hideMark/>
          </w:tcPr>
          <w:p w14:paraId="4F282BE6"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15.409.664</w:t>
            </w:r>
          </w:p>
        </w:tc>
        <w:tc>
          <w:tcPr>
            <w:tcW w:w="1241" w:type="dxa"/>
            <w:tcBorders>
              <w:top w:val="nil"/>
              <w:left w:val="nil"/>
              <w:bottom w:val="nil"/>
              <w:right w:val="nil"/>
            </w:tcBorders>
            <w:shd w:val="clear" w:color="auto" w:fill="auto"/>
            <w:noWrap/>
            <w:vAlign w:val="center"/>
            <w:hideMark/>
          </w:tcPr>
          <w:p w14:paraId="5328FFFA" w14:textId="65C22F2C" w:rsidR="00F90B3F" w:rsidRPr="00F90B3F" w:rsidRDefault="003C002E"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915" w:type="dxa"/>
            <w:tcBorders>
              <w:top w:val="nil"/>
              <w:left w:val="nil"/>
              <w:bottom w:val="nil"/>
              <w:right w:val="nil"/>
            </w:tcBorders>
            <w:shd w:val="clear" w:color="auto" w:fill="auto"/>
            <w:noWrap/>
            <w:vAlign w:val="center"/>
            <w:hideMark/>
          </w:tcPr>
          <w:p w14:paraId="66F10976"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194.963</w:t>
            </w:r>
          </w:p>
        </w:tc>
        <w:tc>
          <w:tcPr>
            <w:tcW w:w="1069" w:type="dxa"/>
            <w:tcBorders>
              <w:top w:val="nil"/>
              <w:left w:val="nil"/>
              <w:bottom w:val="nil"/>
              <w:right w:val="nil"/>
            </w:tcBorders>
            <w:shd w:val="clear" w:color="auto" w:fill="auto"/>
            <w:noWrap/>
            <w:vAlign w:val="center"/>
            <w:hideMark/>
          </w:tcPr>
          <w:p w14:paraId="4804E66F" w14:textId="051C596A"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19" w:type="dxa"/>
            <w:tcBorders>
              <w:top w:val="nil"/>
              <w:left w:val="nil"/>
              <w:bottom w:val="nil"/>
              <w:right w:val="nil"/>
            </w:tcBorders>
            <w:shd w:val="clear" w:color="auto" w:fill="auto"/>
            <w:noWrap/>
            <w:vAlign w:val="center"/>
            <w:hideMark/>
          </w:tcPr>
          <w:p w14:paraId="7F08FFBF" w14:textId="5455A244"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1.336.721</w:t>
            </w:r>
          </w:p>
        </w:tc>
        <w:tc>
          <w:tcPr>
            <w:tcW w:w="1019" w:type="dxa"/>
            <w:tcBorders>
              <w:top w:val="nil"/>
              <w:left w:val="nil"/>
              <w:bottom w:val="nil"/>
              <w:right w:val="nil"/>
            </w:tcBorders>
            <w:shd w:val="clear" w:color="auto" w:fill="auto"/>
            <w:noWrap/>
            <w:vAlign w:val="center"/>
            <w:hideMark/>
          </w:tcPr>
          <w:p w14:paraId="174830E9" w14:textId="1949F3E1"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14.267.906</w:t>
            </w:r>
          </w:p>
        </w:tc>
        <w:tc>
          <w:tcPr>
            <w:tcW w:w="1019" w:type="dxa"/>
            <w:tcBorders>
              <w:top w:val="nil"/>
              <w:left w:val="nil"/>
              <w:bottom w:val="nil"/>
              <w:right w:val="nil"/>
            </w:tcBorders>
            <w:shd w:val="clear" w:color="auto" w:fill="auto"/>
            <w:noWrap/>
            <w:vAlign w:val="center"/>
            <w:hideMark/>
          </w:tcPr>
          <w:p w14:paraId="47890B1F" w14:textId="239FF36D"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15.604.627</w:t>
            </w:r>
          </w:p>
        </w:tc>
      </w:tr>
      <w:tr w:rsidR="009F2CD2" w:rsidRPr="00F90B3F" w14:paraId="1AFF770A" w14:textId="77777777" w:rsidTr="00553371">
        <w:trPr>
          <w:trHeight w:hRule="exact" w:val="227"/>
        </w:trPr>
        <w:tc>
          <w:tcPr>
            <w:tcW w:w="1021" w:type="dxa"/>
            <w:tcBorders>
              <w:top w:val="nil"/>
              <w:left w:val="nil"/>
              <w:bottom w:val="single" w:sz="8" w:space="0" w:color="auto"/>
              <w:right w:val="nil"/>
            </w:tcBorders>
            <w:shd w:val="clear" w:color="auto" w:fill="auto"/>
            <w:noWrap/>
            <w:vAlign w:val="center"/>
            <w:hideMark/>
          </w:tcPr>
          <w:p w14:paraId="18FDFA97" w14:textId="77777777" w:rsidR="00F90B3F" w:rsidRPr="00F90B3F" w:rsidRDefault="00F90B3F" w:rsidP="00F90B3F">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CT 16/2022</w:t>
            </w:r>
            <w:r w:rsidRPr="00F90B3F">
              <w:rPr>
                <w:rFonts w:ascii="Calibri" w:eastAsia="Times New Roman" w:hAnsi="Calibri" w:cs="Calibri"/>
                <w:color w:val="000000"/>
                <w:sz w:val="16"/>
                <w:szCs w:val="16"/>
                <w:vertAlign w:val="superscript"/>
              </w:rPr>
              <w:t>5</w:t>
            </w:r>
          </w:p>
        </w:tc>
        <w:tc>
          <w:tcPr>
            <w:tcW w:w="1021" w:type="dxa"/>
            <w:tcBorders>
              <w:top w:val="nil"/>
              <w:left w:val="nil"/>
              <w:bottom w:val="single" w:sz="8" w:space="0" w:color="auto"/>
              <w:right w:val="nil"/>
            </w:tcBorders>
            <w:shd w:val="clear" w:color="auto" w:fill="auto"/>
            <w:noWrap/>
            <w:vAlign w:val="center"/>
            <w:hideMark/>
          </w:tcPr>
          <w:p w14:paraId="6283322B" w14:textId="424EFB49"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20" w:type="dxa"/>
            <w:tcBorders>
              <w:top w:val="nil"/>
              <w:left w:val="nil"/>
              <w:bottom w:val="single" w:sz="8" w:space="0" w:color="auto"/>
              <w:right w:val="nil"/>
            </w:tcBorders>
            <w:shd w:val="clear" w:color="auto" w:fill="auto"/>
            <w:noWrap/>
            <w:vAlign w:val="center"/>
            <w:hideMark/>
          </w:tcPr>
          <w:p w14:paraId="5E28881E" w14:textId="005ED884"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19" w:type="dxa"/>
            <w:tcBorders>
              <w:top w:val="nil"/>
              <w:left w:val="nil"/>
              <w:bottom w:val="single" w:sz="8" w:space="0" w:color="auto"/>
              <w:right w:val="nil"/>
            </w:tcBorders>
            <w:shd w:val="clear" w:color="auto" w:fill="auto"/>
            <w:noWrap/>
            <w:vAlign w:val="center"/>
            <w:hideMark/>
          </w:tcPr>
          <w:p w14:paraId="53FAC156" w14:textId="1DDBDBB2"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241" w:type="dxa"/>
            <w:tcBorders>
              <w:top w:val="nil"/>
              <w:left w:val="nil"/>
              <w:bottom w:val="single" w:sz="8" w:space="0" w:color="auto"/>
              <w:right w:val="nil"/>
            </w:tcBorders>
            <w:shd w:val="clear" w:color="auto" w:fill="auto"/>
            <w:noWrap/>
            <w:vAlign w:val="center"/>
            <w:hideMark/>
          </w:tcPr>
          <w:p w14:paraId="55D7E34C"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2.497.505</w:t>
            </w:r>
          </w:p>
        </w:tc>
        <w:tc>
          <w:tcPr>
            <w:tcW w:w="915" w:type="dxa"/>
            <w:tcBorders>
              <w:top w:val="nil"/>
              <w:left w:val="nil"/>
              <w:bottom w:val="single" w:sz="8" w:space="0" w:color="auto"/>
              <w:right w:val="nil"/>
            </w:tcBorders>
            <w:shd w:val="clear" w:color="auto" w:fill="auto"/>
            <w:noWrap/>
            <w:vAlign w:val="center"/>
            <w:hideMark/>
          </w:tcPr>
          <w:p w14:paraId="5637B965" w14:textId="77777777" w:rsidR="00F90B3F" w:rsidRPr="00F90B3F" w:rsidRDefault="00F90B3F" w:rsidP="00CF2E72">
            <w:pPr>
              <w:spacing w:after="0" w:line="240" w:lineRule="auto"/>
              <w:jc w:val="right"/>
              <w:rPr>
                <w:rFonts w:ascii="Calibri" w:eastAsia="Times New Roman" w:hAnsi="Calibri" w:cs="Calibri"/>
                <w:color w:val="000000"/>
                <w:sz w:val="16"/>
                <w:szCs w:val="16"/>
              </w:rPr>
            </w:pPr>
            <w:r w:rsidRPr="00F90B3F">
              <w:rPr>
                <w:rFonts w:ascii="Calibri" w:eastAsia="Times New Roman" w:hAnsi="Calibri" w:cs="Calibri"/>
                <w:color w:val="000000"/>
                <w:sz w:val="16"/>
                <w:szCs w:val="16"/>
              </w:rPr>
              <w:t>31.598</w:t>
            </w:r>
          </w:p>
        </w:tc>
        <w:tc>
          <w:tcPr>
            <w:tcW w:w="1069" w:type="dxa"/>
            <w:tcBorders>
              <w:top w:val="nil"/>
              <w:left w:val="nil"/>
              <w:bottom w:val="single" w:sz="8" w:space="0" w:color="auto"/>
              <w:right w:val="nil"/>
            </w:tcBorders>
            <w:shd w:val="clear" w:color="auto" w:fill="auto"/>
            <w:noWrap/>
            <w:vAlign w:val="center"/>
            <w:hideMark/>
          </w:tcPr>
          <w:p w14:paraId="32D028EA" w14:textId="09CFD49E" w:rsidR="00F90B3F" w:rsidRPr="00F90B3F" w:rsidRDefault="00617118" w:rsidP="00CF2E7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19" w:type="dxa"/>
            <w:tcBorders>
              <w:top w:val="nil"/>
              <w:left w:val="nil"/>
              <w:bottom w:val="single" w:sz="8" w:space="0" w:color="auto"/>
              <w:right w:val="nil"/>
            </w:tcBorders>
            <w:shd w:val="clear" w:color="auto" w:fill="auto"/>
            <w:noWrap/>
            <w:vAlign w:val="center"/>
            <w:hideMark/>
          </w:tcPr>
          <w:p w14:paraId="76BE6EF3" w14:textId="102A73C6"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180.650</w:t>
            </w:r>
          </w:p>
        </w:tc>
        <w:tc>
          <w:tcPr>
            <w:tcW w:w="1019" w:type="dxa"/>
            <w:tcBorders>
              <w:top w:val="nil"/>
              <w:left w:val="nil"/>
              <w:bottom w:val="single" w:sz="8" w:space="0" w:color="auto"/>
              <w:right w:val="nil"/>
            </w:tcBorders>
            <w:shd w:val="clear" w:color="auto" w:fill="auto"/>
            <w:noWrap/>
            <w:vAlign w:val="center"/>
            <w:hideMark/>
          </w:tcPr>
          <w:p w14:paraId="02B3473C" w14:textId="162CCE13"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2.348.45</w:t>
            </w:r>
            <w:r w:rsidR="00AE3D2B">
              <w:rPr>
                <w:rFonts w:ascii="Calibri" w:eastAsia="Times New Roman" w:hAnsi="Calibri" w:cs="Calibri"/>
                <w:sz w:val="16"/>
                <w:szCs w:val="16"/>
              </w:rPr>
              <w:t>2</w:t>
            </w:r>
          </w:p>
        </w:tc>
        <w:tc>
          <w:tcPr>
            <w:tcW w:w="1019" w:type="dxa"/>
            <w:tcBorders>
              <w:top w:val="nil"/>
              <w:left w:val="nil"/>
              <w:bottom w:val="single" w:sz="8" w:space="0" w:color="auto"/>
              <w:right w:val="nil"/>
            </w:tcBorders>
            <w:shd w:val="clear" w:color="auto" w:fill="auto"/>
            <w:noWrap/>
            <w:vAlign w:val="center"/>
            <w:hideMark/>
          </w:tcPr>
          <w:p w14:paraId="32C06C17" w14:textId="1256057C" w:rsidR="00F90B3F" w:rsidRPr="00F90B3F" w:rsidRDefault="00F90B3F" w:rsidP="00CF2E72">
            <w:pPr>
              <w:spacing w:after="0" w:line="240" w:lineRule="auto"/>
              <w:jc w:val="right"/>
              <w:rPr>
                <w:rFonts w:ascii="Calibri" w:eastAsia="Times New Roman" w:hAnsi="Calibri" w:cs="Calibri"/>
                <w:sz w:val="16"/>
                <w:szCs w:val="16"/>
              </w:rPr>
            </w:pPr>
            <w:r w:rsidRPr="00F90B3F">
              <w:rPr>
                <w:rFonts w:ascii="Calibri" w:eastAsia="Times New Roman" w:hAnsi="Calibri" w:cs="Calibri"/>
                <w:sz w:val="16"/>
                <w:szCs w:val="16"/>
              </w:rPr>
              <w:t>2.529.10</w:t>
            </w:r>
            <w:r w:rsidR="00951BBD">
              <w:rPr>
                <w:rFonts w:ascii="Calibri" w:eastAsia="Times New Roman" w:hAnsi="Calibri" w:cs="Calibri"/>
                <w:sz w:val="16"/>
                <w:szCs w:val="16"/>
              </w:rPr>
              <w:t>2</w:t>
            </w:r>
          </w:p>
        </w:tc>
      </w:tr>
      <w:tr w:rsidR="009F2CD2" w:rsidRPr="00F90B3F" w14:paraId="575482F5" w14:textId="77777777" w:rsidTr="00553371">
        <w:trPr>
          <w:trHeight w:hRule="exact" w:val="227"/>
        </w:trPr>
        <w:tc>
          <w:tcPr>
            <w:tcW w:w="1021" w:type="dxa"/>
            <w:tcBorders>
              <w:top w:val="single" w:sz="8" w:space="0" w:color="auto"/>
              <w:left w:val="nil"/>
              <w:bottom w:val="single" w:sz="8" w:space="0" w:color="auto"/>
              <w:right w:val="nil"/>
            </w:tcBorders>
            <w:shd w:val="clear" w:color="000000" w:fill="DEEAF6"/>
            <w:noWrap/>
            <w:vAlign w:val="center"/>
            <w:hideMark/>
          </w:tcPr>
          <w:p w14:paraId="55868C74" w14:textId="77777777" w:rsidR="00F90B3F" w:rsidRPr="00F90B3F" w:rsidRDefault="00F90B3F" w:rsidP="00F90B3F">
            <w:pPr>
              <w:spacing w:after="0" w:line="240" w:lineRule="auto"/>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Total</w:t>
            </w:r>
          </w:p>
        </w:tc>
        <w:tc>
          <w:tcPr>
            <w:tcW w:w="1021" w:type="dxa"/>
            <w:tcBorders>
              <w:top w:val="single" w:sz="8" w:space="0" w:color="auto"/>
              <w:left w:val="nil"/>
              <w:bottom w:val="single" w:sz="8" w:space="0" w:color="auto"/>
              <w:right w:val="nil"/>
            </w:tcBorders>
            <w:shd w:val="clear" w:color="000000" w:fill="DEEAF6"/>
            <w:noWrap/>
            <w:vAlign w:val="center"/>
            <w:hideMark/>
          </w:tcPr>
          <w:p w14:paraId="25C72578" w14:textId="77777777"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4.458.081</w:t>
            </w:r>
          </w:p>
        </w:tc>
        <w:tc>
          <w:tcPr>
            <w:tcW w:w="1020" w:type="dxa"/>
            <w:tcBorders>
              <w:top w:val="single" w:sz="8" w:space="0" w:color="auto"/>
              <w:left w:val="nil"/>
              <w:bottom w:val="single" w:sz="8" w:space="0" w:color="auto"/>
              <w:right w:val="nil"/>
            </w:tcBorders>
            <w:shd w:val="clear" w:color="000000" w:fill="DEEAF6"/>
            <w:noWrap/>
            <w:vAlign w:val="center"/>
            <w:hideMark/>
          </w:tcPr>
          <w:p w14:paraId="63F53293" w14:textId="77777777"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62.224.386</w:t>
            </w:r>
          </w:p>
        </w:tc>
        <w:tc>
          <w:tcPr>
            <w:tcW w:w="1019" w:type="dxa"/>
            <w:tcBorders>
              <w:top w:val="single" w:sz="8" w:space="0" w:color="auto"/>
              <w:left w:val="nil"/>
              <w:bottom w:val="single" w:sz="8" w:space="0" w:color="auto"/>
              <w:right w:val="nil"/>
            </w:tcBorders>
            <w:shd w:val="clear" w:color="000000" w:fill="DEEAF6"/>
            <w:noWrap/>
            <w:vAlign w:val="center"/>
            <w:hideMark/>
          </w:tcPr>
          <w:p w14:paraId="50A22444" w14:textId="77777777"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66.682.467</w:t>
            </w:r>
          </w:p>
        </w:tc>
        <w:tc>
          <w:tcPr>
            <w:tcW w:w="1241" w:type="dxa"/>
            <w:tcBorders>
              <w:top w:val="single" w:sz="8" w:space="0" w:color="auto"/>
              <w:left w:val="nil"/>
              <w:bottom w:val="single" w:sz="8" w:space="0" w:color="auto"/>
              <w:right w:val="nil"/>
            </w:tcBorders>
            <w:shd w:val="clear" w:color="000000" w:fill="DEEAF6"/>
            <w:noWrap/>
            <w:vAlign w:val="center"/>
            <w:hideMark/>
          </w:tcPr>
          <w:p w14:paraId="77562FFF" w14:textId="77777777"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2.497.505</w:t>
            </w:r>
          </w:p>
        </w:tc>
        <w:tc>
          <w:tcPr>
            <w:tcW w:w="915" w:type="dxa"/>
            <w:tcBorders>
              <w:top w:val="single" w:sz="8" w:space="0" w:color="auto"/>
              <w:left w:val="nil"/>
              <w:bottom w:val="single" w:sz="8" w:space="0" w:color="auto"/>
              <w:right w:val="nil"/>
            </w:tcBorders>
            <w:shd w:val="clear" w:color="000000" w:fill="DEEAF6"/>
            <w:noWrap/>
            <w:vAlign w:val="center"/>
            <w:hideMark/>
          </w:tcPr>
          <w:p w14:paraId="407C4E09" w14:textId="4F6FA9F6" w:rsidR="00F90B3F" w:rsidRPr="00F90B3F" w:rsidRDefault="003C4AA8" w:rsidP="00CF2E72">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723.061</w:t>
            </w:r>
          </w:p>
        </w:tc>
        <w:tc>
          <w:tcPr>
            <w:tcW w:w="1069" w:type="dxa"/>
            <w:tcBorders>
              <w:top w:val="single" w:sz="8" w:space="0" w:color="auto"/>
              <w:left w:val="nil"/>
              <w:bottom w:val="single" w:sz="8" w:space="0" w:color="auto"/>
              <w:right w:val="nil"/>
            </w:tcBorders>
            <w:shd w:val="clear" w:color="000000" w:fill="DEEAF6"/>
            <w:noWrap/>
            <w:vAlign w:val="center"/>
            <w:hideMark/>
          </w:tcPr>
          <w:p w14:paraId="7BCA879B" w14:textId="3E55F9DD" w:rsidR="00F90B3F" w:rsidRPr="00F90B3F" w:rsidRDefault="00B80F62" w:rsidP="00CF2E72">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(889.370)</w:t>
            </w:r>
          </w:p>
        </w:tc>
        <w:tc>
          <w:tcPr>
            <w:tcW w:w="1019" w:type="dxa"/>
            <w:tcBorders>
              <w:top w:val="single" w:sz="8" w:space="0" w:color="auto"/>
              <w:left w:val="nil"/>
              <w:bottom w:val="single" w:sz="8" w:space="0" w:color="auto"/>
              <w:right w:val="nil"/>
            </w:tcBorders>
            <w:shd w:val="clear" w:color="000000" w:fill="DEEAF6"/>
            <w:noWrap/>
            <w:vAlign w:val="center"/>
            <w:hideMark/>
          </w:tcPr>
          <w:p w14:paraId="23C14B6F" w14:textId="77777777"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4.448.226</w:t>
            </w:r>
          </w:p>
        </w:tc>
        <w:tc>
          <w:tcPr>
            <w:tcW w:w="1019" w:type="dxa"/>
            <w:tcBorders>
              <w:top w:val="single" w:sz="8" w:space="0" w:color="auto"/>
              <w:left w:val="nil"/>
              <w:bottom w:val="single" w:sz="8" w:space="0" w:color="auto"/>
              <w:right w:val="nil"/>
            </w:tcBorders>
            <w:shd w:val="clear" w:color="000000" w:fill="DEEAF6"/>
            <w:noWrap/>
            <w:vAlign w:val="center"/>
            <w:hideMark/>
          </w:tcPr>
          <w:p w14:paraId="49779A32" w14:textId="2044DAFA" w:rsidR="00F90B3F" w:rsidRPr="00F90B3F" w:rsidRDefault="00F90B3F" w:rsidP="00CF2E72">
            <w:pPr>
              <w:spacing w:after="0" w:line="240" w:lineRule="auto"/>
              <w:jc w:val="right"/>
              <w:rPr>
                <w:rFonts w:ascii="Calibri" w:eastAsia="Times New Roman" w:hAnsi="Calibri" w:cs="Calibri"/>
                <w:b/>
                <w:bCs/>
                <w:color w:val="000000"/>
                <w:sz w:val="16"/>
                <w:szCs w:val="16"/>
              </w:rPr>
            </w:pPr>
            <w:r w:rsidRPr="00F90B3F">
              <w:rPr>
                <w:rFonts w:ascii="Calibri" w:eastAsia="Times New Roman" w:hAnsi="Calibri" w:cs="Calibri"/>
                <w:b/>
                <w:bCs/>
                <w:color w:val="000000"/>
                <w:sz w:val="16"/>
                <w:szCs w:val="16"/>
              </w:rPr>
              <w:t>64.565.4</w:t>
            </w:r>
            <w:r w:rsidR="00D85E76">
              <w:rPr>
                <w:rFonts w:ascii="Calibri" w:eastAsia="Times New Roman" w:hAnsi="Calibri" w:cs="Calibri"/>
                <w:b/>
                <w:bCs/>
                <w:color w:val="000000"/>
                <w:sz w:val="16"/>
                <w:szCs w:val="16"/>
              </w:rPr>
              <w:t>36</w:t>
            </w:r>
          </w:p>
        </w:tc>
        <w:tc>
          <w:tcPr>
            <w:tcW w:w="1019" w:type="dxa"/>
            <w:tcBorders>
              <w:top w:val="single" w:sz="8" w:space="0" w:color="auto"/>
              <w:left w:val="nil"/>
              <w:bottom w:val="single" w:sz="8" w:space="0" w:color="auto"/>
              <w:right w:val="nil"/>
            </w:tcBorders>
            <w:shd w:val="clear" w:color="000000" w:fill="DEEAF6"/>
            <w:noWrap/>
            <w:vAlign w:val="center"/>
            <w:hideMark/>
          </w:tcPr>
          <w:p w14:paraId="0C6344D6" w14:textId="56202F01" w:rsidR="00F90B3F" w:rsidRPr="00F90B3F" w:rsidRDefault="00F90B3F" w:rsidP="00CF2E72">
            <w:pPr>
              <w:spacing w:after="0" w:line="240" w:lineRule="auto"/>
              <w:jc w:val="right"/>
              <w:rPr>
                <w:rFonts w:ascii="Calibri" w:eastAsia="Times New Roman" w:hAnsi="Calibri" w:cs="Calibri"/>
                <w:b/>
                <w:bCs/>
                <w:color w:val="000000"/>
                <w:sz w:val="16"/>
                <w:szCs w:val="16"/>
              </w:rPr>
            </w:pPr>
            <w:r w:rsidRPr="00D0035D">
              <w:rPr>
                <w:rFonts w:ascii="Calibri" w:eastAsia="Times New Roman" w:hAnsi="Calibri" w:cs="Calibri"/>
                <w:b/>
                <w:bCs/>
                <w:color w:val="000000"/>
                <w:sz w:val="16"/>
                <w:szCs w:val="16"/>
              </w:rPr>
              <w:t>6</w:t>
            </w:r>
            <w:r w:rsidR="003C4AA8" w:rsidRPr="00D0035D">
              <w:rPr>
                <w:rFonts w:ascii="Calibri" w:eastAsia="Times New Roman" w:hAnsi="Calibri" w:cs="Calibri"/>
                <w:b/>
                <w:bCs/>
                <w:color w:val="000000"/>
                <w:sz w:val="16"/>
                <w:szCs w:val="16"/>
              </w:rPr>
              <w:t>9.013.66</w:t>
            </w:r>
            <w:r w:rsidR="002971B1" w:rsidRPr="00D0035D">
              <w:rPr>
                <w:rFonts w:ascii="Calibri" w:eastAsia="Times New Roman" w:hAnsi="Calibri" w:cs="Calibri"/>
                <w:b/>
                <w:bCs/>
                <w:color w:val="000000"/>
                <w:sz w:val="16"/>
                <w:szCs w:val="16"/>
              </w:rPr>
              <w:t>2</w:t>
            </w:r>
          </w:p>
        </w:tc>
      </w:tr>
    </w:tbl>
    <w:p w14:paraId="06F6CA43" w14:textId="77777777" w:rsidR="00AB0268" w:rsidRPr="00617118" w:rsidRDefault="00AB0268" w:rsidP="00617118">
      <w:pPr>
        <w:spacing w:before="120" w:after="0"/>
        <w:jc w:val="both"/>
        <w:rPr>
          <w:rFonts w:cstheme="minorHAnsi"/>
          <w:sz w:val="2"/>
          <w:szCs w:val="2"/>
        </w:rPr>
      </w:pPr>
    </w:p>
    <w:p w14:paraId="5A916929" w14:textId="77777777" w:rsidR="00703D25" w:rsidRPr="009652C3" w:rsidRDefault="00703D25" w:rsidP="00C000AF">
      <w:pPr>
        <w:pStyle w:val="PargrafodaLista"/>
        <w:numPr>
          <w:ilvl w:val="0"/>
          <w:numId w:val="11"/>
        </w:numPr>
        <w:jc w:val="both"/>
        <w:rPr>
          <w:rFonts w:ascii="Calibri" w:hAnsi="Calibri" w:cs="Calibri"/>
          <w:sz w:val="16"/>
          <w:szCs w:val="16"/>
        </w:rPr>
      </w:pPr>
      <w:r w:rsidRPr="009652C3">
        <w:rPr>
          <w:rFonts w:ascii="Calibri" w:hAnsi="Calibri" w:cs="Calibri"/>
          <w:sz w:val="16"/>
          <w:szCs w:val="16"/>
        </w:rPr>
        <w:t>Porto Seco Centro Oeste S.A.</w:t>
      </w:r>
    </w:p>
    <w:p w14:paraId="177C3F89" w14:textId="77777777" w:rsidR="00703D25" w:rsidRPr="009652C3" w:rsidRDefault="00703D25" w:rsidP="00C000AF">
      <w:pPr>
        <w:pStyle w:val="PargrafodaLista"/>
        <w:numPr>
          <w:ilvl w:val="0"/>
          <w:numId w:val="11"/>
        </w:numPr>
        <w:spacing w:before="240"/>
        <w:jc w:val="both"/>
        <w:rPr>
          <w:rFonts w:ascii="Calibri" w:hAnsi="Calibri" w:cs="Calibri"/>
          <w:sz w:val="16"/>
          <w:szCs w:val="16"/>
        </w:rPr>
      </w:pPr>
      <w:r w:rsidRPr="009652C3">
        <w:rPr>
          <w:rFonts w:ascii="Calibri" w:hAnsi="Calibri" w:cs="Calibri"/>
          <w:sz w:val="16"/>
          <w:szCs w:val="16"/>
        </w:rPr>
        <w:t>TDC - Distribuidora de Combustíveis S.A.</w:t>
      </w:r>
    </w:p>
    <w:p w14:paraId="149E24FE" w14:textId="77777777" w:rsidR="00703D25" w:rsidRPr="009652C3" w:rsidRDefault="00703D25" w:rsidP="00C000AF">
      <w:pPr>
        <w:pStyle w:val="PargrafodaLista"/>
        <w:numPr>
          <w:ilvl w:val="0"/>
          <w:numId w:val="11"/>
        </w:numPr>
        <w:spacing w:before="240"/>
        <w:jc w:val="both"/>
        <w:rPr>
          <w:rFonts w:ascii="Calibri" w:hAnsi="Calibri" w:cs="Calibri"/>
          <w:sz w:val="16"/>
          <w:szCs w:val="16"/>
        </w:rPr>
      </w:pPr>
      <w:r w:rsidRPr="009652C3">
        <w:rPr>
          <w:rFonts w:ascii="Calibri" w:hAnsi="Calibri" w:cs="Calibri"/>
          <w:sz w:val="16"/>
          <w:szCs w:val="16"/>
        </w:rPr>
        <w:t>Terminal VLI Porto Franco S.A.</w:t>
      </w:r>
    </w:p>
    <w:p w14:paraId="4FA63D14" w14:textId="536C5F5A" w:rsidR="00703D25" w:rsidRDefault="00703D25" w:rsidP="00C000AF">
      <w:pPr>
        <w:pStyle w:val="PargrafodaLista"/>
        <w:numPr>
          <w:ilvl w:val="0"/>
          <w:numId w:val="11"/>
        </w:numPr>
        <w:spacing w:before="240"/>
        <w:jc w:val="both"/>
        <w:rPr>
          <w:rFonts w:ascii="Calibri" w:hAnsi="Calibri" w:cs="Calibri"/>
          <w:sz w:val="16"/>
          <w:szCs w:val="16"/>
        </w:rPr>
      </w:pPr>
      <w:r w:rsidRPr="009652C3">
        <w:rPr>
          <w:rFonts w:ascii="Calibri" w:hAnsi="Calibri" w:cs="Calibri"/>
          <w:sz w:val="16"/>
          <w:szCs w:val="16"/>
        </w:rPr>
        <w:t>MIL - Modal de Integração e Logística SPE S</w:t>
      </w:r>
      <w:r w:rsidR="008631B7">
        <w:rPr>
          <w:rFonts w:ascii="Calibri" w:hAnsi="Calibri" w:cs="Calibri"/>
          <w:sz w:val="16"/>
          <w:szCs w:val="16"/>
        </w:rPr>
        <w:t>.</w:t>
      </w:r>
      <w:r w:rsidRPr="009652C3">
        <w:rPr>
          <w:rFonts w:ascii="Calibri" w:hAnsi="Calibri" w:cs="Calibri"/>
          <w:sz w:val="16"/>
          <w:szCs w:val="16"/>
        </w:rPr>
        <w:t>A</w:t>
      </w:r>
      <w:r w:rsidR="008631B7">
        <w:rPr>
          <w:rFonts w:ascii="Calibri" w:hAnsi="Calibri" w:cs="Calibri"/>
          <w:sz w:val="16"/>
          <w:szCs w:val="16"/>
        </w:rPr>
        <w:t>.</w:t>
      </w:r>
    </w:p>
    <w:p w14:paraId="1B279A35" w14:textId="56AB2AD5" w:rsidR="00053ACA" w:rsidRPr="00CA4F30" w:rsidRDefault="00F90B3F" w:rsidP="00C000AF">
      <w:pPr>
        <w:pStyle w:val="PargrafodaLista"/>
        <w:numPr>
          <w:ilvl w:val="0"/>
          <w:numId w:val="11"/>
        </w:numPr>
        <w:spacing w:before="240"/>
        <w:jc w:val="both"/>
        <w:rPr>
          <w:rFonts w:ascii="Calibri" w:hAnsi="Calibri" w:cs="Calibri"/>
          <w:sz w:val="16"/>
          <w:szCs w:val="16"/>
        </w:rPr>
      </w:pPr>
      <w:proofErr w:type="spellStart"/>
      <w:r w:rsidRPr="00CA4F30">
        <w:rPr>
          <w:rFonts w:ascii="Calibri" w:hAnsi="Calibri" w:cs="Calibri"/>
          <w:sz w:val="16"/>
          <w:szCs w:val="16"/>
        </w:rPr>
        <w:t>Spe</w:t>
      </w:r>
      <w:proofErr w:type="spellEnd"/>
      <w:r w:rsidRPr="00CA4F30">
        <w:rPr>
          <w:rFonts w:ascii="Calibri" w:hAnsi="Calibri" w:cs="Calibri"/>
          <w:b/>
          <w:bCs/>
          <w:sz w:val="16"/>
          <w:szCs w:val="16"/>
        </w:rPr>
        <w:t xml:space="preserve"> </w:t>
      </w:r>
      <w:proofErr w:type="spellStart"/>
      <w:r w:rsidRPr="00CA4F30">
        <w:rPr>
          <w:rFonts w:ascii="Calibri" w:hAnsi="Calibri" w:cs="Calibri"/>
          <w:sz w:val="16"/>
          <w:szCs w:val="16"/>
        </w:rPr>
        <w:t>Agrex</w:t>
      </w:r>
      <w:proofErr w:type="spellEnd"/>
      <w:r w:rsidRPr="00CA4F30">
        <w:rPr>
          <w:rFonts w:ascii="Calibri" w:hAnsi="Calibri" w:cs="Calibri"/>
          <w:sz w:val="16"/>
          <w:szCs w:val="16"/>
        </w:rPr>
        <w:t xml:space="preserve"> Porto Franco Ltda</w:t>
      </w:r>
      <w:r w:rsidR="00CA4F30" w:rsidRPr="00CA4F30">
        <w:rPr>
          <w:rFonts w:ascii="Calibri" w:hAnsi="Calibri" w:cs="Calibri"/>
          <w:sz w:val="16"/>
          <w:szCs w:val="16"/>
        </w:rPr>
        <w:t>.</w:t>
      </w:r>
    </w:p>
    <w:p w14:paraId="497CD909" w14:textId="308B1055" w:rsidR="00567495" w:rsidRDefault="001073BD" w:rsidP="00FF4884">
      <w:pPr>
        <w:spacing w:before="120"/>
        <w:jc w:val="both"/>
        <w:rPr>
          <w:rFonts w:cstheme="minorHAnsi"/>
          <w:sz w:val="20"/>
          <w:szCs w:val="20"/>
        </w:rPr>
      </w:pPr>
      <w:r>
        <w:rPr>
          <w:rFonts w:cstheme="minorHAnsi"/>
          <w:sz w:val="20"/>
          <w:szCs w:val="20"/>
        </w:rPr>
        <w:t>No</w:t>
      </w:r>
      <w:r w:rsidR="00771055" w:rsidRPr="00627139">
        <w:rPr>
          <w:rFonts w:cstheme="minorHAnsi"/>
          <w:sz w:val="20"/>
          <w:szCs w:val="20"/>
        </w:rPr>
        <w:t xml:space="preserve"> </w:t>
      </w:r>
      <w:r w:rsidR="0030188E" w:rsidRPr="00627139">
        <w:rPr>
          <w:rFonts w:cstheme="minorHAnsi"/>
          <w:sz w:val="20"/>
          <w:szCs w:val="20"/>
        </w:rPr>
        <w:t>primeiro trimestre de 2024</w:t>
      </w:r>
      <w:r w:rsidR="00771055" w:rsidRPr="00627139">
        <w:rPr>
          <w:rFonts w:cstheme="minorHAnsi"/>
          <w:sz w:val="20"/>
          <w:szCs w:val="20"/>
        </w:rPr>
        <w:t xml:space="preserve">, a </w:t>
      </w:r>
      <w:r w:rsidR="00EF740F" w:rsidRPr="00EF740F">
        <w:rPr>
          <w:rFonts w:cstheme="minorHAnsi"/>
          <w:sz w:val="20"/>
          <w:szCs w:val="20"/>
        </w:rPr>
        <w:t>gerência</w:t>
      </w:r>
      <w:r w:rsidR="00EF740F">
        <w:rPr>
          <w:rFonts w:cstheme="minorHAnsi"/>
          <w:sz w:val="20"/>
          <w:szCs w:val="20"/>
        </w:rPr>
        <w:t xml:space="preserve"> contábil </w:t>
      </w:r>
      <w:r w:rsidR="00EF7340">
        <w:rPr>
          <w:rFonts w:cstheme="minorHAnsi"/>
          <w:sz w:val="20"/>
          <w:szCs w:val="20"/>
        </w:rPr>
        <w:t xml:space="preserve">recebeu </w:t>
      </w:r>
      <w:r w:rsidR="00567495">
        <w:rPr>
          <w:rFonts w:cstheme="minorHAnsi"/>
          <w:sz w:val="20"/>
          <w:szCs w:val="20"/>
        </w:rPr>
        <w:t xml:space="preserve">a solicitação de </w:t>
      </w:r>
      <w:r w:rsidR="00EF7340">
        <w:rPr>
          <w:rFonts w:cstheme="minorHAnsi"/>
          <w:sz w:val="20"/>
          <w:szCs w:val="20"/>
        </w:rPr>
        <w:t>registro</w:t>
      </w:r>
      <w:r w:rsidR="00F10429" w:rsidRPr="00627139">
        <w:rPr>
          <w:rFonts w:cstheme="minorHAnsi"/>
          <w:sz w:val="20"/>
          <w:szCs w:val="20"/>
        </w:rPr>
        <w:t xml:space="preserve"> </w:t>
      </w:r>
      <w:r w:rsidR="00567495">
        <w:rPr>
          <w:rFonts w:cstheme="minorHAnsi"/>
          <w:sz w:val="20"/>
          <w:szCs w:val="20"/>
        </w:rPr>
        <w:t>d</w:t>
      </w:r>
      <w:r w:rsidR="00F10429" w:rsidRPr="00627139">
        <w:rPr>
          <w:rFonts w:cstheme="minorHAnsi"/>
          <w:sz w:val="20"/>
          <w:szCs w:val="20"/>
        </w:rPr>
        <w:t xml:space="preserve">o </w:t>
      </w:r>
      <w:r>
        <w:rPr>
          <w:rFonts w:cstheme="minorHAnsi"/>
          <w:sz w:val="20"/>
          <w:szCs w:val="20"/>
        </w:rPr>
        <w:t>C</w:t>
      </w:r>
      <w:r w:rsidR="00F10429" w:rsidRPr="00627139">
        <w:rPr>
          <w:rFonts w:cstheme="minorHAnsi"/>
          <w:sz w:val="20"/>
          <w:szCs w:val="20"/>
        </w:rPr>
        <w:t xml:space="preserve">ontrato </w:t>
      </w:r>
      <w:r>
        <w:rPr>
          <w:rFonts w:cstheme="minorHAnsi"/>
          <w:sz w:val="20"/>
          <w:szCs w:val="20"/>
        </w:rPr>
        <w:t>nº</w:t>
      </w:r>
      <w:r w:rsidR="00C3118C" w:rsidRPr="00627139">
        <w:rPr>
          <w:rFonts w:cstheme="minorHAnsi"/>
          <w:sz w:val="20"/>
          <w:szCs w:val="20"/>
        </w:rPr>
        <w:t xml:space="preserve"> </w:t>
      </w:r>
      <w:r w:rsidR="00F10429" w:rsidRPr="00627139">
        <w:rPr>
          <w:rFonts w:cstheme="minorHAnsi"/>
          <w:sz w:val="20"/>
          <w:szCs w:val="20"/>
        </w:rPr>
        <w:t>16/</w:t>
      </w:r>
      <w:r w:rsidR="00C3118C" w:rsidRPr="00627139">
        <w:rPr>
          <w:rFonts w:cstheme="minorHAnsi"/>
          <w:sz w:val="20"/>
          <w:szCs w:val="20"/>
        </w:rPr>
        <w:t>202</w:t>
      </w:r>
      <w:r w:rsidR="00F86744">
        <w:rPr>
          <w:rFonts w:cstheme="minorHAnsi"/>
          <w:sz w:val="20"/>
          <w:szCs w:val="20"/>
        </w:rPr>
        <w:t>2</w:t>
      </w:r>
      <w:r w:rsidR="00D3793E" w:rsidRPr="00627139">
        <w:rPr>
          <w:rFonts w:cstheme="minorHAnsi"/>
          <w:sz w:val="20"/>
          <w:szCs w:val="20"/>
        </w:rPr>
        <w:t xml:space="preserve"> da SPE AGREX Porto Franco Ltda</w:t>
      </w:r>
      <w:r w:rsidR="00567495">
        <w:rPr>
          <w:rFonts w:cstheme="minorHAnsi"/>
          <w:sz w:val="20"/>
          <w:szCs w:val="20"/>
        </w:rPr>
        <w:t>., firma</w:t>
      </w:r>
      <w:r w:rsidR="00727A3D">
        <w:rPr>
          <w:rFonts w:cstheme="minorHAnsi"/>
          <w:sz w:val="20"/>
          <w:szCs w:val="20"/>
        </w:rPr>
        <w:t>do</w:t>
      </w:r>
      <w:r w:rsidR="00567495">
        <w:rPr>
          <w:rFonts w:cstheme="minorHAnsi"/>
          <w:sz w:val="20"/>
          <w:szCs w:val="20"/>
        </w:rPr>
        <w:t xml:space="preserve"> de </w:t>
      </w:r>
      <w:r w:rsidR="00C52340">
        <w:rPr>
          <w:rFonts w:cstheme="minorHAnsi"/>
          <w:sz w:val="20"/>
          <w:szCs w:val="20"/>
        </w:rPr>
        <w:t>29/11/2022</w:t>
      </w:r>
      <w:r w:rsidR="00CF0A4C">
        <w:rPr>
          <w:rFonts w:cstheme="minorHAnsi"/>
          <w:sz w:val="20"/>
          <w:szCs w:val="20"/>
        </w:rPr>
        <w:t xml:space="preserve">, cujo </w:t>
      </w:r>
      <w:r w:rsidR="00CF0A4C" w:rsidRPr="00CF0A4C">
        <w:rPr>
          <w:rFonts w:cstheme="minorHAnsi"/>
          <w:sz w:val="20"/>
          <w:szCs w:val="20"/>
        </w:rPr>
        <w:t>objeto é a concessão de uso de área de 37.073,24 m² para exploração do Terminal Intermodal, lote 4, Pátio de Porto Franco/MA - Ferrovia Norte-Sul, destinado a movimentação e armazenagem de granéis sólidos agrícolas, mediante condições especiais descritas no edital e contrato.</w:t>
      </w:r>
      <w:r w:rsidR="00071429">
        <w:rPr>
          <w:rFonts w:cstheme="minorHAnsi"/>
          <w:sz w:val="20"/>
          <w:szCs w:val="20"/>
        </w:rPr>
        <w:t xml:space="preserve"> O reconhecimento inicial </w:t>
      </w:r>
      <w:r w:rsidR="0038444F">
        <w:rPr>
          <w:rFonts w:cstheme="minorHAnsi"/>
          <w:sz w:val="20"/>
          <w:szCs w:val="20"/>
        </w:rPr>
        <w:t>se deu pelo valor original</w:t>
      </w:r>
      <w:r w:rsidR="00AF49A1">
        <w:rPr>
          <w:rFonts w:cstheme="minorHAnsi"/>
          <w:sz w:val="20"/>
          <w:szCs w:val="20"/>
        </w:rPr>
        <w:t xml:space="preserve"> da </w:t>
      </w:r>
      <w:r w:rsidR="00AF49A1" w:rsidRPr="00AF49A1">
        <w:rPr>
          <w:rFonts w:cstheme="minorHAnsi"/>
          <w:sz w:val="20"/>
          <w:szCs w:val="20"/>
        </w:rPr>
        <w:t>Contraprestação Fixa pelo direito de explorar a área e as atividades do Terminal</w:t>
      </w:r>
      <w:r w:rsidR="00CF0A4C">
        <w:rPr>
          <w:rFonts w:cstheme="minorHAnsi"/>
          <w:sz w:val="20"/>
          <w:szCs w:val="20"/>
        </w:rPr>
        <w:t xml:space="preserve">, acrescido da atualização monetária e deduzidos pelos recebimentos ocorridos em exercícios anteriores, </w:t>
      </w:r>
      <w:r w:rsidR="00453EA3">
        <w:rPr>
          <w:rFonts w:cstheme="minorHAnsi"/>
          <w:sz w:val="20"/>
          <w:szCs w:val="20"/>
        </w:rPr>
        <w:t>totalizando o valor</w:t>
      </w:r>
      <w:r w:rsidR="00CF0A4C">
        <w:rPr>
          <w:rFonts w:cstheme="minorHAnsi"/>
          <w:sz w:val="20"/>
          <w:szCs w:val="20"/>
        </w:rPr>
        <w:t xml:space="preserve"> líquido r</w:t>
      </w:r>
      <w:r w:rsidR="00640076">
        <w:rPr>
          <w:rFonts w:cstheme="minorHAnsi"/>
          <w:sz w:val="20"/>
          <w:szCs w:val="20"/>
        </w:rPr>
        <w:t xml:space="preserve">econhecido </w:t>
      </w:r>
      <w:r w:rsidR="00453EA3">
        <w:rPr>
          <w:rFonts w:cstheme="minorHAnsi"/>
          <w:sz w:val="20"/>
          <w:szCs w:val="20"/>
        </w:rPr>
        <w:t xml:space="preserve">de R$ </w:t>
      </w:r>
      <w:r w:rsidR="00453EA3" w:rsidRPr="00453EA3">
        <w:rPr>
          <w:rFonts w:cstheme="minorHAnsi"/>
          <w:sz w:val="20"/>
          <w:szCs w:val="20"/>
        </w:rPr>
        <w:t>2.</w:t>
      </w:r>
      <w:r w:rsidR="00CF0A4C">
        <w:rPr>
          <w:rFonts w:cstheme="minorHAnsi"/>
          <w:sz w:val="20"/>
          <w:szCs w:val="20"/>
        </w:rPr>
        <w:t>497.505</w:t>
      </w:r>
      <w:r w:rsidR="00ED7D37">
        <w:rPr>
          <w:rFonts w:cstheme="minorHAnsi"/>
          <w:sz w:val="20"/>
          <w:szCs w:val="20"/>
        </w:rPr>
        <w:t>.</w:t>
      </w:r>
    </w:p>
    <w:p w14:paraId="1E8139EA" w14:textId="264C4A7C" w:rsidR="0000520D" w:rsidRDefault="007231CA" w:rsidP="00557CA8">
      <w:pPr>
        <w:spacing w:before="120" w:after="0"/>
        <w:jc w:val="both"/>
        <w:rPr>
          <w:rFonts w:cstheme="minorHAnsi"/>
          <w:sz w:val="20"/>
          <w:szCs w:val="20"/>
        </w:rPr>
      </w:pPr>
      <w:r>
        <w:rPr>
          <w:rFonts w:cstheme="minorHAnsi"/>
          <w:sz w:val="20"/>
          <w:szCs w:val="20"/>
        </w:rPr>
        <w:t xml:space="preserve">Além </w:t>
      </w:r>
      <w:r w:rsidR="009A327D">
        <w:rPr>
          <w:rFonts w:cstheme="minorHAnsi"/>
          <w:sz w:val="20"/>
          <w:szCs w:val="20"/>
        </w:rPr>
        <w:t xml:space="preserve">da </w:t>
      </w:r>
      <w:r w:rsidR="009A327D" w:rsidRPr="00AF49A1">
        <w:rPr>
          <w:rFonts w:cstheme="minorHAnsi"/>
          <w:sz w:val="20"/>
          <w:szCs w:val="20"/>
        </w:rPr>
        <w:t>Contraprestação Fixa</w:t>
      </w:r>
      <w:r w:rsidR="009A327D">
        <w:rPr>
          <w:rFonts w:cstheme="minorHAnsi"/>
          <w:sz w:val="20"/>
          <w:szCs w:val="20"/>
        </w:rPr>
        <w:t xml:space="preserve"> reconhecida</w:t>
      </w:r>
      <w:r>
        <w:rPr>
          <w:rFonts w:cstheme="minorHAnsi"/>
          <w:sz w:val="20"/>
          <w:szCs w:val="20"/>
        </w:rPr>
        <w:t xml:space="preserve">, </w:t>
      </w:r>
      <w:r w:rsidR="000467C5">
        <w:rPr>
          <w:rFonts w:cstheme="minorHAnsi"/>
          <w:sz w:val="20"/>
          <w:szCs w:val="20"/>
        </w:rPr>
        <w:t xml:space="preserve">o contrato prevê </w:t>
      </w:r>
      <w:r w:rsidR="00872E77">
        <w:rPr>
          <w:rFonts w:cstheme="minorHAnsi"/>
          <w:sz w:val="20"/>
          <w:szCs w:val="20"/>
        </w:rPr>
        <w:t>o pagamento</w:t>
      </w:r>
      <w:r w:rsidR="00F505D7">
        <w:rPr>
          <w:rFonts w:cstheme="minorHAnsi"/>
          <w:sz w:val="20"/>
          <w:szCs w:val="20"/>
        </w:rPr>
        <w:t xml:space="preserve"> anual</w:t>
      </w:r>
      <w:r w:rsidR="008C561F">
        <w:rPr>
          <w:rFonts w:cstheme="minorHAnsi"/>
          <w:sz w:val="20"/>
          <w:szCs w:val="20"/>
        </w:rPr>
        <w:t xml:space="preserve"> </w:t>
      </w:r>
      <w:r w:rsidR="00872E77">
        <w:rPr>
          <w:rFonts w:cstheme="minorHAnsi"/>
          <w:sz w:val="20"/>
          <w:szCs w:val="20"/>
        </w:rPr>
        <w:t>de C</w:t>
      </w:r>
      <w:r w:rsidR="00915F11" w:rsidRPr="00915F11">
        <w:rPr>
          <w:rFonts w:cstheme="minorHAnsi"/>
          <w:sz w:val="20"/>
          <w:szCs w:val="20"/>
        </w:rPr>
        <w:t xml:space="preserve">ontraprestação </w:t>
      </w:r>
      <w:r w:rsidR="00872E77">
        <w:rPr>
          <w:rFonts w:cstheme="minorHAnsi"/>
          <w:sz w:val="20"/>
          <w:szCs w:val="20"/>
        </w:rPr>
        <w:t>V</w:t>
      </w:r>
      <w:r w:rsidR="00915F11" w:rsidRPr="00915F11">
        <w:rPr>
          <w:rFonts w:cstheme="minorHAnsi"/>
          <w:sz w:val="20"/>
          <w:szCs w:val="20"/>
        </w:rPr>
        <w:t xml:space="preserve">ariável </w:t>
      </w:r>
      <w:r w:rsidR="001E6EBA" w:rsidRPr="001E6EBA">
        <w:rPr>
          <w:rFonts w:cstheme="minorHAnsi"/>
          <w:sz w:val="20"/>
          <w:szCs w:val="20"/>
        </w:rPr>
        <w:t>pelo direito de explorar as atividades do Terminal</w:t>
      </w:r>
      <w:r w:rsidR="009734B2">
        <w:rPr>
          <w:rFonts w:cstheme="minorHAnsi"/>
          <w:sz w:val="20"/>
          <w:szCs w:val="20"/>
        </w:rPr>
        <w:t xml:space="preserve">, calculado </w:t>
      </w:r>
      <w:r w:rsidR="0001729D" w:rsidRPr="0001729D">
        <w:rPr>
          <w:rFonts w:cstheme="minorHAnsi"/>
          <w:sz w:val="20"/>
          <w:szCs w:val="20"/>
        </w:rPr>
        <w:t>por tonelada de qualquer carga recebida no Terminal, considerando o descarregamento rodoviário e ferroviário</w:t>
      </w:r>
      <w:r w:rsidR="001E6EBA" w:rsidRPr="001E6EBA">
        <w:rPr>
          <w:rFonts w:cstheme="minorHAnsi"/>
          <w:sz w:val="20"/>
          <w:szCs w:val="20"/>
        </w:rPr>
        <w:t>.</w:t>
      </w:r>
      <w:r w:rsidR="00872E77">
        <w:rPr>
          <w:rFonts w:cstheme="minorHAnsi"/>
          <w:sz w:val="20"/>
          <w:szCs w:val="20"/>
        </w:rPr>
        <w:t xml:space="preserve"> </w:t>
      </w:r>
      <w:r w:rsidR="00AB1957">
        <w:rPr>
          <w:rFonts w:cstheme="minorHAnsi"/>
          <w:sz w:val="20"/>
          <w:szCs w:val="20"/>
        </w:rPr>
        <w:t>Em janeiro de 2024</w:t>
      </w:r>
      <w:r w:rsidR="00327841">
        <w:rPr>
          <w:rFonts w:cstheme="minorHAnsi"/>
          <w:sz w:val="20"/>
          <w:szCs w:val="20"/>
        </w:rPr>
        <w:t xml:space="preserve">, </w:t>
      </w:r>
      <w:r w:rsidR="00AB1957">
        <w:rPr>
          <w:rFonts w:cstheme="minorHAnsi"/>
          <w:sz w:val="20"/>
          <w:szCs w:val="20"/>
        </w:rPr>
        <w:t xml:space="preserve">a </w:t>
      </w:r>
      <w:r w:rsidR="00327841" w:rsidRPr="00627139">
        <w:rPr>
          <w:rFonts w:cstheme="minorHAnsi"/>
          <w:sz w:val="20"/>
          <w:szCs w:val="20"/>
        </w:rPr>
        <w:t>SPE AGREX</w:t>
      </w:r>
      <w:r w:rsidR="00327841">
        <w:rPr>
          <w:rFonts w:cstheme="minorHAnsi"/>
          <w:sz w:val="20"/>
          <w:szCs w:val="20"/>
        </w:rPr>
        <w:t xml:space="preserve"> pagou o montante de R$ 475 mil </w:t>
      </w:r>
      <w:r w:rsidR="00CE7253">
        <w:rPr>
          <w:rFonts w:cstheme="minorHAnsi"/>
          <w:sz w:val="20"/>
          <w:szCs w:val="20"/>
        </w:rPr>
        <w:t>a título de C</w:t>
      </w:r>
      <w:r w:rsidR="00CE7253" w:rsidRPr="00915F11">
        <w:rPr>
          <w:rFonts w:cstheme="minorHAnsi"/>
          <w:sz w:val="20"/>
          <w:szCs w:val="20"/>
        </w:rPr>
        <w:t xml:space="preserve">ontraprestação </w:t>
      </w:r>
      <w:r w:rsidR="00CE7253">
        <w:rPr>
          <w:rFonts w:cstheme="minorHAnsi"/>
          <w:sz w:val="20"/>
          <w:szCs w:val="20"/>
        </w:rPr>
        <w:t>V</w:t>
      </w:r>
      <w:r w:rsidR="00CE7253" w:rsidRPr="00915F11">
        <w:rPr>
          <w:rFonts w:cstheme="minorHAnsi"/>
          <w:sz w:val="20"/>
          <w:szCs w:val="20"/>
        </w:rPr>
        <w:t>ariável</w:t>
      </w:r>
      <w:r w:rsidR="00CE7253">
        <w:rPr>
          <w:rFonts w:cstheme="minorHAnsi"/>
          <w:sz w:val="20"/>
          <w:szCs w:val="20"/>
        </w:rPr>
        <w:t>.</w:t>
      </w:r>
    </w:p>
    <w:p w14:paraId="51897AF0" w14:textId="77777777" w:rsidR="00557CA8" w:rsidRPr="00CE7253" w:rsidRDefault="00557CA8" w:rsidP="00557CA8">
      <w:pPr>
        <w:spacing w:after="0"/>
        <w:jc w:val="both"/>
        <w:rPr>
          <w:rFonts w:cstheme="minorHAnsi"/>
          <w:sz w:val="20"/>
          <w:szCs w:val="20"/>
        </w:rPr>
      </w:pPr>
    </w:p>
    <w:p w14:paraId="1953B33A" w14:textId="77777777" w:rsidR="00E71553" w:rsidRPr="006D2B8D" w:rsidRDefault="00703D25" w:rsidP="006D2B8D">
      <w:pPr>
        <w:pStyle w:val="Ttulo1"/>
      </w:pPr>
      <w:bookmarkStart w:id="23" w:name="_Toc152230725"/>
      <w:bookmarkStart w:id="24" w:name="_Toc184926668"/>
      <w:r w:rsidRPr="006D2B8D">
        <w:t>5 –</w:t>
      </w:r>
      <w:r w:rsidR="00BD5F38" w:rsidRPr="006D2B8D">
        <w:t xml:space="preserve"> </w:t>
      </w:r>
      <w:r w:rsidR="00E71553" w:rsidRPr="006D2B8D">
        <w:t>Adiantamentos Concedidos</w:t>
      </w:r>
      <w:bookmarkEnd w:id="23"/>
      <w:bookmarkEnd w:id="24"/>
    </w:p>
    <w:p w14:paraId="3B0F7B82" w14:textId="5D1EBD00" w:rsidR="00B709AC" w:rsidRPr="006D2B8D" w:rsidRDefault="009113A9" w:rsidP="00627139">
      <w:pPr>
        <w:spacing w:before="120"/>
        <w:jc w:val="both"/>
        <w:rPr>
          <w:rFonts w:cstheme="minorHAnsi"/>
          <w:sz w:val="20"/>
        </w:rPr>
      </w:pPr>
      <w:bookmarkStart w:id="25" w:name="_Hlk183944191"/>
      <w:r w:rsidRPr="006D2B8D">
        <w:rPr>
          <w:rFonts w:cstheme="minorHAnsi"/>
          <w:sz w:val="20"/>
        </w:rPr>
        <w:t>O saldo dessa conta refere-se a adiantamentos concedidos aos empregados da Infra S.A. e das extintas empresas Rede Ferroviária Federal S</w:t>
      </w:r>
      <w:r>
        <w:rPr>
          <w:rFonts w:cstheme="minorHAnsi"/>
          <w:sz w:val="20"/>
        </w:rPr>
        <w:t>.</w:t>
      </w:r>
      <w:r w:rsidRPr="006D2B8D">
        <w:rPr>
          <w:rFonts w:cstheme="minorHAnsi"/>
          <w:sz w:val="20"/>
        </w:rPr>
        <w:t>A</w:t>
      </w:r>
      <w:r>
        <w:rPr>
          <w:rFonts w:cstheme="minorHAnsi"/>
          <w:sz w:val="20"/>
        </w:rPr>
        <w:t>.</w:t>
      </w:r>
      <w:r w:rsidRPr="006D2B8D">
        <w:rPr>
          <w:rFonts w:cstheme="minorHAnsi"/>
          <w:sz w:val="20"/>
        </w:rPr>
        <w:t xml:space="preserve"> – RFFSA e da Empresa Brasileira de Planejamento de Transportes – GEIPOT.</w:t>
      </w:r>
      <w:bookmarkEnd w:id="25"/>
    </w:p>
    <w:tbl>
      <w:tblPr>
        <w:tblW w:w="5000" w:type="pct"/>
        <w:tblCellMar>
          <w:left w:w="70" w:type="dxa"/>
          <w:right w:w="70" w:type="dxa"/>
        </w:tblCellMar>
        <w:tblLook w:val="04A0" w:firstRow="1" w:lastRow="0" w:firstColumn="1" w:lastColumn="0" w:noHBand="0" w:noVBand="1"/>
      </w:tblPr>
      <w:tblGrid>
        <w:gridCol w:w="7839"/>
        <w:gridCol w:w="1314"/>
        <w:gridCol w:w="1314"/>
      </w:tblGrid>
      <w:tr w:rsidR="00443FF4" w:rsidRPr="00443FF4" w14:paraId="497E5737" w14:textId="77777777" w:rsidTr="000616F5">
        <w:trPr>
          <w:trHeight w:val="227"/>
        </w:trPr>
        <w:tc>
          <w:tcPr>
            <w:tcW w:w="6765" w:type="dxa"/>
            <w:tcBorders>
              <w:top w:val="nil"/>
              <w:left w:val="nil"/>
              <w:bottom w:val="single" w:sz="8" w:space="0" w:color="auto"/>
              <w:right w:val="nil"/>
            </w:tcBorders>
            <w:shd w:val="clear" w:color="000000" w:fill="DEEAF6"/>
            <w:noWrap/>
            <w:vAlign w:val="center"/>
            <w:hideMark/>
          </w:tcPr>
          <w:p w14:paraId="7A3A72EB" w14:textId="77777777" w:rsidR="00443FF4" w:rsidRPr="00443FF4" w:rsidRDefault="00443FF4" w:rsidP="00443FF4">
            <w:pPr>
              <w:spacing w:after="0" w:line="240" w:lineRule="auto"/>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Adiantamentos (RFFSA – GEIPOT – Infra S.A.)</w:t>
            </w:r>
          </w:p>
        </w:tc>
        <w:tc>
          <w:tcPr>
            <w:tcW w:w="1134" w:type="dxa"/>
            <w:tcBorders>
              <w:top w:val="nil"/>
              <w:left w:val="nil"/>
              <w:bottom w:val="single" w:sz="8" w:space="0" w:color="auto"/>
              <w:right w:val="nil"/>
            </w:tcBorders>
            <w:shd w:val="clear" w:color="000000" w:fill="DEEAF6"/>
            <w:noWrap/>
            <w:vAlign w:val="center"/>
            <w:hideMark/>
          </w:tcPr>
          <w:p w14:paraId="2F578C4C" w14:textId="77777777" w:rsidR="00443FF4" w:rsidRPr="00443FF4" w:rsidRDefault="00443FF4" w:rsidP="00443FF4">
            <w:pPr>
              <w:spacing w:after="0" w:line="240" w:lineRule="auto"/>
              <w:jc w:val="right"/>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vAlign w:val="center"/>
            <w:hideMark/>
          </w:tcPr>
          <w:p w14:paraId="4CADFAE1" w14:textId="77777777" w:rsidR="00443FF4" w:rsidRPr="00443FF4" w:rsidRDefault="00443FF4" w:rsidP="00443FF4">
            <w:pPr>
              <w:spacing w:after="0" w:line="240" w:lineRule="auto"/>
              <w:jc w:val="right"/>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31/12/2023</w:t>
            </w:r>
          </w:p>
        </w:tc>
      </w:tr>
      <w:tr w:rsidR="00443FF4" w:rsidRPr="00443FF4" w14:paraId="516956B7" w14:textId="77777777" w:rsidTr="000616F5">
        <w:trPr>
          <w:trHeight w:val="227"/>
        </w:trPr>
        <w:tc>
          <w:tcPr>
            <w:tcW w:w="6765" w:type="dxa"/>
            <w:tcBorders>
              <w:top w:val="nil"/>
              <w:left w:val="nil"/>
              <w:bottom w:val="nil"/>
              <w:right w:val="nil"/>
            </w:tcBorders>
            <w:shd w:val="clear" w:color="auto" w:fill="auto"/>
            <w:noWrap/>
            <w:vAlign w:val="center"/>
            <w:hideMark/>
          </w:tcPr>
          <w:p w14:paraId="0EE4ABC8" w14:textId="77777777" w:rsidR="00443FF4" w:rsidRPr="00443FF4" w:rsidRDefault="00443FF4" w:rsidP="00443FF4">
            <w:pPr>
              <w:spacing w:after="0" w:line="240" w:lineRule="auto"/>
              <w:rPr>
                <w:rFonts w:ascii="Calibri" w:eastAsia="Times New Roman" w:hAnsi="Calibri" w:cs="Calibri"/>
                <w:color w:val="000000"/>
                <w:sz w:val="16"/>
                <w:szCs w:val="16"/>
              </w:rPr>
            </w:pPr>
            <w:r w:rsidRPr="00443FF4">
              <w:rPr>
                <w:rFonts w:ascii="Calibri" w:eastAsia="Times New Roman" w:hAnsi="Calibri" w:cs="Calibri"/>
                <w:color w:val="000000"/>
                <w:sz w:val="16"/>
                <w:szCs w:val="16"/>
              </w:rPr>
              <w:t>Adiantamento de 13° Salário</w:t>
            </w:r>
          </w:p>
        </w:tc>
        <w:tc>
          <w:tcPr>
            <w:tcW w:w="1134" w:type="dxa"/>
            <w:tcBorders>
              <w:top w:val="nil"/>
              <w:left w:val="nil"/>
              <w:bottom w:val="nil"/>
              <w:right w:val="nil"/>
            </w:tcBorders>
            <w:shd w:val="clear" w:color="auto" w:fill="auto"/>
            <w:noWrap/>
            <w:vAlign w:val="center"/>
            <w:hideMark/>
          </w:tcPr>
          <w:p w14:paraId="759EC01D" w14:textId="34AE8854" w:rsidR="00443FF4" w:rsidRPr="00443FF4" w:rsidRDefault="00443FF4" w:rsidP="00443FF4">
            <w:pPr>
              <w:spacing w:after="0" w:line="240" w:lineRule="auto"/>
              <w:jc w:val="right"/>
              <w:rPr>
                <w:rFonts w:ascii="Calibri" w:eastAsia="Times New Roman" w:hAnsi="Calibri" w:cs="Calibri"/>
                <w:color w:val="000000"/>
                <w:sz w:val="16"/>
                <w:szCs w:val="16"/>
              </w:rPr>
            </w:pPr>
            <w:r w:rsidRPr="00443FF4">
              <w:rPr>
                <w:rFonts w:ascii="Calibri" w:eastAsia="Times New Roman" w:hAnsi="Calibri" w:cs="Calibri"/>
                <w:color w:val="000000"/>
                <w:sz w:val="16"/>
                <w:szCs w:val="16"/>
              </w:rPr>
              <w:t>1.141.43</w:t>
            </w:r>
            <w:r w:rsidR="005405D2">
              <w:rPr>
                <w:rFonts w:ascii="Calibri" w:eastAsia="Times New Roman" w:hAnsi="Calibri" w:cs="Calibri"/>
                <w:color w:val="000000"/>
                <w:sz w:val="16"/>
                <w:szCs w:val="16"/>
              </w:rPr>
              <w:t>2</w:t>
            </w:r>
          </w:p>
        </w:tc>
        <w:tc>
          <w:tcPr>
            <w:tcW w:w="1134" w:type="dxa"/>
            <w:tcBorders>
              <w:top w:val="nil"/>
              <w:left w:val="nil"/>
              <w:bottom w:val="nil"/>
              <w:right w:val="nil"/>
            </w:tcBorders>
            <w:shd w:val="clear" w:color="auto" w:fill="auto"/>
            <w:vAlign w:val="center"/>
            <w:hideMark/>
          </w:tcPr>
          <w:p w14:paraId="663D1C08" w14:textId="77777777" w:rsidR="00443FF4" w:rsidRPr="00443FF4" w:rsidRDefault="00443FF4" w:rsidP="00443FF4">
            <w:pPr>
              <w:spacing w:after="0" w:line="240" w:lineRule="auto"/>
              <w:jc w:val="right"/>
              <w:rPr>
                <w:rFonts w:ascii="Calibri" w:eastAsia="Times New Roman" w:hAnsi="Calibri" w:cs="Calibri"/>
                <w:color w:val="000000"/>
                <w:sz w:val="16"/>
                <w:szCs w:val="16"/>
              </w:rPr>
            </w:pPr>
            <w:r w:rsidRPr="00443FF4">
              <w:rPr>
                <w:rFonts w:ascii="Calibri" w:eastAsia="Times New Roman" w:hAnsi="Calibri" w:cs="Calibri"/>
                <w:color w:val="000000"/>
                <w:sz w:val="16"/>
                <w:szCs w:val="16"/>
              </w:rPr>
              <w:t>590.565</w:t>
            </w:r>
          </w:p>
        </w:tc>
      </w:tr>
      <w:tr w:rsidR="00443FF4" w:rsidRPr="00443FF4" w14:paraId="27C0FF3B" w14:textId="77777777" w:rsidTr="000616F5">
        <w:trPr>
          <w:trHeight w:val="227"/>
        </w:trPr>
        <w:tc>
          <w:tcPr>
            <w:tcW w:w="6765" w:type="dxa"/>
            <w:tcBorders>
              <w:top w:val="nil"/>
              <w:left w:val="nil"/>
              <w:bottom w:val="nil"/>
              <w:right w:val="nil"/>
            </w:tcBorders>
            <w:shd w:val="clear" w:color="auto" w:fill="auto"/>
            <w:noWrap/>
            <w:vAlign w:val="center"/>
            <w:hideMark/>
          </w:tcPr>
          <w:p w14:paraId="51309554" w14:textId="77777777" w:rsidR="00443FF4" w:rsidRPr="00443FF4" w:rsidRDefault="00443FF4" w:rsidP="00443FF4">
            <w:pPr>
              <w:spacing w:after="0" w:line="240" w:lineRule="auto"/>
              <w:rPr>
                <w:rFonts w:ascii="Calibri" w:eastAsia="Times New Roman" w:hAnsi="Calibri" w:cs="Calibri"/>
                <w:color w:val="000000"/>
                <w:sz w:val="16"/>
                <w:szCs w:val="16"/>
              </w:rPr>
            </w:pPr>
            <w:r w:rsidRPr="00443FF4">
              <w:rPr>
                <w:rFonts w:ascii="Calibri" w:eastAsia="Times New Roman" w:hAnsi="Calibri" w:cs="Calibri"/>
                <w:color w:val="000000"/>
                <w:sz w:val="16"/>
                <w:szCs w:val="16"/>
              </w:rPr>
              <w:t>Adiantamentos de Salários e Ordenados</w:t>
            </w:r>
          </w:p>
        </w:tc>
        <w:tc>
          <w:tcPr>
            <w:tcW w:w="1134" w:type="dxa"/>
            <w:tcBorders>
              <w:top w:val="nil"/>
              <w:left w:val="nil"/>
              <w:bottom w:val="nil"/>
              <w:right w:val="nil"/>
            </w:tcBorders>
            <w:shd w:val="clear" w:color="auto" w:fill="auto"/>
            <w:noWrap/>
            <w:vAlign w:val="center"/>
            <w:hideMark/>
          </w:tcPr>
          <w:p w14:paraId="4FDD921A" w14:textId="77777777" w:rsidR="00443FF4" w:rsidRPr="00443FF4" w:rsidRDefault="00443FF4" w:rsidP="00443FF4">
            <w:pPr>
              <w:spacing w:after="0" w:line="240" w:lineRule="auto"/>
              <w:jc w:val="right"/>
              <w:rPr>
                <w:rFonts w:ascii="Calibri" w:eastAsia="Times New Roman" w:hAnsi="Calibri" w:cs="Calibri"/>
                <w:color w:val="000000"/>
                <w:sz w:val="16"/>
                <w:szCs w:val="16"/>
              </w:rPr>
            </w:pPr>
            <w:r w:rsidRPr="00443FF4">
              <w:rPr>
                <w:rFonts w:ascii="Calibri" w:eastAsia="Times New Roman" w:hAnsi="Calibri" w:cs="Calibri"/>
                <w:color w:val="000000"/>
                <w:sz w:val="16"/>
                <w:szCs w:val="16"/>
              </w:rPr>
              <w:t>242.547</w:t>
            </w:r>
          </w:p>
        </w:tc>
        <w:tc>
          <w:tcPr>
            <w:tcW w:w="1134" w:type="dxa"/>
            <w:tcBorders>
              <w:top w:val="nil"/>
              <w:left w:val="nil"/>
              <w:bottom w:val="nil"/>
              <w:right w:val="nil"/>
            </w:tcBorders>
            <w:shd w:val="clear" w:color="auto" w:fill="auto"/>
            <w:vAlign w:val="center"/>
            <w:hideMark/>
          </w:tcPr>
          <w:p w14:paraId="023AE071" w14:textId="77777777" w:rsidR="00443FF4" w:rsidRPr="00443FF4" w:rsidRDefault="00443FF4" w:rsidP="00443FF4">
            <w:pPr>
              <w:spacing w:after="0" w:line="240" w:lineRule="auto"/>
              <w:jc w:val="right"/>
              <w:rPr>
                <w:rFonts w:ascii="Calibri" w:eastAsia="Times New Roman" w:hAnsi="Calibri" w:cs="Calibri"/>
                <w:color w:val="000000"/>
                <w:sz w:val="16"/>
                <w:szCs w:val="16"/>
              </w:rPr>
            </w:pPr>
            <w:r w:rsidRPr="00443FF4">
              <w:rPr>
                <w:rFonts w:ascii="Calibri" w:eastAsia="Times New Roman" w:hAnsi="Calibri" w:cs="Calibri"/>
                <w:color w:val="000000"/>
                <w:sz w:val="16"/>
                <w:szCs w:val="16"/>
              </w:rPr>
              <w:t>322.584</w:t>
            </w:r>
          </w:p>
        </w:tc>
      </w:tr>
      <w:tr w:rsidR="00443FF4" w:rsidRPr="00443FF4" w14:paraId="1417A81D" w14:textId="77777777" w:rsidTr="000616F5">
        <w:trPr>
          <w:trHeight w:val="227"/>
        </w:trPr>
        <w:tc>
          <w:tcPr>
            <w:tcW w:w="6765" w:type="dxa"/>
            <w:tcBorders>
              <w:top w:val="single" w:sz="8" w:space="0" w:color="auto"/>
              <w:left w:val="nil"/>
              <w:bottom w:val="single" w:sz="8" w:space="0" w:color="auto"/>
              <w:right w:val="nil"/>
            </w:tcBorders>
            <w:shd w:val="clear" w:color="000000" w:fill="DEEAF6"/>
            <w:noWrap/>
            <w:vAlign w:val="center"/>
            <w:hideMark/>
          </w:tcPr>
          <w:p w14:paraId="320C4C69" w14:textId="77777777" w:rsidR="00443FF4" w:rsidRPr="00443FF4" w:rsidRDefault="00443FF4" w:rsidP="00443FF4">
            <w:pPr>
              <w:spacing w:after="0" w:line="240" w:lineRule="auto"/>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1CDC17B0" w14:textId="40732DF9" w:rsidR="00443FF4" w:rsidRPr="00443FF4" w:rsidRDefault="00443FF4" w:rsidP="00443FF4">
            <w:pPr>
              <w:spacing w:after="0" w:line="240" w:lineRule="auto"/>
              <w:jc w:val="right"/>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1.383.9</w:t>
            </w:r>
            <w:r w:rsidR="005405D2">
              <w:rPr>
                <w:rFonts w:ascii="Calibri" w:eastAsia="Times New Roman" w:hAnsi="Calibri" w:cs="Calibri"/>
                <w:b/>
                <w:bCs/>
                <w:color w:val="000000"/>
                <w:sz w:val="16"/>
                <w:szCs w:val="16"/>
              </w:rPr>
              <w:t>79</w:t>
            </w:r>
          </w:p>
        </w:tc>
        <w:tc>
          <w:tcPr>
            <w:tcW w:w="1134" w:type="dxa"/>
            <w:tcBorders>
              <w:top w:val="single" w:sz="8" w:space="0" w:color="auto"/>
              <w:left w:val="nil"/>
              <w:bottom w:val="single" w:sz="8" w:space="0" w:color="auto"/>
              <w:right w:val="nil"/>
            </w:tcBorders>
            <w:shd w:val="clear" w:color="000000" w:fill="DEEAF6"/>
            <w:vAlign w:val="center"/>
            <w:hideMark/>
          </w:tcPr>
          <w:p w14:paraId="42856F9D" w14:textId="77777777" w:rsidR="00443FF4" w:rsidRPr="00443FF4" w:rsidRDefault="00443FF4" w:rsidP="00443FF4">
            <w:pPr>
              <w:spacing w:after="0" w:line="240" w:lineRule="auto"/>
              <w:jc w:val="right"/>
              <w:rPr>
                <w:rFonts w:ascii="Calibri" w:eastAsia="Times New Roman" w:hAnsi="Calibri" w:cs="Calibri"/>
                <w:b/>
                <w:bCs/>
                <w:color w:val="000000"/>
                <w:sz w:val="16"/>
                <w:szCs w:val="16"/>
              </w:rPr>
            </w:pPr>
            <w:r w:rsidRPr="00443FF4">
              <w:rPr>
                <w:rFonts w:ascii="Calibri" w:eastAsia="Times New Roman" w:hAnsi="Calibri" w:cs="Calibri"/>
                <w:b/>
                <w:bCs/>
                <w:color w:val="000000"/>
                <w:sz w:val="16"/>
                <w:szCs w:val="16"/>
              </w:rPr>
              <w:t>913.149</w:t>
            </w:r>
          </w:p>
        </w:tc>
      </w:tr>
    </w:tbl>
    <w:p w14:paraId="25E9DFF1" w14:textId="1EBA8C7C" w:rsidR="00E71553" w:rsidRPr="006D2B8D" w:rsidRDefault="00E71553" w:rsidP="00645DFB">
      <w:pPr>
        <w:spacing w:before="120" w:line="240" w:lineRule="auto"/>
        <w:jc w:val="both"/>
        <w:rPr>
          <w:rFonts w:cstheme="minorHAnsi"/>
          <w:sz w:val="20"/>
        </w:rPr>
      </w:pPr>
      <w:r w:rsidRPr="006D2B8D">
        <w:rPr>
          <w:rFonts w:cstheme="minorHAnsi"/>
          <w:sz w:val="20"/>
        </w:rPr>
        <w:t>A Infra S.A. paga metade do salário a título de adiantamento de 13</w:t>
      </w:r>
      <w:r w:rsidR="00E04049">
        <w:rPr>
          <w:rFonts w:cstheme="minorHAnsi"/>
          <w:sz w:val="20"/>
        </w:rPr>
        <w:t>°</w:t>
      </w:r>
      <w:r w:rsidRPr="006D2B8D">
        <w:rPr>
          <w:rFonts w:cstheme="minorHAnsi"/>
          <w:sz w:val="20"/>
        </w:rPr>
        <w:t xml:space="preserve"> salário a seus empregados na Folha de Pagamento de junho de cada ano, a fim de que o empregado receba no primeiro dia útil do mês de julho. No entanto, o empregado tem o direito de solicitar esse adiantamento na ocasião de férias quando gozadas de janeiro a junho.</w:t>
      </w:r>
    </w:p>
    <w:p w14:paraId="1840DE72" w14:textId="1C2A1E87" w:rsidR="00E71553" w:rsidRPr="006D2B8D" w:rsidRDefault="3CFFD78B" w:rsidP="00645DFB">
      <w:pPr>
        <w:spacing w:line="240" w:lineRule="auto"/>
        <w:jc w:val="both"/>
        <w:rPr>
          <w:rFonts w:cstheme="minorHAnsi"/>
          <w:sz w:val="20"/>
        </w:rPr>
      </w:pPr>
      <w:r w:rsidRPr="006D2B8D">
        <w:rPr>
          <w:rFonts w:cstheme="minorHAnsi"/>
          <w:sz w:val="20"/>
        </w:rPr>
        <w:t>O</w:t>
      </w:r>
      <w:r w:rsidR="00E71553" w:rsidRPr="006D2B8D">
        <w:rPr>
          <w:rFonts w:cstheme="minorHAnsi"/>
          <w:sz w:val="20"/>
        </w:rPr>
        <w:t xml:space="preserve"> saldo da conta de adiantamento de 13</w:t>
      </w:r>
      <w:r w:rsidR="00E04049">
        <w:rPr>
          <w:rFonts w:cstheme="minorHAnsi"/>
          <w:sz w:val="20"/>
        </w:rPr>
        <w:t>°</w:t>
      </w:r>
      <w:r w:rsidR="00E71553" w:rsidRPr="006D2B8D">
        <w:rPr>
          <w:rFonts w:cstheme="minorHAnsi"/>
          <w:sz w:val="20"/>
        </w:rPr>
        <w:t xml:space="preserve"> salário representa os valores devidamente adiantados, os quais serão descontados por ocasião da Folha de Pagamento do mês de novembro, quando o 13</w:t>
      </w:r>
      <w:r w:rsidR="00E04049">
        <w:rPr>
          <w:rFonts w:cstheme="minorHAnsi"/>
          <w:sz w:val="20"/>
        </w:rPr>
        <w:t>°</w:t>
      </w:r>
      <w:r w:rsidR="00E71553" w:rsidRPr="006D2B8D">
        <w:rPr>
          <w:rFonts w:cstheme="minorHAnsi"/>
          <w:sz w:val="20"/>
        </w:rPr>
        <w:t xml:space="preserve"> salário é integralmente pago.</w:t>
      </w:r>
    </w:p>
    <w:p w14:paraId="11B743EF" w14:textId="135CE248" w:rsidR="00E2362A" w:rsidRDefault="00E71553" w:rsidP="00645DFB">
      <w:pPr>
        <w:spacing w:line="240" w:lineRule="auto"/>
        <w:jc w:val="both"/>
        <w:rPr>
          <w:rFonts w:cstheme="minorHAnsi"/>
          <w:sz w:val="20"/>
        </w:rPr>
      </w:pPr>
      <w:r w:rsidRPr="006D2B8D">
        <w:rPr>
          <w:rFonts w:cstheme="minorHAnsi"/>
          <w:sz w:val="20"/>
        </w:rPr>
        <w:t xml:space="preserve">Os empregados da </w:t>
      </w:r>
      <w:r w:rsidR="00B30451">
        <w:rPr>
          <w:rFonts w:cstheme="minorHAnsi"/>
          <w:sz w:val="20"/>
        </w:rPr>
        <w:t>Infra S.A.</w:t>
      </w:r>
      <w:r w:rsidRPr="006D2B8D">
        <w:rPr>
          <w:rFonts w:cstheme="minorHAnsi"/>
          <w:sz w:val="20"/>
        </w:rPr>
        <w:t xml:space="preserve">, do Plano de Carreiras, Cargos e Salários de 2007, e das extintas empresas RFFSA e GEIPOT podem solicitar, na ocasião de suas férias, adiantamento salarial, o qual será restituído em até seis parcelas mensais. </w:t>
      </w:r>
    </w:p>
    <w:p w14:paraId="0BA2703E" w14:textId="33A48EAC" w:rsidR="00E71553" w:rsidRPr="006D2B8D" w:rsidRDefault="00E71553" w:rsidP="00645DFB">
      <w:pPr>
        <w:spacing w:after="0" w:line="240" w:lineRule="auto"/>
        <w:jc w:val="both"/>
        <w:rPr>
          <w:rFonts w:cstheme="minorHAnsi"/>
          <w:sz w:val="20"/>
        </w:rPr>
      </w:pPr>
      <w:r w:rsidRPr="006D2B8D">
        <w:rPr>
          <w:rFonts w:cstheme="minorHAnsi"/>
          <w:sz w:val="20"/>
        </w:rPr>
        <w:t>Com base em demonstrativos mensais encaminhados pela Superintendência de Gestão de Pessoas, a Gerência Contábil efetua a conciliação contábil desses adiantamentos.</w:t>
      </w:r>
    </w:p>
    <w:p w14:paraId="62443934" w14:textId="77777777" w:rsidR="001A167E" w:rsidRPr="00233560" w:rsidRDefault="001A167E" w:rsidP="0062583A">
      <w:pPr>
        <w:spacing w:after="0"/>
        <w:jc w:val="both"/>
        <w:rPr>
          <w:rFonts w:ascii="Calibri" w:hAnsi="Calibri" w:cs="Calibri"/>
          <w:b/>
          <w:sz w:val="20"/>
          <w:szCs w:val="20"/>
        </w:rPr>
      </w:pPr>
    </w:p>
    <w:p w14:paraId="2EF30B31" w14:textId="77777777" w:rsidR="00703D25" w:rsidRPr="00B36334" w:rsidRDefault="00703D25" w:rsidP="00B36334">
      <w:pPr>
        <w:pStyle w:val="Ttulo1"/>
      </w:pPr>
      <w:bookmarkStart w:id="26" w:name="_Toc152230726"/>
      <w:bookmarkStart w:id="27" w:name="_Toc184926669"/>
      <w:r w:rsidRPr="00B36334">
        <w:t>6 – Créditos Tributários a Compensar</w:t>
      </w:r>
      <w:bookmarkEnd w:id="26"/>
      <w:bookmarkEnd w:id="27"/>
      <w:r w:rsidRPr="00B36334">
        <w:t xml:space="preserve"> </w:t>
      </w:r>
    </w:p>
    <w:p w14:paraId="3D011165" w14:textId="27D1223B" w:rsidR="00703D25" w:rsidRPr="00B36334" w:rsidRDefault="00703D25" w:rsidP="00703D25">
      <w:pPr>
        <w:jc w:val="both"/>
        <w:rPr>
          <w:sz w:val="20"/>
          <w:szCs w:val="20"/>
        </w:rPr>
      </w:pPr>
      <w:r w:rsidRPr="25859F74">
        <w:rPr>
          <w:sz w:val="20"/>
          <w:szCs w:val="20"/>
        </w:rPr>
        <w:t xml:space="preserve">O saldo de créditos tributários e previdenciários a compensar no </w:t>
      </w:r>
      <w:r w:rsidR="0030188E">
        <w:rPr>
          <w:sz w:val="20"/>
          <w:szCs w:val="20"/>
        </w:rPr>
        <w:t>primeiro trimestre de 2024</w:t>
      </w:r>
      <w:r w:rsidRPr="25859F74">
        <w:rPr>
          <w:sz w:val="20"/>
          <w:szCs w:val="20"/>
        </w:rPr>
        <w:t xml:space="preserve"> </w:t>
      </w:r>
      <w:r w:rsidR="00ED7E58">
        <w:rPr>
          <w:sz w:val="20"/>
          <w:szCs w:val="20"/>
        </w:rPr>
        <w:t>foi</w:t>
      </w:r>
      <w:r w:rsidRPr="25859F74">
        <w:rPr>
          <w:sz w:val="20"/>
          <w:szCs w:val="20"/>
        </w:rPr>
        <w:t xml:space="preserve"> de R$ </w:t>
      </w:r>
      <w:r w:rsidR="00AD30B4">
        <w:rPr>
          <w:sz w:val="20"/>
          <w:szCs w:val="20"/>
        </w:rPr>
        <w:t>72</w:t>
      </w:r>
      <w:r w:rsidR="00EB3225" w:rsidRPr="006455EF">
        <w:rPr>
          <w:sz w:val="20"/>
          <w:szCs w:val="20"/>
        </w:rPr>
        <w:t xml:space="preserve"> </w:t>
      </w:r>
      <w:r w:rsidR="000624E5" w:rsidRPr="006455EF">
        <w:rPr>
          <w:sz w:val="20"/>
          <w:szCs w:val="20"/>
        </w:rPr>
        <w:t>mil</w:t>
      </w:r>
      <w:r w:rsidRPr="25859F74">
        <w:rPr>
          <w:sz w:val="20"/>
          <w:szCs w:val="20"/>
        </w:rPr>
        <w:t>, conforme tabela a seguir:</w:t>
      </w:r>
    </w:p>
    <w:tbl>
      <w:tblPr>
        <w:tblW w:w="5000" w:type="pct"/>
        <w:tblCellMar>
          <w:left w:w="70" w:type="dxa"/>
          <w:right w:w="70" w:type="dxa"/>
        </w:tblCellMar>
        <w:tblLook w:val="04A0" w:firstRow="1" w:lastRow="0" w:firstColumn="1" w:lastColumn="0" w:noHBand="0" w:noVBand="1"/>
      </w:tblPr>
      <w:tblGrid>
        <w:gridCol w:w="8125"/>
        <w:gridCol w:w="1171"/>
        <w:gridCol w:w="1171"/>
      </w:tblGrid>
      <w:tr w:rsidR="00BF09A5" w:rsidRPr="00BF09A5" w14:paraId="3A7EA483" w14:textId="77777777" w:rsidTr="008F6C42">
        <w:trPr>
          <w:trHeight w:val="227"/>
        </w:trPr>
        <w:tc>
          <w:tcPr>
            <w:tcW w:w="7869" w:type="dxa"/>
            <w:tcBorders>
              <w:top w:val="nil"/>
              <w:left w:val="nil"/>
              <w:bottom w:val="single" w:sz="8" w:space="0" w:color="auto"/>
              <w:right w:val="nil"/>
            </w:tcBorders>
            <w:shd w:val="clear" w:color="000000" w:fill="DEEAF6"/>
            <w:noWrap/>
            <w:vAlign w:val="center"/>
            <w:hideMark/>
          </w:tcPr>
          <w:p w14:paraId="6008B2B5" w14:textId="77777777" w:rsidR="00BF09A5" w:rsidRPr="00BF09A5" w:rsidRDefault="00BF09A5" w:rsidP="00BF09A5">
            <w:pPr>
              <w:spacing w:after="0" w:line="240" w:lineRule="auto"/>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Créditos Tributários e Previdenciários a Compensar</w:t>
            </w:r>
          </w:p>
        </w:tc>
        <w:tc>
          <w:tcPr>
            <w:tcW w:w="1134" w:type="dxa"/>
            <w:tcBorders>
              <w:top w:val="nil"/>
              <w:left w:val="nil"/>
              <w:bottom w:val="single" w:sz="8" w:space="0" w:color="auto"/>
              <w:right w:val="nil"/>
            </w:tcBorders>
            <w:shd w:val="clear" w:color="000000" w:fill="DEEAF6"/>
            <w:noWrap/>
            <w:vAlign w:val="center"/>
            <w:hideMark/>
          </w:tcPr>
          <w:p w14:paraId="48BCBE1E" w14:textId="77777777" w:rsidR="00BF09A5" w:rsidRPr="00BF09A5" w:rsidRDefault="00BF09A5" w:rsidP="00BF09A5">
            <w:pPr>
              <w:spacing w:after="0" w:line="240" w:lineRule="auto"/>
              <w:jc w:val="right"/>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vAlign w:val="center"/>
            <w:hideMark/>
          </w:tcPr>
          <w:p w14:paraId="0BD6621D" w14:textId="77777777" w:rsidR="00BF09A5" w:rsidRPr="00BF09A5" w:rsidRDefault="00BF09A5" w:rsidP="00BF09A5">
            <w:pPr>
              <w:spacing w:after="0" w:line="240" w:lineRule="auto"/>
              <w:jc w:val="right"/>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31/12/2023</w:t>
            </w:r>
          </w:p>
        </w:tc>
      </w:tr>
      <w:tr w:rsidR="00BF09A5" w:rsidRPr="00BF09A5" w14:paraId="5BD438C4" w14:textId="77777777" w:rsidTr="008F6C42">
        <w:trPr>
          <w:trHeight w:val="227"/>
        </w:trPr>
        <w:tc>
          <w:tcPr>
            <w:tcW w:w="7869" w:type="dxa"/>
            <w:tcBorders>
              <w:top w:val="nil"/>
              <w:left w:val="nil"/>
              <w:bottom w:val="nil"/>
              <w:right w:val="nil"/>
            </w:tcBorders>
            <w:shd w:val="clear" w:color="auto" w:fill="auto"/>
            <w:noWrap/>
            <w:vAlign w:val="center"/>
            <w:hideMark/>
          </w:tcPr>
          <w:p w14:paraId="277A155A" w14:textId="77777777" w:rsidR="00BF09A5" w:rsidRPr="00BF09A5" w:rsidRDefault="00BF09A5" w:rsidP="00BF09A5">
            <w:pPr>
              <w:spacing w:after="0" w:line="240" w:lineRule="auto"/>
              <w:rPr>
                <w:rFonts w:ascii="Calibri" w:eastAsia="Times New Roman" w:hAnsi="Calibri" w:cs="Calibri"/>
                <w:color w:val="000000"/>
                <w:sz w:val="16"/>
                <w:szCs w:val="16"/>
              </w:rPr>
            </w:pPr>
            <w:r w:rsidRPr="00BF09A5">
              <w:rPr>
                <w:rFonts w:ascii="Calibri" w:eastAsia="Times New Roman" w:hAnsi="Calibri" w:cs="Calibri"/>
                <w:color w:val="000000"/>
                <w:sz w:val="16"/>
                <w:szCs w:val="16"/>
              </w:rPr>
              <w:t>Tributos a Compensar (a)</w:t>
            </w:r>
          </w:p>
        </w:tc>
        <w:tc>
          <w:tcPr>
            <w:tcW w:w="1134" w:type="dxa"/>
            <w:tcBorders>
              <w:top w:val="nil"/>
              <w:left w:val="nil"/>
              <w:bottom w:val="nil"/>
              <w:right w:val="nil"/>
            </w:tcBorders>
            <w:shd w:val="clear" w:color="auto" w:fill="auto"/>
            <w:noWrap/>
            <w:vAlign w:val="center"/>
            <w:hideMark/>
          </w:tcPr>
          <w:p w14:paraId="1191D66B" w14:textId="77777777" w:rsidR="00BF09A5" w:rsidRPr="00BF09A5" w:rsidRDefault="00BF09A5" w:rsidP="00BF09A5">
            <w:pPr>
              <w:spacing w:after="0" w:line="240" w:lineRule="auto"/>
              <w:jc w:val="right"/>
              <w:rPr>
                <w:rFonts w:ascii="Calibri" w:eastAsia="Times New Roman" w:hAnsi="Calibri" w:cs="Calibri"/>
                <w:color w:val="000000"/>
                <w:sz w:val="16"/>
                <w:szCs w:val="16"/>
              </w:rPr>
            </w:pPr>
            <w:r w:rsidRPr="00BF09A5">
              <w:rPr>
                <w:rFonts w:ascii="Calibri" w:eastAsia="Times New Roman" w:hAnsi="Calibri" w:cs="Calibri"/>
                <w:color w:val="000000"/>
                <w:sz w:val="16"/>
                <w:szCs w:val="16"/>
              </w:rPr>
              <w:t>49.451</w:t>
            </w:r>
          </w:p>
        </w:tc>
        <w:tc>
          <w:tcPr>
            <w:tcW w:w="1134" w:type="dxa"/>
            <w:tcBorders>
              <w:top w:val="nil"/>
              <w:left w:val="nil"/>
              <w:bottom w:val="nil"/>
              <w:right w:val="nil"/>
            </w:tcBorders>
            <w:shd w:val="clear" w:color="auto" w:fill="auto"/>
            <w:vAlign w:val="center"/>
            <w:hideMark/>
          </w:tcPr>
          <w:p w14:paraId="22DB8D9B" w14:textId="77777777" w:rsidR="00BF09A5" w:rsidRPr="00BF09A5" w:rsidRDefault="00BF09A5" w:rsidP="00BF09A5">
            <w:pPr>
              <w:spacing w:after="0" w:line="240" w:lineRule="auto"/>
              <w:jc w:val="right"/>
              <w:rPr>
                <w:rFonts w:ascii="Calibri" w:eastAsia="Times New Roman" w:hAnsi="Calibri" w:cs="Calibri"/>
                <w:color w:val="000000"/>
                <w:sz w:val="16"/>
                <w:szCs w:val="16"/>
              </w:rPr>
            </w:pPr>
            <w:r w:rsidRPr="00BF09A5">
              <w:rPr>
                <w:rFonts w:ascii="Calibri" w:eastAsia="Times New Roman" w:hAnsi="Calibri" w:cs="Calibri"/>
                <w:color w:val="000000"/>
                <w:sz w:val="16"/>
                <w:szCs w:val="16"/>
              </w:rPr>
              <w:t>94.022</w:t>
            </w:r>
          </w:p>
        </w:tc>
      </w:tr>
      <w:tr w:rsidR="00BF09A5" w:rsidRPr="00BF09A5" w14:paraId="408FA03A" w14:textId="77777777" w:rsidTr="008F6C42">
        <w:trPr>
          <w:trHeight w:val="227"/>
        </w:trPr>
        <w:tc>
          <w:tcPr>
            <w:tcW w:w="7869" w:type="dxa"/>
            <w:tcBorders>
              <w:top w:val="nil"/>
              <w:left w:val="nil"/>
              <w:bottom w:val="nil"/>
              <w:right w:val="nil"/>
            </w:tcBorders>
            <w:shd w:val="clear" w:color="auto" w:fill="auto"/>
            <w:noWrap/>
            <w:vAlign w:val="center"/>
            <w:hideMark/>
          </w:tcPr>
          <w:p w14:paraId="77929FA6" w14:textId="77777777" w:rsidR="00BF09A5" w:rsidRPr="00BF09A5" w:rsidRDefault="00BF09A5" w:rsidP="00BF09A5">
            <w:pPr>
              <w:spacing w:after="0" w:line="240" w:lineRule="auto"/>
              <w:rPr>
                <w:rFonts w:ascii="Calibri" w:eastAsia="Times New Roman" w:hAnsi="Calibri" w:cs="Calibri"/>
                <w:color w:val="000000"/>
                <w:sz w:val="16"/>
                <w:szCs w:val="16"/>
              </w:rPr>
            </w:pPr>
            <w:r w:rsidRPr="00BF09A5">
              <w:rPr>
                <w:rFonts w:ascii="Calibri" w:eastAsia="Times New Roman" w:hAnsi="Calibri" w:cs="Calibri"/>
                <w:color w:val="000000"/>
                <w:sz w:val="16"/>
                <w:szCs w:val="16"/>
              </w:rPr>
              <w:t>Crédito Previdenciário a Compensar (b)</w:t>
            </w:r>
          </w:p>
        </w:tc>
        <w:tc>
          <w:tcPr>
            <w:tcW w:w="1134" w:type="dxa"/>
            <w:tcBorders>
              <w:top w:val="nil"/>
              <w:left w:val="nil"/>
              <w:bottom w:val="nil"/>
              <w:right w:val="nil"/>
            </w:tcBorders>
            <w:shd w:val="clear" w:color="auto" w:fill="auto"/>
            <w:noWrap/>
            <w:vAlign w:val="center"/>
            <w:hideMark/>
          </w:tcPr>
          <w:p w14:paraId="4F03AB73" w14:textId="77777777" w:rsidR="00BF09A5" w:rsidRPr="00BF09A5" w:rsidRDefault="00BF09A5" w:rsidP="00BF09A5">
            <w:pPr>
              <w:spacing w:after="0" w:line="240" w:lineRule="auto"/>
              <w:jc w:val="right"/>
              <w:rPr>
                <w:rFonts w:ascii="Calibri" w:eastAsia="Times New Roman" w:hAnsi="Calibri" w:cs="Calibri"/>
                <w:color w:val="000000"/>
                <w:sz w:val="16"/>
                <w:szCs w:val="16"/>
              </w:rPr>
            </w:pPr>
            <w:r w:rsidRPr="00BF09A5">
              <w:rPr>
                <w:rFonts w:ascii="Calibri" w:eastAsia="Times New Roman" w:hAnsi="Calibri" w:cs="Calibri"/>
                <w:color w:val="000000"/>
                <w:sz w:val="16"/>
                <w:szCs w:val="16"/>
              </w:rPr>
              <w:t>22.619</w:t>
            </w:r>
          </w:p>
        </w:tc>
        <w:tc>
          <w:tcPr>
            <w:tcW w:w="1134" w:type="dxa"/>
            <w:tcBorders>
              <w:top w:val="nil"/>
              <w:left w:val="nil"/>
              <w:bottom w:val="nil"/>
              <w:right w:val="nil"/>
            </w:tcBorders>
            <w:shd w:val="clear" w:color="auto" w:fill="auto"/>
            <w:vAlign w:val="center"/>
            <w:hideMark/>
          </w:tcPr>
          <w:p w14:paraId="5AD53643" w14:textId="77777777" w:rsidR="00BF09A5" w:rsidRPr="00BF09A5" w:rsidRDefault="00BF09A5" w:rsidP="00BF09A5">
            <w:pPr>
              <w:spacing w:after="0" w:line="240" w:lineRule="auto"/>
              <w:jc w:val="right"/>
              <w:rPr>
                <w:rFonts w:ascii="Calibri" w:eastAsia="Times New Roman" w:hAnsi="Calibri" w:cs="Calibri"/>
                <w:color w:val="000000"/>
                <w:sz w:val="16"/>
                <w:szCs w:val="16"/>
              </w:rPr>
            </w:pPr>
            <w:r w:rsidRPr="00BF09A5">
              <w:rPr>
                <w:rFonts w:ascii="Calibri" w:eastAsia="Times New Roman" w:hAnsi="Calibri" w:cs="Calibri"/>
                <w:color w:val="000000"/>
                <w:sz w:val="16"/>
                <w:szCs w:val="16"/>
              </w:rPr>
              <w:t>17.823</w:t>
            </w:r>
          </w:p>
        </w:tc>
      </w:tr>
      <w:tr w:rsidR="00BF09A5" w:rsidRPr="00BF09A5" w14:paraId="218F7339" w14:textId="77777777" w:rsidTr="008F6C42">
        <w:trPr>
          <w:trHeight w:val="227"/>
        </w:trPr>
        <w:tc>
          <w:tcPr>
            <w:tcW w:w="7869" w:type="dxa"/>
            <w:tcBorders>
              <w:top w:val="single" w:sz="8" w:space="0" w:color="auto"/>
              <w:left w:val="nil"/>
              <w:bottom w:val="single" w:sz="8" w:space="0" w:color="auto"/>
              <w:right w:val="nil"/>
            </w:tcBorders>
            <w:shd w:val="clear" w:color="000000" w:fill="DEEAF6"/>
            <w:noWrap/>
            <w:vAlign w:val="center"/>
            <w:hideMark/>
          </w:tcPr>
          <w:p w14:paraId="61029C85" w14:textId="77777777" w:rsidR="00BF09A5" w:rsidRPr="00BF09A5" w:rsidRDefault="00BF09A5" w:rsidP="00BF09A5">
            <w:pPr>
              <w:spacing w:after="0" w:line="240" w:lineRule="auto"/>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Total geral de Tributos a Compensar</w:t>
            </w:r>
          </w:p>
        </w:tc>
        <w:tc>
          <w:tcPr>
            <w:tcW w:w="1134" w:type="dxa"/>
            <w:tcBorders>
              <w:top w:val="single" w:sz="8" w:space="0" w:color="auto"/>
              <w:left w:val="nil"/>
              <w:bottom w:val="single" w:sz="8" w:space="0" w:color="auto"/>
              <w:right w:val="nil"/>
            </w:tcBorders>
            <w:shd w:val="clear" w:color="000000" w:fill="DEEAF6"/>
            <w:noWrap/>
            <w:vAlign w:val="center"/>
            <w:hideMark/>
          </w:tcPr>
          <w:p w14:paraId="3C3B9726" w14:textId="77777777" w:rsidR="00BF09A5" w:rsidRPr="00BF09A5" w:rsidRDefault="00BF09A5" w:rsidP="00BF09A5">
            <w:pPr>
              <w:spacing w:after="0" w:line="240" w:lineRule="auto"/>
              <w:jc w:val="right"/>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72.070</w:t>
            </w:r>
          </w:p>
        </w:tc>
        <w:tc>
          <w:tcPr>
            <w:tcW w:w="1134" w:type="dxa"/>
            <w:tcBorders>
              <w:top w:val="single" w:sz="8" w:space="0" w:color="auto"/>
              <w:left w:val="nil"/>
              <w:bottom w:val="single" w:sz="8" w:space="0" w:color="auto"/>
              <w:right w:val="nil"/>
            </w:tcBorders>
            <w:shd w:val="clear" w:color="000000" w:fill="DEEAF6"/>
            <w:vAlign w:val="center"/>
            <w:hideMark/>
          </w:tcPr>
          <w:p w14:paraId="552257CF" w14:textId="77777777" w:rsidR="00BF09A5" w:rsidRPr="00BF09A5" w:rsidRDefault="00BF09A5" w:rsidP="00BF09A5">
            <w:pPr>
              <w:spacing w:after="0" w:line="240" w:lineRule="auto"/>
              <w:jc w:val="right"/>
              <w:rPr>
                <w:rFonts w:ascii="Calibri" w:eastAsia="Times New Roman" w:hAnsi="Calibri" w:cs="Calibri"/>
                <w:b/>
                <w:bCs/>
                <w:color w:val="000000"/>
                <w:sz w:val="16"/>
                <w:szCs w:val="16"/>
              </w:rPr>
            </w:pPr>
            <w:r w:rsidRPr="00BF09A5">
              <w:rPr>
                <w:rFonts w:ascii="Calibri" w:eastAsia="Times New Roman" w:hAnsi="Calibri" w:cs="Calibri"/>
                <w:b/>
                <w:bCs/>
                <w:color w:val="000000"/>
                <w:sz w:val="16"/>
                <w:szCs w:val="16"/>
              </w:rPr>
              <w:t>111.845</w:t>
            </w:r>
          </w:p>
        </w:tc>
      </w:tr>
    </w:tbl>
    <w:p w14:paraId="0F71CA47" w14:textId="3BBAB444" w:rsidR="00703D25" w:rsidRPr="00B36334" w:rsidRDefault="00703D25" w:rsidP="00B36334">
      <w:pPr>
        <w:spacing w:before="120"/>
        <w:jc w:val="both"/>
        <w:rPr>
          <w:rFonts w:cstheme="minorHAnsi"/>
          <w:b/>
          <w:sz w:val="20"/>
        </w:rPr>
      </w:pPr>
      <w:r w:rsidRPr="00B36334">
        <w:rPr>
          <w:rFonts w:cstheme="minorHAnsi"/>
          <w:b/>
          <w:sz w:val="20"/>
        </w:rPr>
        <w:t>a) Tributos a Compensar</w:t>
      </w:r>
    </w:p>
    <w:p w14:paraId="1B69BE24" w14:textId="7FBB5B27" w:rsidR="00703D25" w:rsidRDefault="00703D25" w:rsidP="00B36334">
      <w:pPr>
        <w:spacing w:before="120"/>
        <w:jc w:val="both"/>
        <w:rPr>
          <w:rFonts w:cstheme="minorHAnsi"/>
          <w:sz w:val="20"/>
        </w:rPr>
      </w:pPr>
      <w:r w:rsidRPr="00B36334">
        <w:rPr>
          <w:rFonts w:cstheme="minorHAnsi"/>
          <w:sz w:val="20"/>
        </w:rPr>
        <w:t xml:space="preserve">De acordo com o art. </w:t>
      </w:r>
      <w:r w:rsidR="00627110" w:rsidRPr="00B36334">
        <w:rPr>
          <w:rFonts w:cstheme="minorHAnsi"/>
          <w:sz w:val="20"/>
        </w:rPr>
        <w:t>1</w:t>
      </w:r>
      <w:r w:rsidR="00627110">
        <w:rPr>
          <w:rFonts w:cstheme="minorHAnsi"/>
          <w:sz w:val="20"/>
        </w:rPr>
        <w:t>°</w:t>
      </w:r>
      <w:r w:rsidR="00627110" w:rsidRPr="00B36334">
        <w:rPr>
          <w:rFonts w:cstheme="minorHAnsi"/>
          <w:sz w:val="20"/>
        </w:rPr>
        <w:t xml:space="preserve"> da Lei n</w:t>
      </w:r>
      <w:r w:rsidR="00627110">
        <w:rPr>
          <w:rFonts w:cstheme="minorHAnsi"/>
          <w:sz w:val="20"/>
        </w:rPr>
        <w:t>°</w:t>
      </w:r>
      <w:r w:rsidR="00627110" w:rsidRPr="00B36334">
        <w:rPr>
          <w:rFonts w:cstheme="minorHAnsi"/>
          <w:sz w:val="20"/>
        </w:rPr>
        <w:t xml:space="preserve"> 10.637, de 30 de dezembro de 2002 e art. </w:t>
      </w:r>
      <w:r w:rsidRPr="00B36334">
        <w:rPr>
          <w:rFonts w:cstheme="minorHAnsi"/>
          <w:sz w:val="20"/>
        </w:rPr>
        <w:t>1</w:t>
      </w:r>
      <w:r w:rsidR="00E04049">
        <w:rPr>
          <w:rFonts w:cstheme="minorHAnsi"/>
          <w:sz w:val="20"/>
        </w:rPr>
        <w:t>°</w:t>
      </w:r>
      <w:r w:rsidRPr="00B36334">
        <w:rPr>
          <w:rFonts w:cstheme="minorHAnsi"/>
          <w:sz w:val="20"/>
        </w:rPr>
        <w:t xml:space="preserve"> da Lei n</w:t>
      </w:r>
      <w:r w:rsidR="00E04049">
        <w:rPr>
          <w:rFonts w:cstheme="minorHAnsi"/>
          <w:sz w:val="20"/>
        </w:rPr>
        <w:t>°</w:t>
      </w:r>
      <w:r w:rsidRPr="00B36334">
        <w:rPr>
          <w:rFonts w:cstheme="minorHAnsi"/>
          <w:sz w:val="20"/>
        </w:rPr>
        <w:t xml:space="preserve"> 10.833</w:t>
      </w:r>
      <w:r w:rsidR="00627110" w:rsidRPr="00B36334">
        <w:rPr>
          <w:rFonts w:cstheme="minorHAnsi"/>
          <w:sz w:val="20"/>
        </w:rPr>
        <w:t xml:space="preserve">, de 29 de dezembro de </w:t>
      </w:r>
      <w:r w:rsidRPr="00B36334">
        <w:rPr>
          <w:rFonts w:cstheme="minorHAnsi"/>
          <w:sz w:val="20"/>
        </w:rPr>
        <w:t>2003</w:t>
      </w:r>
      <w:r w:rsidR="0053065D" w:rsidRPr="000A7473">
        <w:rPr>
          <w:rFonts w:cstheme="minorHAnsi"/>
          <w:sz w:val="20"/>
          <w:szCs w:val="20"/>
        </w:rPr>
        <w:t>,</w:t>
      </w:r>
      <w:r w:rsidRPr="00B36334">
        <w:rPr>
          <w:rFonts w:cstheme="minorHAnsi"/>
          <w:sz w:val="20"/>
        </w:rPr>
        <w:t xml:space="preserve"> a base de cálculo da apuração do PIS e da COFINS pelo regime não-cumulativo é o total das receitas auferidas no mês, excluídas as </w:t>
      </w:r>
      <w:r w:rsidRPr="00B36334">
        <w:rPr>
          <w:rFonts w:cstheme="minorHAnsi"/>
          <w:sz w:val="20"/>
        </w:rPr>
        <w:lastRenderedPageBreak/>
        <w:t>situações previstas em lei. As referidas leis, em seu art. 3</w:t>
      </w:r>
      <w:r w:rsidR="00E04049">
        <w:rPr>
          <w:rFonts w:cstheme="minorHAnsi"/>
          <w:sz w:val="20"/>
        </w:rPr>
        <w:t>°</w:t>
      </w:r>
      <w:r w:rsidRPr="00B36334">
        <w:rPr>
          <w:rFonts w:cstheme="minorHAnsi"/>
          <w:sz w:val="20"/>
        </w:rPr>
        <w:t>, preveem a possibilidade de aproveitamento de créditos de PIS (1,65%) e COFINS (7,6%) sobre “aluguéis de prédios, máquinas e equipamentos e energia elétrica ou térmica, além das despesas com depreciações e amortizações”.</w:t>
      </w:r>
    </w:p>
    <w:p w14:paraId="6F857F68" w14:textId="13900161" w:rsidR="00C15386" w:rsidRDefault="00EF39B5" w:rsidP="00B36334">
      <w:pPr>
        <w:spacing w:before="120"/>
        <w:jc w:val="both"/>
        <w:rPr>
          <w:rFonts w:cstheme="minorHAnsi"/>
          <w:sz w:val="20"/>
        </w:rPr>
      </w:pPr>
      <w:r w:rsidRPr="00274DA4">
        <w:rPr>
          <w:rFonts w:cstheme="minorHAnsi"/>
          <w:sz w:val="20"/>
        </w:rPr>
        <w:t xml:space="preserve">O </w:t>
      </w:r>
      <w:r w:rsidR="008E0645" w:rsidRPr="00BF33AB">
        <w:rPr>
          <w:rFonts w:cstheme="minorHAnsi"/>
          <w:sz w:val="20"/>
          <w:shd w:val="clear" w:color="auto" w:fill="FFFFFF"/>
        </w:rPr>
        <w:t xml:space="preserve">Imposto de Renda Pessoa Jurídica – IRPJ e a Contribuição Social sobre o Lucro Líquido – CSLL </w:t>
      </w:r>
      <w:r w:rsidRPr="00274DA4">
        <w:rPr>
          <w:rFonts w:cstheme="minorHAnsi"/>
          <w:sz w:val="20"/>
        </w:rPr>
        <w:t>a compensar referem</w:t>
      </w:r>
      <w:r w:rsidR="00D605B0" w:rsidRPr="00274DA4">
        <w:rPr>
          <w:rFonts w:cstheme="minorHAnsi"/>
          <w:sz w:val="20"/>
        </w:rPr>
        <w:t>-se</w:t>
      </w:r>
      <w:r w:rsidR="006A2E44" w:rsidRPr="00274DA4">
        <w:rPr>
          <w:rFonts w:cstheme="minorHAnsi"/>
          <w:sz w:val="20"/>
        </w:rPr>
        <w:t xml:space="preserve"> aos </w:t>
      </w:r>
      <w:r w:rsidR="00A43309" w:rsidRPr="00274DA4">
        <w:rPr>
          <w:rFonts w:cstheme="minorHAnsi"/>
          <w:sz w:val="20"/>
        </w:rPr>
        <w:t xml:space="preserve">valores </w:t>
      </w:r>
      <w:r w:rsidR="006A2E44" w:rsidRPr="00274DA4">
        <w:rPr>
          <w:rFonts w:cstheme="minorHAnsi"/>
          <w:sz w:val="20"/>
        </w:rPr>
        <w:t xml:space="preserve">retidos na fonte </w:t>
      </w:r>
      <w:r w:rsidR="004C0048" w:rsidRPr="00274DA4">
        <w:rPr>
          <w:rFonts w:cstheme="minorHAnsi"/>
          <w:sz w:val="20"/>
        </w:rPr>
        <w:t>pelos clientes da Infra S.A. quando do faturamento.</w:t>
      </w:r>
    </w:p>
    <w:tbl>
      <w:tblPr>
        <w:tblW w:w="5000" w:type="pct"/>
        <w:tblCellMar>
          <w:left w:w="70" w:type="dxa"/>
          <w:right w:w="70" w:type="dxa"/>
        </w:tblCellMar>
        <w:tblLook w:val="04A0" w:firstRow="1" w:lastRow="0" w:firstColumn="1" w:lastColumn="0" w:noHBand="0" w:noVBand="1"/>
      </w:tblPr>
      <w:tblGrid>
        <w:gridCol w:w="4831"/>
        <w:gridCol w:w="1409"/>
        <w:gridCol w:w="1409"/>
        <w:gridCol w:w="1409"/>
        <w:gridCol w:w="1409"/>
      </w:tblGrid>
      <w:tr w:rsidR="00B60B90" w:rsidRPr="009F67BB" w14:paraId="18EDBDB4" w14:textId="77777777" w:rsidTr="00B6101F">
        <w:trPr>
          <w:trHeight w:val="227"/>
        </w:trPr>
        <w:tc>
          <w:tcPr>
            <w:tcW w:w="3888" w:type="dxa"/>
            <w:tcBorders>
              <w:top w:val="nil"/>
              <w:left w:val="nil"/>
              <w:bottom w:val="single" w:sz="8" w:space="0" w:color="auto"/>
              <w:right w:val="nil"/>
            </w:tcBorders>
            <w:shd w:val="clear" w:color="000000" w:fill="DEEAF6"/>
            <w:noWrap/>
            <w:vAlign w:val="center"/>
            <w:hideMark/>
          </w:tcPr>
          <w:p w14:paraId="30003829" w14:textId="77777777" w:rsidR="009F67BB" w:rsidRPr="009F67BB" w:rsidRDefault="009F67BB" w:rsidP="009F67BB">
            <w:pPr>
              <w:spacing w:after="0" w:line="240" w:lineRule="auto"/>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TRIBUTOS A COMPENSAR</w:t>
            </w:r>
          </w:p>
        </w:tc>
        <w:tc>
          <w:tcPr>
            <w:tcW w:w="1134" w:type="dxa"/>
            <w:tcBorders>
              <w:top w:val="nil"/>
              <w:left w:val="nil"/>
              <w:bottom w:val="single" w:sz="8" w:space="0" w:color="auto"/>
              <w:right w:val="nil"/>
            </w:tcBorders>
            <w:shd w:val="clear" w:color="000000" w:fill="DEEAF6"/>
            <w:vAlign w:val="center"/>
            <w:hideMark/>
          </w:tcPr>
          <w:p w14:paraId="13774EB8"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6313A9CE"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Apropriado</w:t>
            </w:r>
          </w:p>
        </w:tc>
        <w:tc>
          <w:tcPr>
            <w:tcW w:w="1134" w:type="dxa"/>
            <w:tcBorders>
              <w:top w:val="nil"/>
              <w:left w:val="nil"/>
              <w:bottom w:val="single" w:sz="8" w:space="0" w:color="auto"/>
              <w:right w:val="nil"/>
            </w:tcBorders>
            <w:shd w:val="clear" w:color="000000" w:fill="DEEAF6"/>
            <w:vAlign w:val="center"/>
            <w:hideMark/>
          </w:tcPr>
          <w:p w14:paraId="04663030"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Compensado</w:t>
            </w:r>
          </w:p>
        </w:tc>
        <w:tc>
          <w:tcPr>
            <w:tcW w:w="1134" w:type="dxa"/>
            <w:tcBorders>
              <w:top w:val="nil"/>
              <w:left w:val="nil"/>
              <w:bottom w:val="single" w:sz="8" w:space="0" w:color="auto"/>
              <w:right w:val="nil"/>
            </w:tcBorders>
            <w:shd w:val="clear" w:color="000000" w:fill="DEEAF6"/>
            <w:vAlign w:val="center"/>
            <w:hideMark/>
          </w:tcPr>
          <w:p w14:paraId="5F534793" w14:textId="16FF7706"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Saldo em 31/</w:t>
            </w:r>
            <w:r w:rsidR="00C237EA">
              <w:rPr>
                <w:rFonts w:ascii="Calibri" w:eastAsia="Times New Roman" w:hAnsi="Calibri" w:cs="Calibri"/>
                <w:b/>
                <w:bCs/>
                <w:color w:val="000000"/>
                <w:sz w:val="16"/>
                <w:szCs w:val="16"/>
              </w:rPr>
              <w:t>03</w:t>
            </w:r>
            <w:r w:rsidRPr="009F67BB">
              <w:rPr>
                <w:rFonts w:ascii="Calibri" w:eastAsia="Times New Roman" w:hAnsi="Calibri" w:cs="Calibri"/>
                <w:b/>
                <w:bCs/>
                <w:color w:val="000000"/>
                <w:sz w:val="16"/>
                <w:szCs w:val="16"/>
              </w:rPr>
              <w:t>/202</w:t>
            </w:r>
            <w:r w:rsidR="00C237EA">
              <w:rPr>
                <w:rFonts w:ascii="Calibri" w:eastAsia="Times New Roman" w:hAnsi="Calibri" w:cs="Calibri"/>
                <w:b/>
                <w:bCs/>
                <w:color w:val="000000"/>
                <w:sz w:val="16"/>
                <w:szCs w:val="16"/>
              </w:rPr>
              <w:t>4</w:t>
            </w:r>
          </w:p>
        </w:tc>
      </w:tr>
      <w:tr w:rsidR="009F67BB" w:rsidRPr="009F67BB" w14:paraId="15F32896" w14:textId="77777777" w:rsidTr="00B6101F">
        <w:trPr>
          <w:trHeight w:val="227"/>
        </w:trPr>
        <w:tc>
          <w:tcPr>
            <w:tcW w:w="3888" w:type="dxa"/>
            <w:tcBorders>
              <w:top w:val="nil"/>
              <w:left w:val="nil"/>
              <w:bottom w:val="nil"/>
              <w:right w:val="nil"/>
            </w:tcBorders>
            <w:shd w:val="clear" w:color="auto" w:fill="auto"/>
            <w:noWrap/>
            <w:vAlign w:val="center"/>
            <w:hideMark/>
          </w:tcPr>
          <w:p w14:paraId="73935A0F" w14:textId="77777777" w:rsidR="009F67BB" w:rsidRPr="009F67BB" w:rsidRDefault="009F67BB" w:rsidP="009F67BB">
            <w:pPr>
              <w:spacing w:after="0" w:line="240" w:lineRule="auto"/>
              <w:rPr>
                <w:rFonts w:ascii="Calibri" w:eastAsia="Times New Roman" w:hAnsi="Calibri" w:cs="Calibri"/>
                <w:color w:val="000000"/>
                <w:sz w:val="16"/>
                <w:szCs w:val="16"/>
              </w:rPr>
            </w:pPr>
            <w:r w:rsidRPr="009F67BB">
              <w:rPr>
                <w:rFonts w:ascii="Calibri" w:eastAsia="Times New Roman" w:hAnsi="Calibri" w:cs="Calibri"/>
                <w:color w:val="000000"/>
                <w:sz w:val="16"/>
                <w:szCs w:val="16"/>
              </w:rPr>
              <w:t>COFINS a Compensar</w:t>
            </w:r>
          </w:p>
        </w:tc>
        <w:tc>
          <w:tcPr>
            <w:tcW w:w="1134" w:type="dxa"/>
            <w:tcBorders>
              <w:top w:val="nil"/>
              <w:left w:val="nil"/>
              <w:bottom w:val="nil"/>
              <w:right w:val="nil"/>
            </w:tcBorders>
            <w:shd w:val="clear" w:color="auto" w:fill="auto"/>
            <w:noWrap/>
            <w:vAlign w:val="center"/>
            <w:hideMark/>
          </w:tcPr>
          <w:p w14:paraId="76F2F013"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34.223</w:t>
            </w:r>
          </w:p>
        </w:tc>
        <w:tc>
          <w:tcPr>
            <w:tcW w:w="1134" w:type="dxa"/>
            <w:tcBorders>
              <w:top w:val="nil"/>
              <w:left w:val="nil"/>
              <w:bottom w:val="nil"/>
              <w:right w:val="nil"/>
            </w:tcBorders>
            <w:shd w:val="clear" w:color="auto" w:fill="auto"/>
            <w:vAlign w:val="center"/>
            <w:hideMark/>
          </w:tcPr>
          <w:p w14:paraId="60F10834"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192.244</w:t>
            </w:r>
          </w:p>
        </w:tc>
        <w:tc>
          <w:tcPr>
            <w:tcW w:w="1134" w:type="dxa"/>
            <w:tcBorders>
              <w:top w:val="nil"/>
              <w:left w:val="nil"/>
              <w:bottom w:val="nil"/>
              <w:right w:val="nil"/>
            </w:tcBorders>
            <w:shd w:val="clear" w:color="auto" w:fill="auto"/>
            <w:vAlign w:val="center"/>
            <w:hideMark/>
          </w:tcPr>
          <w:p w14:paraId="19D4A41C"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226.467</w:t>
            </w:r>
          </w:p>
        </w:tc>
        <w:tc>
          <w:tcPr>
            <w:tcW w:w="1134" w:type="dxa"/>
            <w:tcBorders>
              <w:top w:val="nil"/>
              <w:left w:val="nil"/>
              <w:bottom w:val="nil"/>
              <w:right w:val="nil"/>
            </w:tcBorders>
            <w:shd w:val="clear" w:color="auto" w:fill="auto"/>
            <w:vAlign w:val="center"/>
            <w:hideMark/>
          </w:tcPr>
          <w:p w14:paraId="0DA88B42" w14:textId="107F27C1" w:rsidR="009F67BB" w:rsidRPr="009F67BB" w:rsidRDefault="009F67BB" w:rsidP="009F67B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9F67BB" w:rsidRPr="009F67BB" w14:paraId="46B01EF4" w14:textId="77777777" w:rsidTr="00B6101F">
        <w:trPr>
          <w:trHeight w:val="227"/>
        </w:trPr>
        <w:tc>
          <w:tcPr>
            <w:tcW w:w="3888" w:type="dxa"/>
            <w:tcBorders>
              <w:top w:val="nil"/>
              <w:left w:val="nil"/>
              <w:bottom w:val="nil"/>
              <w:right w:val="nil"/>
            </w:tcBorders>
            <w:shd w:val="clear" w:color="auto" w:fill="auto"/>
            <w:noWrap/>
            <w:vAlign w:val="center"/>
            <w:hideMark/>
          </w:tcPr>
          <w:p w14:paraId="2C68D284" w14:textId="77777777" w:rsidR="009F67BB" w:rsidRPr="009F67BB" w:rsidRDefault="009F67BB" w:rsidP="009F67BB">
            <w:pPr>
              <w:spacing w:after="0" w:line="240" w:lineRule="auto"/>
              <w:rPr>
                <w:rFonts w:ascii="Calibri" w:eastAsia="Times New Roman" w:hAnsi="Calibri" w:cs="Calibri"/>
                <w:color w:val="000000"/>
                <w:sz w:val="16"/>
                <w:szCs w:val="16"/>
              </w:rPr>
            </w:pPr>
            <w:r w:rsidRPr="009F67BB">
              <w:rPr>
                <w:rFonts w:ascii="Calibri" w:eastAsia="Times New Roman" w:hAnsi="Calibri" w:cs="Calibri"/>
                <w:color w:val="000000"/>
                <w:sz w:val="16"/>
                <w:szCs w:val="16"/>
              </w:rPr>
              <w:t>PIS a Compensar</w:t>
            </w:r>
          </w:p>
        </w:tc>
        <w:tc>
          <w:tcPr>
            <w:tcW w:w="1134" w:type="dxa"/>
            <w:tcBorders>
              <w:top w:val="nil"/>
              <w:left w:val="nil"/>
              <w:bottom w:val="nil"/>
              <w:right w:val="nil"/>
            </w:tcBorders>
            <w:shd w:val="clear" w:color="auto" w:fill="auto"/>
            <w:noWrap/>
            <w:vAlign w:val="center"/>
            <w:hideMark/>
          </w:tcPr>
          <w:p w14:paraId="4C60EB7E"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33.894</w:t>
            </w:r>
          </w:p>
        </w:tc>
        <w:tc>
          <w:tcPr>
            <w:tcW w:w="1134" w:type="dxa"/>
            <w:tcBorders>
              <w:top w:val="nil"/>
              <w:left w:val="nil"/>
              <w:bottom w:val="nil"/>
              <w:right w:val="nil"/>
            </w:tcBorders>
            <w:shd w:val="clear" w:color="auto" w:fill="auto"/>
            <w:vAlign w:val="center"/>
            <w:hideMark/>
          </w:tcPr>
          <w:p w14:paraId="3D371CF0"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30.368</w:t>
            </w:r>
          </w:p>
        </w:tc>
        <w:tc>
          <w:tcPr>
            <w:tcW w:w="1134" w:type="dxa"/>
            <w:tcBorders>
              <w:top w:val="nil"/>
              <w:left w:val="nil"/>
              <w:bottom w:val="nil"/>
              <w:right w:val="nil"/>
            </w:tcBorders>
            <w:shd w:val="clear" w:color="auto" w:fill="auto"/>
            <w:vAlign w:val="center"/>
            <w:hideMark/>
          </w:tcPr>
          <w:p w14:paraId="065DE6B4"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40.979</w:t>
            </w:r>
          </w:p>
        </w:tc>
        <w:tc>
          <w:tcPr>
            <w:tcW w:w="1134" w:type="dxa"/>
            <w:tcBorders>
              <w:top w:val="nil"/>
              <w:left w:val="nil"/>
              <w:bottom w:val="nil"/>
              <w:right w:val="nil"/>
            </w:tcBorders>
            <w:shd w:val="clear" w:color="auto" w:fill="auto"/>
            <w:vAlign w:val="center"/>
            <w:hideMark/>
          </w:tcPr>
          <w:p w14:paraId="5B682DC1"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23.283</w:t>
            </w:r>
          </w:p>
        </w:tc>
      </w:tr>
      <w:tr w:rsidR="009F67BB" w:rsidRPr="009F67BB" w14:paraId="343C9E5A" w14:textId="77777777" w:rsidTr="00B6101F">
        <w:trPr>
          <w:trHeight w:val="227"/>
        </w:trPr>
        <w:tc>
          <w:tcPr>
            <w:tcW w:w="3888" w:type="dxa"/>
            <w:tcBorders>
              <w:top w:val="nil"/>
              <w:left w:val="nil"/>
              <w:bottom w:val="nil"/>
              <w:right w:val="nil"/>
            </w:tcBorders>
            <w:shd w:val="clear" w:color="auto" w:fill="auto"/>
            <w:noWrap/>
            <w:vAlign w:val="center"/>
            <w:hideMark/>
          </w:tcPr>
          <w:p w14:paraId="6DA0484F" w14:textId="77777777" w:rsidR="009F67BB" w:rsidRPr="009F67BB" w:rsidRDefault="009F67BB" w:rsidP="009F67BB">
            <w:pPr>
              <w:spacing w:after="0" w:line="240" w:lineRule="auto"/>
              <w:rPr>
                <w:rFonts w:ascii="Calibri" w:eastAsia="Times New Roman" w:hAnsi="Calibri" w:cs="Calibri"/>
                <w:color w:val="000000"/>
                <w:sz w:val="16"/>
                <w:szCs w:val="16"/>
              </w:rPr>
            </w:pPr>
            <w:r w:rsidRPr="009F67BB">
              <w:rPr>
                <w:rFonts w:ascii="Calibri" w:eastAsia="Times New Roman" w:hAnsi="Calibri" w:cs="Calibri"/>
                <w:color w:val="000000"/>
                <w:sz w:val="16"/>
                <w:szCs w:val="16"/>
              </w:rPr>
              <w:t>IRPJ e CSLL a Recuperar/ Compensar</w:t>
            </w:r>
          </w:p>
        </w:tc>
        <w:tc>
          <w:tcPr>
            <w:tcW w:w="1134" w:type="dxa"/>
            <w:tcBorders>
              <w:top w:val="nil"/>
              <w:left w:val="nil"/>
              <w:bottom w:val="nil"/>
              <w:right w:val="nil"/>
            </w:tcBorders>
            <w:shd w:val="clear" w:color="auto" w:fill="auto"/>
            <w:noWrap/>
            <w:vAlign w:val="center"/>
            <w:hideMark/>
          </w:tcPr>
          <w:p w14:paraId="3902FE74" w14:textId="30FCDC88"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25</w:t>
            </w:r>
            <w:r w:rsidR="005211C4">
              <w:rPr>
                <w:rFonts w:ascii="Calibri" w:eastAsia="Times New Roman" w:hAnsi="Calibri" w:cs="Calibri"/>
                <w:color w:val="000000"/>
                <w:sz w:val="16"/>
                <w:szCs w:val="16"/>
              </w:rPr>
              <w:t>.</w:t>
            </w:r>
            <w:r w:rsidRPr="009F67BB">
              <w:rPr>
                <w:rFonts w:ascii="Calibri" w:eastAsia="Times New Roman" w:hAnsi="Calibri" w:cs="Calibri"/>
                <w:color w:val="000000"/>
                <w:sz w:val="16"/>
                <w:szCs w:val="16"/>
              </w:rPr>
              <w:t>339</w:t>
            </w:r>
          </w:p>
        </w:tc>
        <w:tc>
          <w:tcPr>
            <w:tcW w:w="1134" w:type="dxa"/>
            <w:tcBorders>
              <w:top w:val="nil"/>
              <w:left w:val="nil"/>
              <w:bottom w:val="nil"/>
              <w:right w:val="nil"/>
            </w:tcBorders>
            <w:shd w:val="clear" w:color="auto" w:fill="auto"/>
            <w:vAlign w:val="center"/>
            <w:hideMark/>
          </w:tcPr>
          <w:p w14:paraId="42E87671"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B149FC5"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14236CA"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25.339</w:t>
            </w:r>
          </w:p>
        </w:tc>
      </w:tr>
      <w:tr w:rsidR="009F67BB" w:rsidRPr="009F67BB" w14:paraId="482A0B79" w14:textId="77777777" w:rsidTr="00B6101F">
        <w:trPr>
          <w:trHeight w:val="227"/>
        </w:trPr>
        <w:tc>
          <w:tcPr>
            <w:tcW w:w="3888" w:type="dxa"/>
            <w:tcBorders>
              <w:top w:val="nil"/>
              <w:left w:val="nil"/>
              <w:bottom w:val="nil"/>
              <w:right w:val="nil"/>
            </w:tcBorders>
            <w:shd w:val="clear" w:color="auto" w:fill="auto"/>
            <w:noWrap/>
            <w:vAlign w:val="center"/>
            <w:hideMark/>
          </w:tcPr>
          <w:p w14:paraId="1493BAAA" w14:textId="77777777" w:rsidR="009F67BB" w:rsidRPr="009F67BB" w:rsidRDefault="009F67BB" w:rsidP="009F67BB">
            <w:pPr>
              <w:spacing w:after="0" w:line="240" w:lineRule="auto"/>
              <w:rPr>
                <w:rFonts w:ascii="Calibri" w:eastAsia="Times New Roman" w:hAnsi="Calibri" w:cs="Calibri"/>
                <w:color w:val="000000"/>
                <w:sz w:val="16"/>
                <w:szCs w:val="16"/>
              </w:rPr>
            </w:pPr>
            <w:r w:rsidRPr="009F67BB">
              <w:rPr>
                <w:rFonts w:ascii="Calibri" w:eastAsia="Times New Roman" w:hAnsi="Calibri" w:cs="Calibri"/>
                <w:color w:val="000000"/>
                <w:sz w:val="16"/>
                <w:szCs w:val="16"/>
              </w:rPr>
              <w:t>IRRF a Compensar</w:t>
            </w:r>
          </w:p>
        </w:tc>
        <w:tc>
          <w:tcPr>
            <w:tcW w:w="1134" w:type="dxa"/>
            <w:tcBorders>
              <w:top w:val="nil"/>
              <w:left w:val="nil"/>
              <w:bottom w:val="nil"/>
              <w:right w:val="nil"/>
            </w:tcBorders>
            <w:shd w:val="clear" w:color="auto" w:fill="auto"/>
            <w:noWrap/>
            <w:vAlign w:val="center"/>
            <w:hideMark/>
          </w:tcPr>
          <w:p w14:paraId="026CC8AE"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566</w:t>
            </w:r>
          </w:p>
        </w:tc>
        <w:tc>
          <w:tcPr>
            <w:tcW w:w="1134" w:type="dxa"/>
            <w:tcBorders>
              <w:top w:val="nil"/>
              <w:left w:val="nil"/>
              <w:bottom w:val="nil"/>
              <w:right w:val="nil"/>
            </w:tcBorders>
            <w:shd w:val="clear" w:color="auto" w:fill="auto"/>
            <w:vAlign w:val="center"/>
            <w:hideMark/>
          </w:tcPr>
          <w:p w14:paraId="225B622D" w14:textId="77777777" w:rsidR="009F67BB" w:rsidRPr="009F67BB" w:rsidRDefault="009F67BB" w:rsidP="009F67BB">
            <w:pPr>
              <w:spacing w:after="0" w:line="240" w:lineRule="auto"/>
              <w:jc w:val="right"/>
              <w:rPr>
                <w:rFonts w:ascii="Calibri" w:eastAsia="Times New Roman" w:hAnsi="Calibri" w:cs="Calibri"/>
                <w:color w:val="000000"/>
                <w:sz w:val="16"/>
                <w:szCs w:val="16"/>
              </w:rPr>
            </w:pPr>
            <w:r w:rsidRPr="009F67BB">
              <w:rPr>
                <w:rFonts w:ascii="Calibri" w:eastAsia="Times New Roman" w:hAnsi="Calibri" w:cs="Calibri"/>
                <w:color w:val="000000"/>
                <w:sz w:val="16"/>
                <w:szCs w:val="16"/>
              </w:rPr>
              <w:t>263</w:t>
            </w:r>
          </w:p>
        </w:tc>
        <w:tc>
          <w:tcPr>
            <w:tcW w:w="1134" w:type="dxa"/>
            <w:tcBorders>
              <w:top w:val="nil"/>
              <w:left w:val="nil"/>
              <w:bottom w:val="nil"/>
              <w:right w:val="nil"/>
            </w:tcBorders>
            <w:shd w:val="clear" w:color="auto" w:fill="auto"/>
            <w:vAlign w:val="center"/>
            <w:hideMark/>
          </w:tcPr>
          <w:p w14:paraId="26D21D36" w14:textId="267E9728" w:rsidR="009F67BB" w:rsidRPr="009F67BB" w:rsidRDefault="009F67BB" w:rsidP="009F67B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5B76852" w14:textId="71325A25" w:rsidR="009F67BB" w:rsidRPr="009F67BB" w:rsidRDefault="005563BE" w:rsidP="009F67B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8</w:t>
            </w:r>
            <w:r w:rsidR="003453A4">
              <w:rPr>
                <w:rFonts w:ascii="Calibri" w:eastAsia="Times New Roman" w:hAnsi="Calibri" w:cs="Calibri"/>
                <w:color w:val="000000"/>
                <w:sz w:val="16"/>
                <w:szCs w:val="16"/>
              </w:rPr>
              <w:t>29</w:t>
            </w:r>
          </w:p>
        </w:tc>
      </w:tr>
      <w:tr w:rsidR="00B60B90" w:rsidRPr="009F67BB" w14:paraId="41BC4681" w14:textId="77777777" w:rsidTr="00B6101F">
        <w:trPr>
          <w:trHeight w:val="227"/>
        </w:trPr>
        <w:tc>
          <w:tcPr>
            <w:tcW w:w="3888" w:type="dxa"/>
            <w:tcBorders>
              <w:top w:val="single" w:sz="8" w:space="0" w:color="auto"/>
              <w:left w:val="nil"/>
              <w:bottom w:val="single" w:sz="8" w:space="0" w:color="auto"/>
              <w:right w:val="nil"/>
            </w:tcBorders>
            <w:shd w:val="clear" w:color="000000" w:fill="DEEAF6"/>
            <w:noWrap/>
            <w:vAlign w:val="center"/>
            <w:hideMark/>
          </w:tcPr>
          <w:p w14:paraId="1006FA33" w14:textId="77777777" w:rsidR="009F67BB" w:rsidRPr="009F67BB" w:rsidRDefault="009F67BB" w:rsidP="009F67BB">
            <w:pPr>
              <w:spacing w:after="0" w:line="240" w:lineRule="auto"/>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76B936D0"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94.022</w:t>
            </w:r>
          </w:p>
        </w:tc>
        <w:tc>
          <w:tcPr>
            <w:tcW w:w="1134" w:type="dxa"/>
            <w:tcBorders>
              <w:top w:val="single" w:sz="8" w:space="0" w:color="auto"/>
              <w:left w:val="nil"/>
              <w:bottom w:val="single" w:sz="8" w:space="0" w:color="auto"/>
              <w:right w:val="nil"/>
            </w:tcBorders>
            <w:shd w:val="clear" w:color="000000" w:fill="DEEAF6"/>
            <w:vAlign w:val="center"/>
            <w:hideMark/>
          </w:tcPr>
          <w:p w14:paraId="3A78C3EC"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222.875</w:t>
            </w:r>
          </w:p>
        </w:tc>
        <w:tc>
          <w:tcPr>
            <w:tcW w:w="1134" w:type="dxa"/>
            <w:tcBorders>
              <w:top w:val="single" w:sz="8" w:space="0" w:color="auto"/>
              <w:left w:val="nil"/>
              <w:bottom w:val="single" w:sz="8" w:space="0" w:color="auto"/>
              <w:right w:val="nil"/>
            </w:tcBorders>
            <w:shd w:val="clear" w:color="000000" w:fill="DEEAF6"/>
            <w:vAlign w:val="center"/>
            <w:hideMark/>
          </w:tcPr>
          <w:p w14:paraId="4601000A" w14:textId="77777777"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267.446</w:t>
            </w:r>
          </w:p>
        </w:tc>
        <w:tc>
          <w:tcPr>
            <w:tcW w:w="1134" w:type="dxa"/>
            <w:tcBorders>
              <w:top w:val="single" w:sz="8" w:space="0" w:color="auto"/>
              <w:left w:val="nil"/>
              <w:bottom w:val="single" w:sz="8" w:space="0" w:color="auto"/>
              <w:right w:val="nil"/>
            </w:tcBorders>
            <w:shd w:val="clear" w:color="000000" w:fill="DEEAF6"/>
            <w:vAlign w:val="center"/>
            <w:hideMark/>
          </w:tcPr>
          <w:p w14:paraId="2F6B482A" w14:textId="6356A1EF" w:rsidR="009F67BB" w:rsidRPr="009F67BB" w:rsidRDefault="009F67BB" w:rsidP="009F67BB">
            <w:pPr>
              <w:spacing w:after="0" w:line="240" w:lineRule="auto"/>
              <w:jc w:val="right"/>
              <w:rPr>
                <w:rFonts w:ascii="Calibri" w:eastAsia="Times New Roman" w:hAnsi="Calibri" w:cs="Calibri"/>
                <w:b/>
                <w:bCs/>
                <w:color w:val="000000"/>
                <w:sz w:val="16"/>
                <w:szCs w:val="16"/>
              </w:rPr>
            </w:pPr>
            <w:r w:rsidRPr="009F67BB">
              <w:rPr>
                <w:rFonts w:ascii="Calibri" w:eastAsia="Times New Roman" w:hAnsi="Calibri" w:cs="Calibri"/>
                <w:b/>
                <w:bCs/>
                <w:color w:val="000000"/>
                <w:sz w:val="16"/>
                <w:szCs w:val="16"/>
              </w:rPr>
              <w:t>49.45</w:t>
            </w:r>
            <w:r w:rsidR="003453A4">
              <w:rPr>
                <w:rFonts w:ascii="Calibri" w:eastAsia="Times New Roman" w:hAnsi="Calibri" w:cs="Calibri"/>
                <w:b/>
                <w:bCs/>
                <w:color w:val="000000"/>
                <w:sz w:val="16"/>
                <w:szCs w:val="16"/>
              </w:rPr>
              <w:t>1</w:t>
            </w:r>
          </w:p>
        </w:tc>
      </w:tr>
    </w:tbl>
    <w:p w14:paraId="3CD89202" w14:textId="6810ED17" w:rsidR="0073753B" w:rsidRDefault="0073753B" w:rsidP="00EE041A">
      <w:pPr>
        <w:spacing w:before="120"/>
        <w:jc w:val="both"/>
        <w:rPr>
          <w:rFonts w:cstheme="minorHAnsi"/>
          <w:b/>
          <w:sz w:val="20"/>
        </w:rPr>
      </w:pPr>
      <w:r w:rsidRPr="00B36334">
        <w:rPr>
          <w:rFonts w:cstheme="minorHAnsi"/>
          <w:b/>
          <w:sz w:val="20"/>
        </w:rPr>
        <w:t>b) Crédito Previdenciário a Compensar</w:t>
      </w:r>
    </w:p>
    <w:p w14:paraId="5FAA3898" w14:textId="185E0F5F" w:rsidR="00842DE8" w:rsidRPr="000B143B" w:rsidRDefault="000B143B" w:rsidP="00EE041A">
      <w:pPr>
        <w:spacing w:before="120"/>
        <w:jc w:val="both"/>
        <w:rPr>
          <w:rFonts w:cstheme="minorHAnsi"/>
          <w:sz w:val="20"/>
          <w:szCs w:val="20"/>
        </w:rPr>
      </w:pPr>
      <w:r w:rsidRPr="000B143B">
        <w:rPr>
          <w:rFonts w:cstheme="minorHAnsi"/>
          <w:sz w:val="20"/>
          <w:szCs w:val="20"/>
        </w:rPr>
        <w:t xml:space="preserve">Em dezembro de 2023, conforme cálculos apresentados pela </w:t>
      </w:r>
      <w:r w:rsidR="00033FF8" w:rsidRPr="00033FF8">
        <w:rPr>
          <w:rFonts w:cstheme="minorHAnsi"/>
          <w:sz w:val="20"/>
          <w:szCs w:val="20"/>
        </w:rPr>
        <w:t>Superintendência de Gestão de Pessoas –</w:t>
      </w:r>
      <w:r w:rsidR="00033FF8">
        <w:rPr>
          <w:rFonts w:cstheme="minorHAnsi"/>
          <w:sz w:val="20"/>
          <w:szCs w:val="20"/>
        </w:rPr>
        <w:t xml:space="preserve"> </w:t>
      </w:r>
      <w:r w:rsidR="00934EAA" w:rsidRPr="00B36334">
        <w:rPr>
          <w:rFonts w:cstheme="minorHAnsi"/>
          <w:sz w:val="20"/>
        </w:rPr>
        <w:t>SUGEP</w:t>
      </w:r>
      <w:r w:rsidRPr="000B143B">
        <w:rPr>
          <w:rFonts w:cstheme="minorHAnsi"/>
          <w:sz w:val="20"/>
          <w:szCs w:val="20"/>
        </w:rPr>
        <w:t>, foi apropriado na conta de INSS a compensar o valor de R$</w:t>
      </w:r>
      <w:r>
        <w:rPr>
          <w:rFonts w:cstheme="minorHAnsi"/>
          <w:sz w:val="20"/>
          <w:szCs w:val="20"/>
        </w:rPr>
        <w:t xml:space="preserve"> </w:t>
      </w:r>
      <w:r w:rsidRPr="000B143B">
        <w:rPr>
          <w:rFonts w:cstheme="minorHAnsi"/>
          <w:sz w:val="20"/>
          <w:szCs w:val="20"/>
        </w:rPr>
        <w:t>17,82 mil referente a salário maternidade não abatido da guia recolhimento do INSS de dezembro de 2021</w:t>
      </w:r>
      <w:r w:rsidR="00193ADD">
        <w:rPr>
          <w:rFonts w:cstheme="minorHAnsi"/>
          <w:sz w:val="20"/>
          <w:szCs w:val="20"/>
        </w:rPr>
        <w:t xml:space="preserve">. Mensalmente é apropriada a </w:t>
      </w:r>
      <w:r w:rsidRPr="000B143B">
        <w:rPr>
          <w:rFonts w:cstheme="minorHAnsi"/>
          <w:sz w:val="20"/>
          <w:szCs w:val="20"/>
        </w:rPr>
        <w:t>respectiva</w:t>
      </w:r>
      <w:r>
        <w:rPr>
          <w:rFonts w:cstheme="minorHAnsi"/>
          <w:sz w:val="20"/>
          <w:szCs w:val="20"/>
        </w:rPr>
        <w:t xml:space="preserve"> </w:t>
      </w:r>
      <w:r w:rsidRPr="000B143B">
        <w:rPr>
          <w:rFonts w:cstheme="minorHAnsi"/>
          <w:sz w:val="20"/>
          <w:szCs w:val="20"/>
        </w:rPr>
        <w:t>atualização financeira do crédito.</w:t>
      </w:r>
    </w:p>
    <w:tbl>
      <w:tblPr>
        <w:tblW w:w="5000" w:type="pct"/>
        <w:tblCellMar>
          <w:left w:w="70" w:type="dxa"/>
          <w:right w:w="70" w:type="dxa"/>
        </w:tblCellMar>
        <w:tblLook w:val="04A0" w:firstRow="1" w:lastRow="0" w:firstColumn="1" w:lastColumn="0" w:noHBand="0" w:noVBand="1"/>
      </w:tblPr>
      <w:tblGrid>
        <w:gridCol w:w="6768"/>
        <w:gridCol w:w="1233"/>
        <w:gridCol w:w="1233"/>
        <w:gridCol w:w="1233"/>
      </w:tblGrid>
      <w:tr w:rsidR="005271C9" w:rsidRPr="00FF3414" w14:paraId="2838A840" w14:textId="77777777" w:rsidTr="00B6101F">
        <w:trPr>
          <w:trHeight w:val="227"/>
        </w:trPr>
        <w:tc>
          <w:tcPr>
            <w:tcW w:w="6224" w:type="dxa"/>
            <w:tcBorders>
              <w:top w:val="nil"/>
              <w:left w:val="nil"/>
              <w:bottom w:val="single" w:sz="8" w:space="0" w:color="auto"/>
              <w:right w:val="nil"/>
            </w:tcBorders>
            <w:shd w:val="clear" w:color="000000" w:fill="DEEAF6"/>
            <w:noWrap/>
            <w:vAlign w:val="center"/>
            <w:hideMark/>
          </w:tcPr>
          <w:p w14:paraId="2040292D" w14:textId="649E4CC6" w:rsidR="005271C9" w:rsidRPr="00FF3414" w:rsidRDefault="005271C9" w:rsidP="005271C9">
            <w:pPr>
              <w:spacing w:after="0" w:line="240" w:lineRule="auto"/>
              <w:rPr>
                <w:rFonts w:ascii="Calibri" w:eastAsia="Times New Roman" w:hAnsi="Calibri" w:cs="Calibri"/>
                <w:b/>
                <w:bCs/>
                <w:color w:val="000000"/>
                <w:sz w:val="16"/>
                <w:szCs w:val="16"/>
              </w:rPr>
            </w:pPr>
            <w:r w:rsidRPr="00FF3414">
              <w:rPr>
                <w:rFonts w:ascii="Calibri" w:eastAsia="Times New Roman" w:hAnsi="Calibri" w:cs="Calibri"/>
                <w:b/>
                <w:bCs/>
                <w:color w:val="000000"/>
                <w:sz w:val="16"/>
                <w:szCs w:val="16"/>
              </w:rPr>
              <w:t>Crédito Previdenciário a Compensar</w:t>
            </w:r>
          </w:p>
        </w:tc>
        <w:tc>
          <w:tcPr>
            <w:tcW w:w="1134" w:type="dxa"/>
            <w:tcBorders>
              <w:top w:val="nil"/>
              <w:left w:val="nil"/>
              <w:bottom w:val="single" w:sz="8" w:space="0" w:color="auto"/>
              <w:right w:val="nil"/>
            </w:tcBorders>
            <w:shd w:val="clear" w:color="000000" w:fill="DEEAF6"/>
            <w:vAlign w:val="center"/>
          </w:tcPr>
          <w:p w14:paraId="7B1AB463" w14:textId="73931341" w:rsidR="005271C9" w:rsidRPr="00FF3414" w:rsidRDefault="005271C9" w:rsidP="005271C9">
            <w:pPr>
              <w:spacing w:after="0" w:line="240" w:lineRule="auto"/>
              <w:jc w:val="right"/>
              <w:rPr>
                <w:rFonts w:ascii="Calibri" w:eastAsia="Times New Roman" w:hAnsi="Calibri" w:cs="Calibri"/>
                <w:b/>
                <w:bCs/>
                <w:color w:val="000000"/>
                <w:sz w:val="16"/>
                <w:szCs w:val="16"/>
              </w:rPr>
            </w:pPr>
            <w:r w:rsidRPr="005271C9">
              <w:rPr>
                <w:rFonts w:ascii="Calibri" w:eastAsia="Times New Roman" w:hAnsi="Calibri" w:cs="Calibri"/>
                <w:b/>
                <w:bCs/>
                <w:color w:val="000000"/>
                <w:sz w:val="16"/>
                <w:szCs w:val="16"/>
              </w:rPr>
              <w:t xml:space="preserve"> Saldo em 31/12/2023</w:t>
            </w:r>
          </w:p>
        </w:tc>
        <w:tc>
          <w:tcPr>
            <w:tcW w:w="1134" w:type="dxa"/>
            <w:tcBorders>
              <w:top w:val="nil"/>
              <w:left w:val="nil"/>
              <w:bottom w:val="single" w:sz="8" w:space="0" w:color="auto"/>
              <w:right w:val="nil"/>
            </w:tcBorders>
            <w:shd w:val="clear" w:color="000000" w:fill="DEEAF6"/>
            <w:noWrap/>
            <w:vAlign w:val="center"/>
            <w:hideMark/>
          </w:tcPr>
          <w:p w14:paraId="58785D31" w14:textId="4EA5F71B" w:rsidR="005271C9" w:rsidRPr="00FF3414" w:rsidRDefault="00A75C45" w:rsidP="005271C9">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Atualização monetária</w:t>
            </w:r>
          </w:p>
        </w:tc>
        <w:tc>
          <w:tcPr>
            <w:tcW w:w="1134" w:type="dxa"/>
            <w:tcBorders>
              <w:top w:val="nil"/>
              <w:left w:val="nil"/>
              <w:bottom w:val="single" w:sz="8" w:space="0" w:color="auto"/>
              <w:right w:val="nil"/>
            </w:tcBorders>
            <w:shd w:val="clear" w:color="000000" w:fill="DEEAF6"/>
            <w:vAlign w:val="center"/>
            <w:hideMark/>
          </w:tcPr>
          <w:p w14:paraId="1C9C0355" w14:textId="7131377F" w:rsidR="005271C9" w:rsidRPr="00FF3414" w:rsidRDefault="005271C9" w:rsidP="005271C9">
            <w:pPr>
              <w:spacing w:after="0" w:line="240" w:lineRule="auto"/>
              <w:jc w:val="right"/>
              <w:rPr>
                <w:rFonts w:ascii="Calibri" w:eastAsia="Times New Roman" w:hAnsi="Calibri" w:cs="Calibri"/>
                <w:b/>
                <w:bCs/>
                <w:color w:val="000000"/>
                <w:sz w:val="16"/>
                <w:szCs w:val="16"/>
              </w:rPr>
            </w:pPr>
            <w:r w:rsidRPr="005D6E93">
              <w:rPr>
                <w:rFonts w:ascii="Calibri" w:eastAsia="Times New Roman" w:hAnsi="Calibri" w:cs="Calibri"/>
                <w:b/>
                <w:bCs/>
                <w:color w:val="000000"/>
                <w:sz w:val="16"/>
                <w:szCs w:val="16"/>
              </w:rPr>
              <w:t>Saldo em 31/03/2024</w:t>
            </w:r>
          </w:p>
        </w:tc>
      </w:tr>
      <w:tr w:rsidR="005271C9" w:rsidRPr="00FF3414" w14:paraId="46BDBDFA" w14:textId="77777777" w:rsidTr="00B6101F">
        <w:trPr>
          <w:trHeight w:val="227"/>
        </w:trPr>
        <w:tc>
          <w:tcPr>
            <w:tcW w:w="6224" w:type="dxa"/>
            <w:tcBorders>
              <w:top w:val="nil"/>
              <w:left w:val="nil"/>
              <w:bottom w:val="nil"/>
              <w:right w:val="nil"/>
            </w:tcBorders>
            <w:shd w:val="clear" w:color="auto" w:fill="auto"/>
            <w:noWrap/>
            <w:vAlign w:val="center"/>
            <w:hideMark/>
          </w:tcPr>
          <w:p w14:paraId="5F4ED42D" w14:textId="7EBE6E2C" w:rsidR="005271C9" w:rsidRPr="00FF3414" w:rsidRDefault="00A75C45" w:rsidP="005271C9">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INSS a Compensar</w:t>
            </w:r>
          </w:p>
        </w:tc>
        <w:tc>
          <w:tcPr>
            <w:tcW w:w="1134" w:type="dxa"/>
            <w:tcBorders>
              <w:top w:val="nil"/>
              <w:left w:val="nil"/>
              <w:bottom w:val="nil"/>
              <w:right w:val="nil"/>
            </w:tcBorders>
            <w:vAlign w:val="center"/>
          </w:tcPr>
          <w:p w14:paraId="0251FBD6" w14:textId="500C998E" w:rsidR="005271C9" w:rsidRPr="00FF3414" w:rsidRDefault="005271C9" w:rsidP="005271C9">
            <w:pPr>
              <w:spacing w:after="0" w:line="240" w:lineRule="auto"/>
              <w:jc w:val="right"/>
              <w:rPr>
                <w:rFonts w:ascii="Calibri" w:eastAsia="Times New Roman" w:hAnsi="Calibri" w:cs="Calibri"/>
                <w:color w:val="000000"/>
                <w:sz w:val="16"/>
                <w:szCs w:val="16"/>
              </w:rPr>
            </w:pPr>
            <w:r w:rsidRPr="005271C9">
              <w:rPr>
                <w:rFonts w:ascii="Calibri" w:eastAsia="Times New Roman" w:hAnsi="Calibri" w:cs="Calibri"/>
                <w:color w:val="000000"/>
                <w:sz w:val="16"/>
                <w:szCs w:val="16"/>
              </w:rPr>
              <w:t>17.823</w:t>
            </w:r>
          </w:p>
        </w:tc>
        <w:tc>
          <w:tcPr>
            <w:tcW w:w="1134" w:type="dxa"/>
            <w:tcBorders>
              <w:top w:val="nil"/>
              <w:left w:val="nil"/>
              <w:bottom w:val="nil"/>
              <w:right w:val="nil"/>
            </w:tcBorders>
            <w:shd w:val="clear" w:color="auto" w:fill="auto"/>
            <w:noWrap/>
            <w:vAlign w:val="center"/>
            <w:hideMark/>
          </w:tcPr>
          <w:p w14:paraId="6E2EB3F0" w14:textId="173E1BC3" w:rsidR="005271C9" w:rsidRPr="00FF3414" w:rsidRDefault="005271C9" w:rsidP="005271C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4.796</w:t>
            </w:r>
          </w:p>
        </w:tc>
        <w:tc>
          <w:tcPr>
            <w:tcW w:w="1134" w:type="dxa"/>
            <w:tcBorders>
              <w:top w:val="nil"/>
              <w:left w:val="nil"/>
              <w:bottom w:val="nil"/>
              <w:right w:val="nil"/>
            </w:tcBorders>
            <w:shd w:val="clear" w:color="auto" w:fill="auto"/>
            <w:vAlign w:val="center"/>
            <w:hideMark/>
          </w:tcPr>
          <w:p w14:paraId="10B9E61E" w14:textId="708BA7A2" w:rsidR="005271C9" w:rsidRPr="00FF3414" w:rsidRDefault="005271C9" w:rsidP="005271C9">
            <w:pPr>
              <w:spacing w:after="0" w:line="240" w:lineRule="auto"/>
              <w:jc w:val="right"/>
              <w:rPr>
                <w:rFonts w:ascii="Calibri" w:eastAsia="Times New Roman" w:hAnsi="Calibri" w:cs="Calibri"/>
                <w:color w:val="000000"/>
                <w:sz w:val="16"/>
                <w:szCs w:val="16"/>
              </w:rPr>
            </w:pPr>
            <w:r w:rsidRPr="005D6E93">
              <w:rPr>
                <w:rFonts w:ascii="Calibri" w:eastAsia="Times New Roman" w:hAnsi="Calibri" w:cs="Calibri"/>
                <w:color w:val="000000"/>
                <w:sz w:val="16"/>
                <w:szCs w:val="16"/>
              </w:rPr>
              <w:t>22.619</w:t>
            </w:r>
          </w:p>
        </w:tc>
      </w:tr>
      <w:tr w:rsidR="005271C9" w:rsidRPr="005D6E93" w14:paraId="218CF123" w14:textId="77777777" w:rsidTr="00B6101F">
        <w:trPr>
          <w:trHeight w:val="227"/>
        </w:trPr>
        <w:tc>
          <w:tcPr>
            <w:tcW w:w="6224" w:type="dxa"/>
            <w:tcBorders>
              <w:top w:val="single" w:sz="8" w:space="0" w:color="auto"/>
              <w:left w:val="nil"/>
              <w:bottom w:val="single" w:sz="8" w:space="0" w:color="auto"/>
              <w:right w:val="nil"/>
            </w:tcBorders>
            <w:shd w:val="clear" w:color="000000" w:fill="DEEAF6"/>
            <w:noWrap/>
            <w:vAlign w:val="center"/>
            <w:hideMark/>
          </w:tcPr>
          <w:p w14:paraId="782DF8AF" w14:textId="112A2279" w:rsidR="005271C9" w:rsidRPr="00FF3414" w:rsidRDefault="005271C9" w:rsidP="005271C9">
            <w:pPr>
              <w:spacing w:after="0" w:line="240" w:lineRule="auto"/>
              <w:rPr>
                <w:rFonts w:ascii="Calibri" w:eastAsia="Times New Roman" w:hAnsi="Calibri" w:cs="Calibri"/>
                <w:b/>
                <w:bCs/>
                <w:color w:val="000000"/>
                <w:sz w:val="16"/>
                <w:szCs w:val="16"/>
              </w:rPr>
            </w:pPr>
            <w:r w:rsidRPr="00FF3414">
              <w:rPr>
                <w:rFonts w:ascii="Calibri" w:eastAsia="Times New Roman" w:hAnsi="Calibri" w:cs="Calibri"/>
                <w:b/>
                <w:bCs/>
                <w:color w:val="000000"/>
                <w:sz w:val="16"/>
                <w:szCs w:val="16"/>
              </w:rPr>
              <w:t>T</w:t>
            </w:r>
            <w:r w:rsidR="002203BD">
              <w:rPr>
                <w:rFonts w:ascii="Calibri" w:eastAsia="Times New Roman" w:hAnsi="Calibri" w:cs="Calibri"/>
                <w:b/>
                <w:bCs/>
                <w:color w:val="000000"/>
                <w:sz w:val="16"/>
                <w:szCs w:val="16"/>
              </w:rPr>
              <w:t>OTAL</w:t>
            </w:r>
          </w:p>
        </w:tc>
        <w:tc>
          <w:tcPr>
            <w:tcW w:w="1134" w:type="dxa"/>
            <w:tcBorders>
              <w:top w:val="single" w:sz="8" w:space="0" w:color="auto"/>
              <w:left w:val="nil"/>
              <w:bottom w:val="single" w:sz="8" w:space="0" w:color="auto"/>
              <w:right w:val="nil"/>
            </w:tcBorders>
            <w:shd w:val="clear" w:color="000000" w:fill="DEEAF6"/>
            <w:vAlign w:val="center"/>
          </w:tcPr>
          <w:p w14:paraId="61FCDA39" w14:textId="5713F051" w:rsidR="005271C9" w:rsidRPr="00FF3414" w:rsidRDefault="005271C9" w:rsidP="005271C9">
            <w:pPr>
              <w:spacing w:after="0" w:line="240" w:lineRule="auto"/>
              <w:jc w:val="right"/>
              <w:rPr>
                <w:rFonts w:ascii="Calibri" w:eastAsia="Times New Roman" w:hAnsi="Calibri" w:cs="Calibri"/>
                <w:b/>
                <w:bCs/>
                <w:color w:val="000000"/>
                <w:sz w:val="16"/>
                <w:szCs w:val="16"/>
              </w:rPr>
            </w:pPr>
            <w:r w:rsidRPr="005271C9">
              <w:rPr>
                <w:rFonts w:ascii="Calibri" w:eastAsia="Times New Roman" w:hAnsi="Calibri" w:cs="Calibri"/>
                <w:b/>
                <w:bCs/>
                <w:color w:val="000000"/>
                <w:sz w:val="16"/>
                <w:szCs w:val="16"/>
              </w:rPr>
              <w:t>17.823</w:t>
            </w:r>
          </w:p>
        </w:tc>
        <w:tc>
          <w:tcPr>
            <w:tcW w:w="1134" w:type="dxa"/>
            <w:tcBorders>
              <w:top w:val="single" w:sz="8" w:space="0" w:color="auto"/>
              <w:left w:val="nil"/>
              <w:bottom w:val="single" w:sz="8" w:space="0" w:color="auto"/>
              <w:right w:val="nil"/>
            </w:tcBorders>
            <w:shd w:val="clear" w:color="000000" w:fill="DEEAF6"/>
            <w:noWrap/>
            <w:vAlign w:val="center"/>
            <w:hideMark/>
          </w:tcPr>
          <w:p w14:paraId="16AA3BC0" w14:textId="76333A25" w:rsidR="005271C9" w:rsidRPr="00FF3414" w:rsidRDefault="005271C9" w:rsidP="005271C9">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4.796</w:t>
            </w:r>
          </w:p>
        </w:tc>
        <w:tc>
          <w:tcPr>
            <w:tcW w:w="1134" w:type="dxa"/>
            <w:tcBorders>
              <w:top w:val="single" w:sz="8" w:space="0" w:color="auto"/>
              <w:left w:val="nil"/>
              <w:bottom w:val="single" w:sz="8" w:space="0" w:color="auto"/>
              <w:right w:val="nil"/>
            </w:tcBorders>
            <w:shd w:val="clear" w:color="000000" w:fill="DEEAF6"/>
            <w:vAlign w:val="center"/>
            <w:hideMark/>
          </w:tcPr>
          <w:p w14:paraId="1BC2F710" w14:textId="0DCA9ACE" w:rsidR="005271C9" w:rsidRPr="00FF3414" w:rsidRDefault="005271C9" w:rsidP="005271C9">
            <w:pPr>
              <w:spacing w:after="0" w:line="240" w:lineRule="auto"/>
              <w:jc w:val="right"/>
              <w:rPr>
                <w:rFonts w:ascii="Calibri" w:eastAsia="Times New Roman" w:hAnsi="Calibri" w:cs="Calibri"/>
                <w:b/>
                <w:bCs/>
                <w:color w:val="000000"/>
                <w:sz w:val="16"/>
                <w:szCs w:val="16"/>
              </w:rPr>
            </w:pPr>
            <w:r w:rsidRPr="005D6E93">
              <w:rPr>
                <w:rFonts w:ascii="Calibri" w:eastAsia="Times New Roman" w:hAnsi="Calibri" w:cs="Calibri"/>
                <w:b/>
                <w:bCs/>
                <w:color w:val="000000"/>
                <w:sz w:val="16"/>
                <w:szCs w:val="16"/>
              </w:rPr>
              <w:t>22.619</w:t>
            </w:r>
          </w:p>
        </w:tc>
      </w:tr>
    </w:tbl>
    <w:p w14:paraId="43AA0978" w14:textId="77777777" w:rsidR="00952047" w:rsidRPr="00B36334" w:rsidRDefault="00952047" w:rsidP="00A37784">
      <w:pPr>
        <w:spacing w:after="0"/>
        <w:jc w:val="both"/>
        <w:rPr>
          <w:rFonts w:cstheme="minorHAnsi"/>
          <w:sz w:val="20"/>
        </w:rPr>
      </w:pPr>
    </w:p>
    <w:p w14:paraId="3577619D" w14:textId="77777777" w:rsidR="00703D25" w:rsidRPr="00B36334" w:rsidRDefault="00703D25" w:rsidP="00B36334">
      <w:pPr>
        <w:pStyle w:val="Ttulo1"/>
      </w:pPr>
      <w:bookmarkStart w:id="28" w:name="_Toc152230727"/>
      <w:bookmarkStart w:id="29" w:name="_Toc184926670"/>
      <w:r w:rsidRPr="00B36334">
        <w:t>7 – Termos de Execução Descentralizada (TEDs) e Acordos de Parceria</w:t>
      </w:r>
      <w:bookmarkEnd w:id="28"/>
      <w:bookmarkEnd w:id="29"/>
    </w:p>
    <w:p w14:paraId="3FE8824D" w14:textId="69AAE590" w:rsidR="00703D25" w:rsidRPr="00B36334" w:rsidRDefault="00BE6D82" w:rsidP="00B36334">
      <w:pPr>
        <w:spacing w:before="120"/>
        <w:jc w:val="both"/>
        <w:rPr>
          <w:sz w:val="20"/>
          <w:szCs w:val="20"/>
        </w:rPr>
      </w:pPr>
      <w:r w:rsidRPr="00BE6D82">
        <w:rPr>
          <w:sz w:val="20"/>
          <w:szCs w:val="20"/>
        </w:rPr>
        <w:t xml:space="preserve">O saldo total dos </w:t>
      </w:r>
      <w:r w:rsidR="00372480">
        <w:rPr>
          <w:sz w:val="20"/>
          <w:szCs w:val="20"/>
        </w:rPr>
        <w:t xml:space="preserve">TEDs </w:t>
      </w:r>
      <w:r w:rsidRPr="00BE6D82">
        <w:rPr>
          <w:sz w:val="20"/>
          <w:szCs w:val="20"/>
        </w:rPr>
        <w:t xml:space="preserve">e dos Acordos de Parceria ao final do </w:t>
      </w:r>
      <w:r w:rsidR="0030188E">
        <w:rPr>
          <w:sz w:val="20"/>
          <w:szCs w:val="20"/>
        </w:rPr>
        <w:t>primeiro trimestre de 2024</w:t>
      </w:r>
      <w:r w:rsidRPr="00BE6D82">
        <w:rPr>
          <w:sz w:val="20"/>
          <w:szCs w:val="20"/>
        </w:rPr>
        <w:t xml:space="preserve"> </w:t>
      </w:r>
      <w:r w:rsidR="00A10DC6">
        <w:rPr>
          <w:sz w:val="20"/>
          <w:szCs w:val="20"/>
        </w:rPr>
        <w:t>era de</w:t>
      </w:r>
      <w:r w:rsidRPr="00BE6D82">
        <w:rPr>
          <w:sz w:val="20"/>
          <w:szCs w:val="20"/>
        </w:rPr>
        <w:t xml:space="preserve"> R$ 65,68 milhões</w:t>
      </w:r>
      <w:r w:rsidR="00A10DC6">
        <w:rPr>
          <w:sz w:val="20"/>
          <w:szCs w:val="20"/>
        </w:rPr>
        <w:t>, conforme apresentado a seguir:</w:t>
      </w:r>
      <w:r w:rsidRPr="00BE6D82">
        <w:rPr>
          <w:sz w:val="20"/>
          <w:szCs w:val="20"/>
        </w:rPr>
        <w:t xml:space="preserve"> </w:t>
      </w:r>
    </w:p>
    <w:tbl>
      <w:tblPr>
        <w:tblW w:w="5000" w:type="pct"/>
        <w:tblCellMar>
          <w:left w:w="70" w:type="dxa"/>
          <w:right w:w="70" w:type="dxa"/>
        </w:tblCellMar>
        <w:tblLook w:val="04A0" w:firstRow="1" w:lastRow="0" w:firstColumn="1" w:lastColumn="0" w:noHBand="0" w:noVBand="1"/>
      </w:tblPr>
      <w:tblGrid>
        <w:gridCol w:w="8089"/>
        <w:gridCol w:w="1189"/>
        <w:gridCol w:w="1189"/>
      </w:tblGrid>
      <w:tr w:rsidR="002A16FE" w:rsidRPr="002A16FE" w14:paraId="67A740B8" w14:textId="77777777" w:rsidTr="00B6101F">
        <w:trPr>
          <w:trHeight w:hRule="exact" w:val="227"/>
        </w:trPr>
        <w:tc>
          <w:tcPr>
            <w:tcW w:w="7713" w:type="dxa"/>
            <w:tcBorders>
              <w:top w:val="nil"/>
              <w:left w:val="nil"/>
              <w:bottom w:val="single" w:sz="8" w:space="0" w:color="auto"/>
              <w:right w:val="nil"/>
            </w:tcBorders>
            <w:shd w:val="clear" w:color="000000" w:fill="DEEAF6"/>
            <w:noWrap/>
            <w:vAlign w:val="center"/>
            <w:hideMark/>
          </w:tcPr>
          <w:p w14:paraId="6A51F8CD" w14:textId="77777777" w:rsidR="002A16FE" w:rsidRPr="002A16FE" w:rsidRDefault="002A16FE" w:rsidP="002A16FE">
            <w:pPr>
              <w:spacing w:after="0" w:line="240" w:lineRule="auto"/>
              <w:rPr>
                <w:rFonts w:ascii="Calibri" w:eastAsia="Times New Roman" w:hAnsi="Calibri" w:cs="Calibri"/>
                <w:color w:val="000000"/>
              </w:rPr>
            </w:pPr>
            <w:r w:rsidRPr="002A16FE">
              <w:rPr>
                <w:rFonts w:ascii="Calibri" w:eastAsia="Times New Roman" w:hAnsi="Calibri"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65C2B074" w14:textId="77777777" w:rsidR="002A16FE" w:rsidRPr="002A16FE" w:rsidRDefault="002A16FE" w:rsidP="002A16FE">
            <w:pPr>
              <w:spacing w:after="0" w:line="240" w:lineRule="auto"/>
              <w:jc w:val="right"/>
              <w:rPr>
                <w:rFonts w:ascii="Calibri" w:eastAsia="Times New Roman" w:hAnsi="Calibri" w:cs="Calibri"/>
                <w:b/>
                <w:bCs/>
                <w:color w:val="000000"/>
                <w:sz w:val="16"/>
                <w:szCs w:val="16"/>
              </w:rPr>
            </w:pPr>
            <w:r w:rsidRPr="002A16FE">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vAlign w:val="center"/>
            <w:hideMark/>
          </w:tcPr>
          <w:p w14:paraId="78F84620" w14:textId="77777777" w:rsidR="002A16FE" w:rsidRPr="002A16FE" w:rsidRDefault="002A16FE" w:rsidP="002A16FE">
            <w:pPr>
              <w:spacing w:after="0" w:line="240" w:lineRule="auto"/>
              <w:jc w:val="right"/>
              <w:rPr>
                <w:rFonts w:ascii="Calibri" w:eastAsia="Times New Roman" w:hAnsi="Calibri" w:cs="Calibri"/>
                <w:b/>
                <w:bCs/>
                <w:color w:val="000000"/>
                <w:sz w:val="16"/>
                <w:szCs w:val="16"/>
              </w:rPr>
            </w:pPr>
            <w:r w:rsidRPr="002A16FE">
              <w:rPr>
                <w:rFonts w:ascii="Calibri" w:eastAsia="Times New Roman" w:hAnsi="Calibri" w:cs="Calibri"/>
                <w:b/>
                <w:bCs/>
                <w:color w:val="000000"/>
                <w:sz w:val="16"/>
                <w:szCs w:val="16"/>
              </w:rPr>
              <w:t>31/12/2023</w:t>
            </w:r>
          </w:p>
        </w:tc>
      </w:tr>
      <w:tr w:rsidR="002A16FE" w:rsidRPr="002A16FE" w14:paraId="71B886EC" w14:textId="77777777" w:rsidTr="00B6101F">
        <w:trPr>
          <w:trHeight w:hRule="exact" w:val="227"/>
        </w:trPr>
        <w:tc>
          <w:tcPr>
            <w:tcW w:w="7713" w:type="dxa"/>
            <w:tcBorders>
              <w:top w:val="nil"/>
              <w:left w:val="nil"/>
              <w:bottom w:val="nil"/>
              <w:right w:val="nil"/>
            </w:tcBorders>
            <w:shd w:val="clear" w:color="auto" w:fill="auto"/>
            <w:noWrap/>
            <w:vAlign w:val="center"/>
            <w:hideMark/>
          </w:tcPr>
          <w:p w14:paraId="166ABFDE" w14:textId="77777777" w:rsidR="002A16FE" w:rsidRPr="002A16FE" w:rsidRDefault="002A16FE" w:rsidP="002A16FE">
            <w:pPr>
              <w:spacing w:after="0" w:line="240" w:lineRule="auto"/>
              <w:rPr>
                <w:rFonts w:ascii="Calibri" w:eastAsia="Times New Roman" w:hAnsi="Calibri" w:cs="Calibri"/>
                <w:color w:val="000000"/>
                <w:sz w:val="16"/>
                <w:szCs w:val="16"/>
              </w:rPr>
            </w:pPr>
            <w:r w:rsidRPr="002A16FE">
              <w:rPr>
                <w:rFonts w:ascii="Calibri" w:eastAsia="Times New Roman" w:hAnsi="Calibri" w:cs="Calibri"/>
                <w:color w:val="000000"/>
                <w:sz w:val="16"/>
                <w:szCs w:val="16"/>
              </w:rPr>
              <w:t>Termos de Execução Descentralizada (a)</w:t>
            </w:r>
          </w:p>
        </w:tc>
        <w:tc>
          <w:tcPr>
            <w:tcW w:w="1134" w:type="dxa"/>
            <w:tcBorders>
              <w:top w:val="nil"/>
              <w:left w:val="nil"/>
              <w:bottom w:val="nil"/>
              <w:right w:val="nil"/>
            </w:tcBorders>
            <w:shd w:val="clear" w:color="auto" w:fill="auto"/>
            <w:noWrap/>
            <w:vAlign w:val="center"/>
            <w:hideMark/>
          </w:tcPr>
          <w:p w14:paraId="184F6624" w14:textId="77777777" w:rsidR="002A16FE" w:rsidRPr="002A16FE" w:rsidRDefault="002A16FE" w:rsidP="002A16FE">
            <w:pPr>
              <w:spacing w:after="0" w:line="240" w:lineRule="auto"/>
              <w:jc w:val="right"/>
              <w:rPr>
                <w:rFonts w:ascii="Calibri" w:eastAsia="Times New Roman" w:hAnsi="Calibri" w:cs="Calibri"/>
                <w:color w:val="000000"/>
                <w:sz w:val="16"/>
                <w:szCs w:val="16"/>
              </w:rPr>
            </w:pPr>
            <w:r w:rsidRPr="002A16FE">
              <w:rPr>
                <w:rFonts w:ascii="Calibri" w:eastAsia="Times New Roman" w:hAnsi="Calibri" w:cs="Calibri"/>
                <w:color w:val="000000"/>
                <w:sz w:val="16"/>
                <w:szCs w:val="16"/>
              </w:rPr>
              <w:t>45.687.504</w:t>
            </w:r>
          </w:p>
        </w:tc>
        <w:tc>
          <w:tcPr>
            <w:tcW w:w="1134" w:type="dxa"/>
            <w:tcBorders>
              <w:top w:val="nil"/>
              <w:left w:val="nil"/>
              <w:bottom w:val="nil"/>
              <w:right w:val="nil"/>
            </w:tcBorders>
            <w:shd w:val="clear" w:color="auto" w:fill="auto"/>
            <w:vAlign w:val="center"/>
            <w:hideMark/>
          </w:tcPr>
          <w:p w14:paraId="390E3949" w14:textId="77777777" w:rsidR="002A16FE" w:rsidRPr="002A16FE" w:rsidRDefault="002A16FE" w:rsidP="002A16FE">
            <w:pPr>
              <w:spacing w:after="0" w:line="240" w:lineRule="auto"/>
              <w:jc w:val="right"/>
              <w:rPr>
                <w:rFonts w:ascii="Calibri" w:eastAsia="Times New Roman" w:hAnsi="Calibri" w:cs="Calibri"/>
                <w:color w:val="000000"/>
                <w:sz w:val="16"/>
                <w:szCs w:val="16"/>
              </w:rPr>
            </w:pPr>
            <w:r w:rsidRPr="002A16FE">
              <w:rPr>
                <w:rFonts w:ascii="Calibri" w:eastAsia="Times New Roman" w:hAnsi="Calibri" w:cs="Calibri"/>
                <w:color w:val="000000"/>
                <w:sz w:val="16"/>
                <w:szCs w:val="16"/>
              </w:rPr>
              <w:t>35.008.489</w:t>
            </w:r>
          </w:p>
        </w:tc>
      </w:tr>
      <w:tr w:rsidR="002A16FE" w:rsidRPr="002A16FE" w14:paraId="786DAEF7" w14:textId="77777777" w:rsidTr="00B6101F">
        <w:trPr>
          <w:trHeight w:hRule="exact" w:val="227"/>
        </w:trPr>
        <w:tc>
          <w:tcPr>
            <w:tcW w:w="7713" w:type="dxa"/>
            <w:tcBorders>
              <w:top w:val="nil"/>
              <w:left w:val="nil"/>
              <w:bottom w:val="single" w:sz="8" w:space="0" w:color="auto"/>
              <w:right w:val="nil"/>
            </w:tcBorders>
            <w:shd w:val="clear" w:color="auto" w:fill="auto"/>
            <w:noWrap/>
            <w:vAlign w:val="center"/>
            <w:hideMark/>
          </w:tcPr>
          <w:p w14:paraId="4F1D1108" w14:textId="77777777" w:rsidR="002A16FE" w:rsidRPr="002A16FE" w:rsidRDefault="002A16FE" w:rsidP="002A16FE">
            <w:pPr>
              <w:spacing w:after="0" w:line="240" w:lineRule="auto"/>
              <w:rPr>
                <w:rFonts w:ascii="Calibri" w:eastAsia="Times New Roman" w:hAnsi="Calibri" w:cs="Calibri"/>
                <w:color w:val="000000"/>
                <w:sz w:val="16"/>
                <w:szCs w:val="16"/>
              </w:rPr>
            </w:pPr>
            <w:r w:rsidRPr="002A16FE">
              <w:rPr>
                <w:rFonts w:ascii="Calibri" w:eastAsia="Times New Roman" w:hAnsi="Calibri" w:cs="Calibri"/>
                <w:color w:val="000000"/>
                <w:sz w:val="16"/>
                <w:szCs w:val="16"/>
              </w:rPr>
              <w:t>Acordos de Parceria (b)</w:t>
            </w:r>
          </w:p>
        </w:tc>
        <w:tc>
          <w:tcPr>
            <w:tcW w:w="1134" w:type="dxa"/>
            <w:tcBorders>
              <w:top w:val="nil"/>
              <w:left w:val="nil"/>
              <w:bottom w:val="single" w:sz="8" w:space="0" w:color="auto"/>
              <w:right w:val="nil"/>
            </w:tcBorders>
            <w:shd w:val="clear" w:color="auto" w:fill="auto"/>
            <w:noWrap/>
            <w:vAlign w:val="center"/>
            <w:hideMark/>
          </w:tcPr>
          <w:p w14:paraId="29233F24" w14:textId="77777777" w:rsidR="002A16FE" w:rsidRPr="002A16FE" w:rsidRDefault="002A16FE" w:rsidP="002A16FE">
            <w:pPr>
              <w:spacing w:after="0" w:line="240" w:lineRule="auto"/>
              <w:jc w:val="right"/>
              <w:rPr>
                <w:rFonts w:ascii="Calibri" w:eastAsia="Times New Roman" w:hAnsi="Calibri" w:cs="Calibri"/>
                <w:color w:val="000000"/>
                <w:sz w:val="16"/>
                <w:szCs w:val="16"/>
              </w:rPr>
            </w:pPr>
            <w:r w:rsidRPr="002A16FE">
              <w:rPr>
                <w:rFonts w:ascii="Calibri" w:eastAsia="Times New Roman" w:hAnsi="Calibri" w:cs="Calibri"/>
                <w:color w:val="000000"/>
                <w:sz w:val="16"/>
                <w:szCs w:val="16"/>
              </w:rPr>
              <w:t>19.989.035</w:t>
            </w:r>
          </w:p>
        </w:tc>
        <w:tc>
          <w:tcPr>
            <w:tcW w:w="1134" w:type="dxa"/>
            <w:tcBorders>
              <w:top w:val="nil"/>
              <w:left w:val="nil"/>
              <w:bottom w:val="single" w:sz="8" w:space="0" w:color="auto"/>
              <w:right w:val="nil"/>
            </w:tcBorders>
            <w:shd w:val="clear" w:color="auto" w:fill="auto"/>
            <w:vAlign w:val="center"/>
            <w:hideMark/>
          </w:tcPr>
          <w:p w14:paraId="483A1CBF" w14:textId="77777777" w:rsidR="002A16FE" w:rsidRPr="002A16FE" w:rsidRDefault="002A16FE" w:rsidP="002A16FE">
            <w:pPr>
              <w:spacing w:after="0" w:line="240" w:lineRule="auto"/>
              <w:jc w:val="right"/>
              <w:rPr>
                <w:rFonts w:ascii="Calibri" w:eastAsia="Times New Roman" w:hAnsi="Calibri" w:cs="Calibri"/>
                <w:color w:val="000000"/>
                <w:sz w:val="16"/>
                <w:szCs w:val="16"/>
              </w:rPr>
            </w:pPr>
            <w:r w:rsidRPr="002A16FE">
              <w:rPr>
                <w:rFonts w:ascii="Calibri" w:eastAsia="Times New Roman" w:hAnsi="Calibri" w:cs="Calibri"/>
                <w:color w:val="000000"/>
                <w:sz w:val="16"/>
                <w:szCs w:val="16"/>
              </w:rPr>
              <w:t>19.989.035</w:t>
            </w:r>
          </w:p>
        </w:tc>
      </w:tr>
      <w:tr w:rsidR="002A16FE" w:rsidRPr="002A16FE" w14:paraId="213FE705" w14:textId="77777777" w:rsidTr="00B6101F">
        <w:trPr>
          <w:trHeight w:hRule="exact" w:val="227"/>
        </w:trPr>
        <w:tc>
          <w:tcPr>
            <w:tcW w:w="7713" w:type="dxa"/>
            <w:tcBorders>
              <w:top w:val="nil"/>
              <w:left w:val="nil"/>
              <w:bottom w:val="single" w:sz="8" w:space="0" w:color="auto"/>
              <w:right w:val="nil"/>
            </w:tcBorders>
            <w:shd w:val="clear" w:color="000000" w:fill="DEEAF6"/>
            <w:noWrap/>
            <w:vAlign w:val="center"/>
            <w:hideMark/>
          </w:tcPr>
          <w:p w14:paraId="22DE22EF" w14:textId="3DAFB40A" w:rsidR="002A16FE" w:rsidRPr="002A16FE" w:rsidRDefault="002A16FE" w:rsidP="002A16FE">
            <w:pPr>
              <w:spacing w:after="0" w:line="240" w:lineRule="auto"/>
              <w:rPr>
                <w:rFonts w:ascii="Calibri" w:eastAsia="Times New Roman" w:hAnsi="Calibri" w:cs="Calibri"/>
                <w:b/>
                <w:bCs/>
                <w:color w:val="000000"/>
                <w:sz w:val="16"/>
                <w:szCs w:val="16"/>
              </w:rPr>
            </w:pPr>
            <w:r w:rsidRPr="002A16FE">
              <w:rPr>
                <w:rFonts w:ascii="Calibri" w:eastAsia="Times New Roman" w:hAnsi="Calibri" w:cs="Calibri"/>
                <w:b/>
                <w:bCs/>
                <w:color w:val="000000"/>
                <w:sz w:val="16"/>
                <w:szCs w:val="16"/>
              </w:rPr>
              <w:t xml:space="preserve">Total </w:t>
            </w:r>
            <w:r w:rsidR="007C29D5">
              <w:rPr>
                <w:rFonts w:ascii="Calibri" w:eastAsia="Times New Roman" w:hAnsi="Calibri" w:cs="Calibri"/>
                <w:b/>
                <w:bCs/>
                <w:color w:val="000000"/>
                <w:sz w:val="16"/>
                <w:szCs w:val="16"/>
              </w:rPr>
              <w:t>A</w:t>
            </w:r>
            <w:r w:rsidRPr="002A16FE">
              <w:rPr>
                <w:rFonts w:ascii="Calibri" w:eastAsia="Times New Roman" w:hAnsi="Calibri" w:cs="Calibri"/>
                <w:b/>
                <w:bCs/>
                <w:color w:val="000000"/>
                <w:sz w:val="16"/>
                <w:szCs w:val="16"/>
              </w:rPr>
              <w:t>tivo</w:t>
            </w:r>
          </w:p>
        </w:tc>
        <w:tc>
          <w:tcPr>
            <w:tcW w:w="1134" w:type="dxa"/>
            <w:tcBorders>
              <w:top w:val="nil"/>
              <w:left w:val="nil"/>
              <w:bottom w:val="single" w:sz="8" w:space="0" w:color="auto"/>
              <w:right w:val="nil"/>
            </w:tcBorders>
            <w:shd w:val="clear" w:color="000000" w:fill="DEEAF6"/>
            <w:noWrap/>
            <w:vAlign w:val="center"/>
            <w:hideMark/>
          </w:tcPr>
          <w:p w14:paraId="3EEEDF33" w14:textId="77777777" w:rsidR="002A16FE" w:rsidRPr="002A16FE" w:rsidRDefault="002A16FE" w:rsidP="002A16FE">
            <w:pPr>
              <w:spacing w:after="0" w:line="240" w:lineRule="auto"/>
              <w:jc w:val="right"/>
              <w:rPr>
                <w:rFonts w:ascii="Calibri" w:eastAsia="Times New Roman" w:hAnsi="Calibri" w:cs="Calibri"/>
                <w:b/>
                <w:bCs/>
                <w:color w:val="000000"/>
                <w:sz w:val="16"/>
                <w:szCs w:val="16"/>
              </w:rPr>
            </w:pPr>
            <w:r w:rsidRPr="002A16FE">
              <w:rPr>
                <w:rFonts w:ascii="Calibri" w:eastAsia="Times New Roman" w:hAnsi="Calibri" w:cs="Calibri"/>
                <w:b/>
                <w:bCs/>
                <w:color w:val="000000"/>
                <w:sz w:val="16"/>
                <w:szCs w:val="16"/>
              </w:rPr>
              <w:t>65.676.539</w:t>
            </w:r>
          </w:p>
        </w:tc>
        <w:tc>
          <w:tcPr>
            <w:tcW w:w="1134" w:type="dxa"/>
            <w:tcBorders>
              <w:top w:val="nil"/>
              <w:left w:val="nil"/>
              <w:bottom w:val="single" w:sz="8" w:space="0" w:color="auto"/>
              <w:right w:val="nil"/>
            </w:tcBorders>
            <w:shd w:val="clear" w:color="000000" w:fill="DEEAF6"/>
            <w:vAlign w:val="center"/>
            <w:hideMark/>
          </w:tcPr>
          <w:p w14:paraId="6CF58017" w14:textId="77777777" w:rsidR="002A16FE" w:rsidRPr="002A16FE" w:rsidRDefault="002A16FE" w:rsidP="002A16FE">
            <w:pPr>
              <w:spacing w:after="0" w:line="240" w:lineRule="auto"/>
              <w:jc w:val="right"/>
              <w:rPr>
                <w:rFonts w:ascii="Calibri" w:eastAsia="Times New Roman" w:hAnsi="Calibri" w:cs="Calibri"/>
                <w:b/>
                <w:bCs/>
                <w:color w:val="000000"/>
                <w:sz w:val="16"/>
                <w:szCs w:val="16"/>
              </w:rPr>
            </w:pPr>
            <w:r w:rsidRPr="002A16FE">
              <w:rPr>
                <w:rFonts w:ascii="Calibri" w:eastAsia="Times New Roman" w:hAnsi="Calibri" w:cs="Calibri"/>
                <w:b/>
                <w:bCs/>
                <w:color w:val="000000"/>
                <w:sz w:val="16"/>
                <w:szCs w:val="16"/>
              </w:rPr>
              <w:t>54.997.524</w:t>
            </w:r>
          </w:p>
        </w:tc>
      </w:tr>
    </w:tbl>
    <w:p w14:paraId="72E895C1" w14:textId="251EFFC6" w:rsidR="00703D25" w:rsidRPr="00B36334" w:rsidRDefault="00703D25" w:rsidP="00627139">
      <w:pPr>
        <w:widowControl w:val="0"/>
        <w:tabs>
          <w:tab w:val="left" w:pos="709"/>
        </w:tabs>
        <w:spacing w:before="120"/>
        <w:jc w:val="both"/>
        <w:rPr>
          <w:rFonts w:cstheme="minorHAnsi"/>
          <w:b/>
          <w:bCs/>
          <w:sz w:val="20"/>
          <w:szCs w:val="20"/>
        </w:rPr>
      </w:pPr>
      <w:r w:rsidRPr="00B36334">
        <w:rPr>
          <w:rFonts w:cstheme="minorHAnsi"/>
          <w:b/>
          <w:bCs/>
          <w:sz w:val="20"/>
          <w:szCs w:val="20"/>
        </w:rPr>
        <w:t>a) Termos de Execução Descentralizada</w:t>
      </w:r>
    </w:p>
    <w:p w14:paraId="5FC5F723" w14:textId="21105EBF" w:rsidR="00703D25" w:rsidRPr="00B36334" w:rsidRDefault="00703D25" w:rsidP="00B36334">
      <w:pPr>
        <w:widowControl w:val="0"/>
        <w:tabs>
          <w:tab w:val="left" w:pos="709"/>
        </w:tabs>
        <w:spacing w:before="120"/>
        <w:jc w:val="both"/>
        <w:rPr>
          <w:rFonts w:cstheme="minorHAnsi"/>
          <w:sz w:val="20"/>
          <w:szCs w:val="20"/>
        </w:rPr>
      </w:pPr>
      <w:r w:rsidRPr="00B36334">
        <w:rPr>
          <w:rFonts w:cstheme="minorHAnsi"/>
          <w:sz w:val="20"/>
          <w:szCs w:val="20"/>
        </w:rPr>
        <w:t xml:space="preserve">Os </w:t>
      </w:r>
      <w:r w:rsidR="00C93335">
        <w:rPr>
          <w:rFonts w:cstheme="minorHAnsi"/>
          <w:sz w:val="20"/>
          <w:szCs w:val="20"/>
        </w:rPr>
        <w:t>TEDs</w:t>
      </w:r>
      <w:r w:rsidRPr="00B36334">
        <w:rPr>
          <w:rFonts w:cstheme="minorHAnsi"/>
          <w:sz w:val="20"/>
          <w:szCs w:val="20"/>
        </w:rPr>
        <w:t xml:space="preserve"> celebrados entre a Infra S.A. e </w:t>
      </w:r>
      <w:r w:rsidR="00D047D5">
        <w:rPr>
          <w:rFonts w:cstheme="minorHAnsi"/>
          <w:sz w:val="20"/>
          <w:szCs w:val="20"/>
        </w:rPr>
        <w:t>Ó</w:t>
      </w:r>
      <w:r w:rsidRPr="00B36334">
        <w:rPr>
          <w:rFonts w:cstheme="minorHAnsi"/>
          <w:sz w:val="20"/>
          <w:szCs w:val="20"/>
        </w:rPr>
        <w:t>rgãos vinculados à União para execução de serviços de interesse público, com valor a comprovar em 3</w:t>
      </w:r>
      <w:r w:rsidR="00866936">
        <w:rPr>
          <w:rFonts w:cstheme="minorHAnsi"/>
          <w:sz w:val="20"/>
          <w:szCs w:val="20"/>
        </w:rPr>
        <w:t>1</w:t>
      </w:r>
      <w:r w:rsidRPr="00B36334">
        <w:rPr>
          <w:rFonts w:cstheme="minorHAnsi"/>
          <w:sz w:val="20"/>
          <w:szCs w:val="20"/>
        </w:rPr>
        <w:t xml:space="preserve"> de </w:t>
      </w:r>
      <w:r w:rsidR="00150A73">
        <w:rPr>
          <w:rFonts w:cstheme="minorHAnsi"/>
          <w:sz w:val="20"/>
          <w:szCs w:val="20"/>
        </w:rPr>
        <w:t>março</w:t>
      </w:r>
      <w:r w:rsidRPr="00B36334">
        <w:rPr>
          <w:rFonts w:cstheme="minorHAnsi"/>
          <w:sz w:val="20"/>
          <w:szCs w:val="20"/>
        </w:rPr>
        <w:t xml:space="preserve"> de 202</w:t>
      </w:r>
      <w:r w:rsidR="00150A73">
        <w:rPr>
          <w:rFonts w:cstheme="minorHAnsi"/>
          <w:sz w:val="20"/>
          <w:szCs w:val="20"/>
        </w:rPr>
        <w:t>4</w:t>
      </w:r>
      <w:r w:rsidRPr="00B36334">
        <w:rPr>
          <w:rFonts w:cstheme="minorHAnsi"/>
          <w:sz w:val="20"/>
          <w:szCs w:val="20"/>
        </w:rPr>
        <w:t>, são:</w:t>
      </w:r>
    </w:p>
    <w:tbl>
      <w:tblPr>
        <w:tblW w:w="5000" w:type="pct"/>
        <w:tblCellMar>
          <w:left w:w="70" w:type="dxa"/>
          <w:right w:w="70" w:type="dxa"/>
        </w:tblCellMar>
        <w:tblLook w:val="04A0" w:firstRow="1" w:lastRow="0" w:firstColumn="1" w:lastColumn="0" w:noHBand="0" w:noVBand="1"/>
      </w:tblPr>
      <w:tblGrid>
        <w:gridCol w:w="1080"/>
        <w:gridCol w:w="949"/>
        <w:gridCol w:w="2728"/>
        <w:gridCol w:w="1142"/>
        <w:gridCol w:w="1142"/>
        <w:gridCol w:w="1142"/>
        <w:gridCol w:w="1142"/>
        <w:gridCol w:w="1142"/>
      </w:tblGrid>
      <w:tr w:rsidR="006018A0" w:rsidRPr="006018A0" w14:paraId="295B5A9F" w14:textId="77777777" w:rsidTr="00B03F77">
        <w:trPr>
          <w:trHeight w:val="227"/>
        </w:trPr>
        <w:tc>
          <w:tcPr>
            <w:tcW w:w="1074" w:type="dxa"/>
            <w:tcBorders>
              <w:top w:val="nil"/>
              <w:left w:val="nil"/>
              <w:bottom w:val="single" w:sz="8" w:space="0" w:color="auto"/>
              <w:right w:val="nil"/>
            </w:tcBorders>
            <w:shd w:val="clear" w:color="000000" w:fill="DEEAF6"/>
            <w:noWrap/>
            <w:vAlign w:val="center"/>
            <w:hideMark/>
          </w:tcPr>
          <w:p w14:paraId="70FD4361"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N° TED</w:t>
            </w:r>
          </w:p>
        </w:tc>
        <w:tc>
          <w:tcPr>
            <w:tcW w:w="942" w:type="dxa"/>
            <w:tcBorders>
              <w:top w:val="nil"/>
              <w:left w:val="nil"/>
              <w:bottom w:val="single" w:sz="8" w:space="0" w:color="auto"/>
              <w:right w:val="nil"/>
            </w:tcBorders>
            <w:shd w:val="clear" w:color="000000" w:fill="DEEAF6"/>
            <w:noWrap/>
            <w:vAlign w:val="center"/>
            <w:hideMark/>
          </w:tcPr>
          <w:p w14:paraId="3F0ECC0F"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SIAFI</w:t>
            </w:r>
          </w:p>
        </w:tc>
        <w:tc>
          <w:tcPr>
            <w:tcW w:w="2709" w:type="dxa"/>
            <w:tcBorders>
              <w:top w:val="nil"/>
              <w:left w:val="nil"/>
              <w:bottom w:val="single" w:sz="8" w:space="0" w:color="auto"/>
              <w:right w:val="nil"/>
            </w:tcBorders>
            <w:shd w:val="clear" w:color="000000" w:fill="DEEAF6"/>
            <w:noWrap/>
            <w:vAlign w:val="center"/>
            <w:hideMark/>
          </w:tcPr>
          <w:p w14:paraId="35B743FA"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Órgão</w:t>
            </w:r>
          </w:p>
        </w:tc>
        <w:tc>
          <w:tcPr>
            <w:tcW w:w="1134" w:type="dxa"/>
            <w:tcBorders>
              <w:top w:val="nil"/>
              <w:left w:val="nil"/>
              <w:bottom w:val="single" w:sz="8" w:space="0" w:color="auto"/>
              <w:right w:val="nil"/>
            </w:tcBorders>
            <w:shd w:val="clear" w:color="000000" w:fill="DEEAF6"/>
            <w:vAlign w:val="center"/>
            <w:hideMark/>
          </w:tcPr>
          <w:p w14:paraId="52B79035" w14:textId="77777777" w:rsidR="006018A0" w:rsidRPr="006018A0" w:rsidRDefault="006018A0" w:rsidP="006018A0">
            <w:pPr>
              <w:spacing w:after="0" w:line="240" w:lineRule="auto"/>
              <w:jc w:val="center"/>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Vigência</w:t>
            </w:r>
          </w:p>
        </w:tc>
        <w:tc>
          <w:tcPr>
            <w:tcW w:w="1134" w:type="dxa"/>
            <w:tcBorders>
              <w:top w:val="nil"/>
              <w:left w:val="nil"/>
              <w:bottom w:val="single" w:sz="8" w:space="0" w:color="auto"/>
              <w:right w:val="nil"/>
            </w:tcBorders>
            <w:shd w:val="clear" w:color="000000" w:fill="DEEAF6"/>
            <w:vAlign w:val="center"/>
            <w:hideMark/>
          </w:tcPr>
          <w:p w14:paraId="6724188B" w14:textId="77777777" w:rsidR="006018A0" w:rsidRPr="006018A0" w:rsidRDefault="006018A0" w:rsidP="006018A0">
            <w:pPr>
              <w:spacing w:after="0" w:line="240" w:lineRule="auto"/>
              <w:jc w:val="right"/>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31/12/2023</w:t>
            </w:r>
          </w:p>
        </w:tc>
        <w:tc>
          <w:tcPr>
            <w:tcW w:w="1134" w:type="dxa"/>
            <w:tcBorders>
              <w:top w:val="nil"/>
              <w:left w:val="nil"/>
              <w:bottom w:val="single" w:sz="8" w:space="0" w:color="auto"/>
              <w:right w:val="nil"/>
            </w:tcBorders>
            <w:shd w:val="clear" w:color="000000" w:fill="DEEAF6"/>
            <w:vAlign w:val="center"/>
            <w:hideMark/>
          </w:tcPr>
          <w:p w14:paraId="6ECE7DC9" w14:textId="77777777" w:rsidR="006018A0" w:rsidRPr="006018A0" w:rsidRDefault="006018A0" w:rsidP="006018A0">
            <w:pPr>
              <w:spacing w:after="0" w:line="240" w:lineRule="auto"/>
              <w:jc w:val="center"/>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Repasse</w:t>
            </w:r>
          </w:p>
        </w:tc>
        <w:tc>
          <w:tcPr>
            <w:tcW w:w="1134" w:type="dxa"/>
            <w:tcBorders>
              <w:top w:val="nil"/>
              <w:left w:val="nil"/>
              <w:bottom w:val="single" w:sz="8" w:space="0" w:color="auto"/>
              <w:right w:val="nil"/>
            </w:tcBorders>
            <w:shd w:val="clear" w:color="000000" w:fill="DEEAF6"/>
            <w:vAlign w:val="center"/>
            <w:hideMark/>
          </w:tcPr>
          <w:p w14:paraId="02BC7A70" w14:textId="77777777" w:rsidR="006018A0" w:rsidRPr="006018A0" w:rsidRDefault="006018A0" w:rsidP="006018A0">
            <w:pPr>
              <w:spacing w:after="0" w:line="240" w:lineRule="auto"/>
              <w:jc w:val="center"/>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Comprovação/ Devolução</w:t>
            </w:r>
          </w:p>
        </w:tc>
        <w:tc>
          <w:tcPr>
            <w:tcW w:w="1134" w:type="dxa"/>
            <w:tcBorders>
              <w:top w:val="nil"/>
              <w:left w:val="nil"/>
              <w:bottom w:val="single" w:sz="8" w:space="0" w:color="auto"/>
              <w:right w:val="nil"/>
            </w:tcBorders>
            <w:shd w:val="clear" w:color="000000" w:fill="DEEAF6"/>
            <w:vAlign w:val="center"/>
            <w:hideMark/>
          </w:tcPr>
          <w:p w14:paraId="13B1DC41" w14:textId="77777777" w:rsidR="006018A0" w:rsidRPr="006018A0" w:rsidRDefault="006018A0" w:rsidP="006018A0">
            <w:pPr>
              <w:spacing w:after="0" w:line="240" w:lineRule="auto"/>
              <w:jc w:val="right"/>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31/03/2024</w:t>
            </w:r>
          </w:p>
        </w:tc>
      </w:tr>
      <w:tr w:rsidR="006018A0" w:rsidRPr="006018A0" w14:paraId="266578BA" w14:textId="77777777" w:rsidTr="00B03F77">
        <w:trPr>
          <w:trHeight w:val="227"/>
        </w:trPr>
        <w:tc>
          <w:tcPr>
            <w:tcW w:w="1074" w:type="dxa"/>
            <w:tcBorders>
              <w:top w:val="nil"/>
              <w:left w:val="nil"/>
              <w:bottom w:val="nil"/>
              <w:right w:val="nil"/>
            </w:tcBorders>
            <w:shd w:val="clear" w:color="auto" w:fill="auto"/>
            <w:noWrap/>
            <w:vAlign w:val="center"/>
            <w:hideMark/>
          </w:tcPr>
          <w:p w14:paraId="30B0484D"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003/2013</w:t>
            </w:r>
          </w:p>
        </w:tc>
        <w:tc>
          <w:tcPr>
            <w:tcW w:w="942" w:type="dxa"/>
            <w:tcBorders>
              <w:top w:val="nil"/>
              <w:left w:val="nil"/>
              <w:bottom w:val="nil"/>
              <w:right w:val="nil"/>
            </w:tcBorders>
            <w:shd w:val="clear" w:color="auto" w:fill="auto"/>
            <w:noWrap/>
            <w:vAlign w:val="center"/>
            <w:hideMark/>
          </w:tcPr>
          <w:p w14:paraId="75D270D6" w14:textId="77777777" w:rsidR="006018A0" w:rsidRPr="006018A0" w:rsidRDefault="006018A0" w:rsidP="00FF553A">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690654</w:t>
            </w:r>
          </w:p>
        </w:tc>
        <w:tc>
          <w:tcPr>
            <w:tcW w:w="2709" w:type="dxa"/>
            <w:tcBorders>
              <w:top w:val="nil"/>
              <w:left w:val="nil"/>
              <w:bottom w:val="nil"/>
              <w:right w:val="nil"/>
            </w:tcBorders>
            <w:shd w:val="clear" w:color="auto" w:fill="auto"/>
            <w:noWrap/>
            <w:vAlign w:val="center"/>
            <w:hideMark/>
          </w:tcPr>
          <w:p w14:paraId="253FAACB"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CBTU</w:t>
            </w:r>
          </w:p>
        </w:tc>
        <w:tc>
          <w:tcPr>
            <w:tcW w:w="1134" w:type="dxa"/>
            <w:tcBorders>
              <w:top w:val="nil"/>
              <w:left w:val="nil"/>
              <w:bottom w:val="nil"/>
              <w:right w:val="nil"/>
            </w:tcBorders>
            <w:shd w:val="clear" w:color="auto" w:fill="auto"/>
            <w:noWrap/>
            <w:vAlign w:val="center"/>
            <w:hideMark/>
          </w:tcPr>
          <w:p w14:paraId="1687FAB3" w14:textId="77777777" w:rsidR="006018A0" w:rsidRPr="006018A0" w:rsidRDefault="006018A0" w:rsidP="006018A0">
            <w:pPr>
              <w:spacing w:after="0" w:line="240" w:lineRule="auto"/>
              <w:jc w:val="center"/>
              <w:rPr>
                <w:rFonts w:ascii="Calibri" w:eastAsia="Times New Roman" w:hAnsi="Calibri" w:cs="Calibri"/>
                <w:color w:val="000000"/>
                <w:sz w:val="16"/>
                <w:szCs w:val="16"/>
              </w:rPr>
            </w:pPr>
            <w:r w:rsidRPr="006018A0">
              <w:rPr>
                <w:rFonts w:ascii="Calibri" w:eastAsia="Times New Roman" w:hAnsi="Calibri" w:cs="Calibri"/>
                <w:color w:val="000000"/>
                <w:sz w:val="16"/>
                <w:szCs w:val="16"/>
              </w:rPr>
              <w:t>mar/21</w:t>
            </w:r>
          </w:p>
        </w:tc>
        <w:tc>
          <w:tcPr>
            <w:tcW w:w="1134" w:type="dxa"/>
            <w:tcBorders>
              <w:top w:val="nil"/>
              <w:left w:val="nil"/>
              <w:bottom w:val="nil"/>
              <w:right w:val="nil"/>
            </w:tcBorders>
            <w:shd w:val="clear" w:color="auto" w:fill="auto"/>
            <w:noWrap/>
            <w:vAlign w:val="center"/>
            <w:hideMark/>
          </w:tcPr>
          <w:p w14:paraId="79A96D68"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71.948</w:t>
            </w:r>
          </w:p>
        </w:tc>
        <w:tc>
          <w:tcPr>
            <w:tcW w:w="1134" w:type="dxa"/>
            <w:tcBorders>
              <w:top w:val="nil"/>
              <w:left w:val="nil"/>
              <w:bottom w:val="nil"/>
              <w:right w:val="nil"/>
            </w:tcBorders>
            <w:shd w:val="clear" w:color="auto" w:fill="auto"/>
            <w:noWrap/>
            <w:vAlign w:val="center"/>
            <w:hideMark/>
          </w:tcPr>
          <w:p w14:paraId="73D71A73" w14:textId="7A36E1CC"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1E1EAEBB" w14:textId="5559F82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A2206A4"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71.948</w:t>
            </w:r>
          </w:p>
        </w:tc>
      </w:tr>
      <w:tr w:rsidR="006018A0" w:rsidRPr="006018A0" w14:paraId="7854EFCE" w14:textId="77777777" w:rsidTr="00B03F77">
        <w:trPr>
          <w:trHeight w:val="227"/>
        </w:trPr>
        <w:tc>
          <w:tcPr>
            <w:tcW w:w="1074" w:type="dxa"/>
            <w:tcBorders>
              <w:top w:val="nil"/>
              <w:left w:val="nil"/>
              <w:bottom w:val="nil"/>
              <w:right w:val="nil"/>
            </w:tcBorders>
            <w:shd w:val="clear" w:color="auto" w:fill="auto"/>
            <w:noWrap/>
            <w:vAlign w:val="center"/>
            <w:hideMark/>
          </w:tcPr>
          <w:p w14:paraId="1DD5456C"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001/2020</w:t>
            </w:r>
          </w:p>
        </w:tc>
        <w:tc>
          <w:tcPr>
            <w:tcW w:w="942" w:type="dxa"/>
            <w:tcBorders>
              <w:top w:val="nil"/>
              <w:left w:val="nil"/>
              <w:bottom w:val="nil"/>
              <w:right w:val="nil"/>
            </w:tcBorders>
            <w:shd w:val="clear" w:color="auto" w:fill="auto"/>
            <w:noWrap/>
            <w:vAlign w:val="center"/>
            <w:hideMark/>
          </w:tcPr>
          <w:p w14:paraId="19D50F83" w14:textId="77777777" w:rsidR="006018A0" w:rsidRPr="006018A0" w:rsidRDefault="006018A0" w:rsidP="00FF553A">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1AABOM</w:t>
            </w:r>
          </w:p>
        </w:tc>
        <w:tc>
          <w:tcPr>
            <w:tcW w:w="2709" w:type="dxa"/>
            <w:tcBorders>
              <w:top w:val="nil"/>
              <w:left w:val="nil"/>
              <w:bottom w:val="nil"/>
              <w:right w:val="nil"/>
            </w:tcBorders>
            <w:shd w:val="clear" w:color="auto" w:fill="auto"/>
            <w:noWrap/>
            <w:vAlign w:val="center"/>
            <w:hideMark/>
          </w:tcPr>
          <w:p w14:paraId="1DC0CED0"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Exército Brasileiro</w:t>
            </w:r>
          </w:p>
        </w:tc>
        <w:tc>
          <w:tcPr>
            <w:tcW w:w="1134" w:type="dxa"/>
            <w:tcBorders>
              <w:top w:val="nil"/>
              <w:left w:val="nil"/>
              <w:bottom w:val="nil"/>
              <w:right w:val="nil"/>
            </w:tcBorders>
            <w:shd w:val="clear" w:color="auto" w:fill="auto"/>
            <w:noWrap/>
            <w:vAlign w:val="center"/>
            <w:hideMark/>
          </w:tcPr>
          <w:p w14:paraId="08CABA36" w14:textId="77777777" w:rsidR="006018A0" w:rsidRPr="006018A0" w:rsidRDefault="006018A0" w:rsidP="006018A0">
            <w:pPr>
              <w:spacing w:after="0" w:line="240" w:lineRule="auto"/>
              <w:jc w:val="center"/>
              <w:rPr>
                <w:rFonts w:ascii="Calibri" w:eastAsia="Times New Roman" w:hAnsi="Calibri" w:cs="Calibri"/>
                <w:color w:val="000000"/>
                <w:sz w:val="16"/>
                <w:szCs w:val="16"/>
              </w:rPr>
            </w:pPr>
            <w:r w:rsidRPr="006018A0">
              <w:rPr>
                <w:rFonts w:ascii="Calibri" w:eastAsia="Times New Roman" w:hAnsi="Calibri" w:cs="Calibri"/>
                <w:color w:val="000000"/>
                <w:sz w:val="16"/>
                <w:szCs w:val="16"/>
              </w:rPr>
              <w:t>set/24</w:t>
            </w:r>
          </w:p>
        </w:tc>
        <w:tc>
          <w:tcPr>
            <w:tcW w:w="1134" w:type="dxa"/>
            <w:tcBorders>
              <w:top w:val="nil"/>
              <w:left w:val="nil"/>
              <w:bottom w:val="nil"/>
              <w:right w:val="nil"/>
            </w:tcBorders>
            <w:shd w:val="clear" w:color="auto" w:fill="auto"/>
            <w:noWrap/>
            <w:vAlign w:val="center"/>
            <w:hideMark/>
          </w:tcPr>
          <w:p w14:paraId="64566961"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33.760.346</w:t>
            </w:r>
          </w:p>
        </w:tc>
        <w:tc>
          <w:tcPr>
            <w:tcW w:w="1134" w:type="dxa"/>
            <w:tcBorders>
              <w:top w:val="nil"/>
              <w:left w:val="nil"/>
              <w:bottom w:val="nil"/>
              <w:right w:val="nil"/>
            </w:tcBorders>
            <w:shd w:val="clear" w:color="auto" w:fill="auto"/>
            <w:noWrap/>
            <w:vAlign w:val="center"/>
            <w:hideMark/>
          </w:tcPr>
          <w:p w14:paraId="62159E2E" w14:textId="7791D684"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3.600.000 </w:t>
            </w:r>
          </w:p>
        </w:tc>
        <w:tc>
          <w:tcPr>
            <w:tcW w:w="1134" w:type="dxa"/>
            <w:tcBorders>
              <w:top w:val="nil"/>
              <w:left w:val="nil"/>
              <w:bottom w:val="nil"/>
              <w:right w:val="nil"/>
            </w:tcBorders>
            <w:shd w:val="clear" w:color="auto" w:fill="auto"/>
            <w:noWrap/>
            <w:vAlign w:val="center"/>
            <w:hideMark/>
          </w:tcPr>
          <w:p w14:paraId="726232C9" w14:textId="543B01A1"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C432E53"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37.360.346</w:t>
            </w:r>
          </w:p>
        </w:tc>
      </w:tr>
      <w:tr w:rsidR="006018A0" w:rsidRPr="006018A0" w14:paraId="0C2DF9EC" w14:textId="77777777" w:rsidTr="00B03F77">
        <w:trPr>
          <w:trHeight w:val="227"/>
        </w:trPr>
        <w:tc>
          <w:tcPr>
            <w:tcW w:w="1074" w:type="dxa"/>
            <w:tcBorders>
              <w:top w:val="nil"/>
              <w:left w:val="nil"/>
              <w:bottom w:val="nil"/>
              <w:right w:val="nil"/>
            </w:tcBorders>
            <w:shd w:val="clear" w:color="auto" w:fill="auto"/>
            <w:noWrap/>
            <w:vAlign w:val="center"/>
            <w:hideMark/>
          </w:tcPr>
          <w:p w14:paraId="6D80A0E1"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002/2020</w:t>
            </w:r>
          </w:p>
        </w:tc>
        <w:tc>
          <w:tcPr>
            <w:tcW w:w="942" w:type="dxa"/>
            <w:tcBorders>
              <w:top w:val="nil"/>
              <w:left w:val="nil"/>
              <w:bottom w:val="nil"/>
              <w:right w:val="nil"/>
            </w:tcBorders>
            <w:shd w:val="clear" w:color="auto" w:fill="auto"/>
            <w:noWrap/>
            <w:vAlign w:val="center"/>
            <w:hideMark/>
          </w:tcPr>
          <w:p w14:paraId="7AA8B911" w14:textId="77777777" w:rsidR="006018A0" w:rsidRPr="006018A0" w:rsidRDefault="006018A0" w:rsidP="00FF553A">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1AADXR</w:t>
            </w:r>
          </w:p>
        </w:tc>
        <w:tc>
          <w:tcPr>
            <w:tcW w:w="2709" w:type="dxa"/>
            <w:tcBorders>
              <w:top w:val="nil"/>
              <w:left w:val="nil"/>
              <w:bottom w:val="nil"/>
              <w:right w:val="nil"/>
            </w:tcBorders>
            <w:shd w:val="clear" w:color="auto" w:fill="auto"/>
            <w:noWrap/>
            <w:vAlign w:val="center"/>
            <w:hideMark/>
          </w:tcPr>
          <w:p w14:paraId="35D0BF95"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Universidade de Brasília</w:t>
            </w:r>
          </w:p>
        </w:tc>
        <w:tc>
          <w:tcPr>
            <w:tcW w:w="1134" w:type="dxa"/>
            <w:tcBorders>
              <w:top w:val="nil"/>
              <w:left w:val="nil"/>
              <w:bottom w:val="nil"/>
              <w:right w:val="nil"/>
            </w:tcBorders>
            <w:shd w:val="clear" w:color="auto" w:fill="auto"/>
            <w:noWrap/>
            <w:vAlign w:val="center"/>
            <w:hideMark/>
          </w:tcPr>
          <w:p w14:paraId="24527B17" w14:textId="77777777" w:rsidR="006018A0" w:rsidRPr="006018A0" w:rsidRDefault="006018A0" w:rsidP="006018A0">
            <w:pPr>
              <w:spacing w:after="0" w:line="240" w:lineRule="auto"/>
              <w:jc w:val="center"/>
              <w:rPr>
                <w:rFonts w:ascii="Calibri" w:eastAsia="Times New Roman" w:hAnsi="Calibri" w:cs="Calibri"/>
                <w:color w:val="000000"/>
                <w:sz w:val="16"/>
                <w:szCs w:val="16"/>
              </w:rPr>
            </w:pPr>
            <w:proofErr w:type="spellStart"/>
            <w:r w:rsidRPr="006018A0">
              <w:rPr>
                <w:rFonts w:ascii="Calibri" w:eastAsia="Times New Roman" w:hAnsi="Calibri" w:cs="Calibri"/>
                <w:color w:val="000000"/>
                <w:sz w:val="16"/>
                <w:szCs w:val="16"/>
              </w:rPr>
              <w:t>fev</w:t>
            </w:r>
            <w:proofErr w:type="spellEnd"/>
            <w:r w:rsidRPr="006018A0">
              <w:rPr>
                <w:rFonts w:ascii="Calibri" w:eastAsia="Times New Roman" w:hAnsi="Calibri" w:cs="Calibri"/>
                <w:color w:val="000000"/>
                <w:sz w:val="16"/>
                <w:szCs w:val="16"/>
              </w:rPr>
              <w:t>/23</w:t>
            </w:r>
          </w:p>
        </w:tc>
        <w:tc>
          <w:tcPr>
            <w:tcW w:w="1134" w:type="dxa"/>
            <w:tcBorders>
              <w:top w:val="nil"/>
              <w:left w:val="nil"/>
              <w:bottom w:val="nil"/>
              <w:right w:val="nil"/>
            </w:tcBorders>
            <w:shd w:val="clear" w:color="auto" w:fill="auto"/>
            <w:noWrap/>
            <w:vAlign w:val="center"/>
            <w:hideMark/>
          </w:tcPr>
          <w:p w14:paraId="0B48F188"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400.000</w:t>
            </w:r>
          </w:p>
        </w:tc>
        <w:tc>
          <w:tcPr>
            <w:tcW w:w="1134" w:type="dxa"/>
            <w:tcBorders>
              <w:top w:val="nil"/>
              <w:left w:val="nil"/>
              <w:bottom w:val="nil"/>
              <w:right w:val="nil"/>
            </w:tcBorders>
            <w:shd w:val="clear" w:color="auto" w:fill="auto"/>
            <w:noWrap/>
            <w:vAlign w:val="center"/>
            <w:hideMark/>
          </w:tcPr>
          <w:p w14:paraId="0866AF86" w14:textId="09424432"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6668553C" w14:textId="2D84C111"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B9AC96B"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400.000</w:t>
            </w:r>
          </w:p>
        </w:tc>
      </w:tr>
      <w:tr w:rsidR="006018A0" w:rsidRPr="006018A0" w14:paraId="2F11A012" w14:textId="77777777" w:rsidTr="00B03F77">
        <w:trPr>
          <w:trHeight w:val="227"/>
        </w:trPr>
        <w:tc>
          <w:tcPr>
            <w:tcW w:w="1074" w:type="dxa"/>
            <w:tcBorders>
              <w:top w:val="nil"/>
              <w:left w:val="nil"/>
              <w:bottom w:val="nil"/>
              <w:right w:val="nil"/>
            </w:tcBorders>
            <w:shd w:val="clear" w:color="auto" w:fill="auto"/>
            <w:noWrap/>
            <w:vAlign w:val="center"/>
            <w:hideMark/>
          </w:tcPr>
          <w:p w14:paraId="5AD9835D"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003/2020</w:t>
            </w:r>
          </w:p>
        </w:tc>
        <w:tc>
          <w:tcPr>
            <w:tcW w:w="942" w:type="dxa"/>
            <w:tcBorders>
              <w:top w:val="nil"/>
              <w:left w:val="nil"/>
              <w:bottom w:val="nil"/>
              <w:right w:val="nil"/>
            </w:tcBorders>
            <w:shd w:val="clear" w:color="auto" w:fill="auto"/>
            <w:noWrap/>
            <w:vAlign w:val="center"/>
            <w:hideMark/>
          </w:tcPr>
          <w:p w14:paraId="65915C34" w14:textId="77777777" w:rsidR="006018A0" w:rsidRPr="006018A0" w:rsidRDefault="006018A0" w:rsidP="00FF553A">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1AADXS</w:t>
            </w:r>
          </w:p>
        </w:tc>
        <w:tc>
          <w:tcPr>
            <w:tcW w:w="2709" w:type="dxa"/>
            <w:tcBorders>
              <w:top w:val="nil"/>
              <w:left w:val="nil"/>
              <w:bottom w:val="nil"/>
              <w:right w:val="nil"/>
            </w:tcBorders>
            <w:shd w:val="clear" w:color="auto" w:fill="auto"/>
            <w:noWrap/>
            <w:vAlign w:val="center"/>
            <w:hideMark/>
          </w:tcPr>
          <w:p w14:paraId="148B136E"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Universidade de Brasília</w:t>
            </w:r>
          </w:p>
        </w:tc>
        <w:tc>
          <w:tcPr>
            <w:tcW w:w="1134" w:type="dxa"/>
            <w:tcBorders>
              <w:top w:val="nil"/>
              <w:left w:val="nil"/>
              <w:bottom w:val="nil"/>
              <w:right w:val="nil"/>
            </w:tcBorders>
            <w:shd w:val="clear" w:color="auto" w:fill="auto"/>
            <w:noWrap/>
            <w:vAlign w:val="center"/>
            <w:hideMark/>
          </w:tcPr>
          <w:p w14:paraId="367522F3" w14:textId="77777777" w:rsidR="006018A0" w:rsidRPr="006018A0" w:rsidRDefault="006018A0" w:rsidP="006018A0">
            <w:pPr>
              <w:spacing w:after="0" w:line="240" w:lineRule="auto"/>
              <w:jc w:val="center"/>
              <w:rPr>
                <w:rFonts w:ascii="Calibri" w:eastAsia="Times New Roman" w:hAnsi="Calibri" w:cs="Calibri"/>
                <w:color w:val="000000"/>
                <w:sz w:val="16"/>
                <w:szCs w:val="16"/>
              </w:rPr>
            </w:pPr>
            <w:r w:rsidRPr="006018A0">
              <w:rPr>
                <w:rFonts w:ascii="Calibri" w:eastAsia="Times New Roman" w:hAnsi="Calibri" w:cs="Calibri"/>
                <w:color w:val="000000"/>
                <w:sz w:val="16"/>
                <w:szCs w:val="16"/>
              </w:rPr>
              <w:t>dez/22</w:t>
            </w:r>
          </w:p>
        </w:tc>
        <w:tc>
          <w:tcPr>
            <w:tcW w:w="1134" w:type="dxa"/>
            <w:tcBorders>
              <w:top w:val="nil"/>
              <w:left w:val="nil"/>
              <w:bottom w:val="nil"/>
              <w:right w:val="nil"/>
            </w:tcBorders>
            <w:shd w:val="clear" w:color="auto" w:fill="auto"/>
            <w:noWrap/>
            <w:vAlign w:val="center"/>
            <w:hideMark/>
          </w:tcPr>
          <w:p w14:paraId="46CAA2C3"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776.195</w:t>
            </w:r>
          </w:p>
        </w:tc>
        <w:tc>
          <w:tcPr>
            <w:tcW w:w="1134" w:type="dxa"/>
            <w:tcBorders>
              <w:top w:val="nil"/>
              <w:left w:val="nil"/>
              <w:bottom w:val="nil"/>
              <w:right w:val="nil"/>
            </w:tcBorders>
            <w:shd w:val="clear" w:color="auto" w:fill="auto"/>
            <w:noWrap/>
            <w:vAlign w:val="center"/>
            <w:hideMark/>
          </w:tcPr>
          <w:p w14:paraId="66D2EE8D" w14:textId="6D836B60"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5167DA6" w14:textId="3FC2F24B"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ADF2EC3"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776.195</w:t>
            </w:r>
          </w:p>
        </w:tc>
      </w:tr>
      <w:tr w:rsidR="006018A0" w:rsidRPr="006018A0" w14:paraId="2D93B80A" w14:textId="77777777" w:rsidTr="00B03F77">
        <w:trPr>
          <w:trHeight w:val="227"/>
        </w:trPr>
        <w:tc>
          <w:tcPr>
            <w:tcW w:w="1074" w:type="dxa"/>
            <w:tcBorders>
              <w:top w:val="nil"/>
              <w:left w:val="nil"/>
              <w:bottom w:val="nil"/>
              <w:right w:val="nil"/>
            </w:tcBorders>
            <w:shd w:val="clear" w:color="auto" w:fill="auto"/>
            <w:noWrap/>
            <w:vAlign w:val="center"/>
            <w:hideMark/>
          </w:tcPr>
          <w:p w14:paraId="523692FA"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001/2023</w:t>
            </w:r>
          </w:p>
        </w:tc>
        <w:tc>
          <w:tcPr>
            <w:tcW w:w="942" w:type="dxa"/>
            <w:tcBorders>
              <w:top w:val="nil"/>
              <w:left w:val="nil"/>
              <w:bottom w:val="nil"/>
              <w:right w:val="nil"/>
            </w:tcBorders>
            <w:shd w:val="clear" w:color="auto" w:fill="auto"/>
            <w:noWrap/>
            <w:vAlign w:val="center"/>
            <w:hideMark/>
          </w:tcPr>
          <w:p w14:paraId="12B162C1" w14:textId="77777777" w:rsidR="006018A0" w:rsidRPr="006018A0" w:rsidRDefault="006018A0" w:rsidP="00FF553A">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954896</w:t>
            </w:r>
          </w:p>
        </w:tc>
        <w:tc>
          <w:tcPr>
            <w:tcW w:w="2709" w:type="dxa"/>
            <w:tcBorders>
              <w:top w:val="nil"/>
              <w:left w:val="nil"/>
              <w:bottom w:val="nil"/>
              <w:right w:val="nil"/>
            </w:tcBorders>
            <w:shd w:val="clear" w:color="auto" w:fill="auto"/>
            <w:noWrap/>
            <w:vAlign w:val="center"/>
            <w:hideMark/>
          </w:tcPr>
          <w:p w14:paraId="3A26491A" w14:textId="77777777" w:rsidR="006018A0" w:rsidRPr="006018A0" w:rsidRDefault="006018A0" w:rsidP="006018A0">
            <w:pPr>
              <w:spacing w:after="0" w:line="240" w:lineRule="auto"/>
              <w:rPr>
                <w:rFonts w:ascii="Calibri" w:eastAsia="Times New Roman" w:hAnsi="Calibri" w:cs="Calibri"/>
                <w:color w:val="000000"/>
                <w:sz w:val="16"/>
                <w:szCs w:val="16"/>
              </w:rPr>
            </w:pPr>
            <w:r w:rsidRPr="006018A0">
              <w:rPr>
                <w:rFonts w:ascii="Calibri" w:eastAsia="Times New Roman" w:hAnsi="Calibri" w:cs="Calibri"/>
                <w:color w:val="000000"/>
                <w:sz w:val="16"/>
                <w:szCs w:val="16"/>
              </w:rPr>
              <w:t>Universidade Federal de Lavras</w:t>
            </w:r>
          </w:p>
        </w:tc>
        <w:tc>
          <w:tcPr>
            <w:tcW w:w="1134" w:type="dxa"/>
            <w:tcBorders>
              <w:top w:val="nil"/>
              <w:left w:val="nil"/>
              <w:bottom w:val="nil"/>
              <w:right w:val="nil"/>
            </w:tcBorders>
            <w:shd w:val="clear" w:color="auto" w:fill="auto"/>
            <w:noWrap/>
            <w:vAlign w:val="center"/>
            <w:hideMark/>
          </w:tcPr>
          <w:p w14:paraId="69CF2CC1" w14:textId="77777777" w:rsidR="006018A0" w:rsidRPr="006018A0" w:rsidRDefault="006018A0" w:rsidP="006018A0">
            <w:pPr>
              <w:spacing w:after="0" w:line="240" w:lineRule="auto"/>
              <w:jc w:val="center"/>
              <w:rPr>
                <w:rFonts w:ascii="Calibri" w:eastAsia="Times New Roman" w:hAnsi="Calibri" w:cs="Calibri"/>
                <w:color w:val="000000"/>
                <w:sz w:val="16"/>
                <w:szCs w:val="16"/>
              </w:rPr>
            </w:pPr>
            <w:r w:rsidRPr="006018A0">
              <w:rPr>
                <w:rFonts w:ascii="Calibri" w:eastAsia="Times New Roman" w:hAnsi="Calibri" w:cs="Calibri"/>
                <w:color w:val="000000"/>
                <w:sz w:val="16"/>
                <w:szCs w:val="16"/>
              </w:rPr>
              <w:t>dez/25</w:t>
            </w:r>
          </w:p>
        </w:tc>
        <w:tc>
          <w:tcPr>
            <w:tcW w:w="1134" w:type="dxa"/>
            <w:tcBorders>
              <w:top w:val="nil"/>
              <w:left w:val="nil"/>
              <w:bottom w:val="nil"/>
              <w:right w:val="nil"/>
            </w:tcBorders>
            <w:shd w:val="clear" w:color="auto" w:fill="auto"/>
            <w:noWrap/>
            <w:vAlign w:val="center"/>
            <w:hideMark/>
          </w:tcPr>
          <w:p w14:paraId="4BF4DECD" w14:textId="65AF8322"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C142D87" w14:textId="1946946F"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7.079.015 </w:t>
            </w:r>
          </w:p>
        </w:tc>
        <w:tc>
          <w:tcPr>
            <w:tcW w:w="1134" w:type="dxa"/>
            <w:tcBorders>
              <w:top w:val="nil"/>
              <w:left w:val="nil"/>
              <w:bottom w:val="nil"/>
              <w:right w:val="nil"/>
            </w:tcBorders>
            <w:shd w:val="clear" w:color="auto" w:fill="auto"/>
            <w:noWrap/>
            <w:vAlign w:val="center"/>
            <w:hideMark/>
          </w:tcPr>
          <w:p w14:paraId="7D23395B" w14:textId="22F939DC"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B5C436E" w14:textId="77777777" w:rsidR="006018A0" w:rsidRPr="006018A0" w:rsidRDefault="006018A0" w:rsidP="006018A0">
            <w:pPr>
              <w:spacing w:after="0" w:line="240" w:lineRule="auto"/>
              <w:jc w:val="right"/>
              <w:rPr>
                <w:rFonts w:ascii="Calibri" w:eastAsia="Times New Roman" w:hAnsi="Calibri" w:cs="Calibri"/>
                <w:color w:val="000000"/>
                <w:sz w:val="16"/>
                <w:szCs w:val="16"/>
              </w:rPr>
            </w:pPr>
            <w:r w:rsidRPr="006018A0">
              <w:rPr>
                <w:rFonts w:ascii="Calibri" w:eastAsia="Times New Roman" w:hAnsi="Calibri" w:cs="Calibri"/>
                <w:color w:val="000000"/>
                <w:sz w:val="16"/>
                <w:szCs w:val="16"/>
              </w:rPr>
              <w:t>7.079.015</w:t>
            </w:r>
          </w:p>
        </w:tc>
      </w:tr>
      <w:tr w:rsidR="006018A0" w:rsidRPr="006018A0" w14:paraId="3A72A5FA" w14:textId="77777777" w:rsidTr="00B03F77">
        <w:trPr>
          <w:trHeight w:val="227"/>
        </w:trPr>
        <w:tc>
          <w:tcPr>
            <w:tcW w:w="1074" w:type="dxa"/>
            <w:tcBorders>
              <w:top w:val="single" w:sz="8" w:space="0" w:color="auto"/>
              <w:left w:val="nil"/>
              <w:bottom w:val="single" w:sz="8" w:space="0" w:color="auto"/>
              <w:right w:val="nil"/>
            </w:tcBorders>
            <w:shd w:val="clear" w:color="000000" w:fill="DEEAF6"/>
            <w:noWrap/>
            <w:vAlign w:val="center"/>
            <w:hideMark/>
          </w:tcPr>
          <w:p w14:paraId="170832C0"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Total Ativo</w:t>
            </w:r>
          </w:p>
        </w:tc>
        <w:tc>
          <w:tcPr>
            <w:tcW w:w="942" w:type="dxa"/>
            <w:tcBorders>
              <w:top w:val="single" w:sz="8" w:space="0" w:color="auto"/>
              <w:left w:val="nil"/>
              <w:bottom w:val="single" w:sz="8" w:space="0" w:color="auto"/>
              <w:right w:val="nil"/>
            </w:tcBorders>
            <w:shd w:val="clear" w:color="000000" w:fill="DEEAF6"/>
            <w:noWrap/>
            <w:vAlign w:val="center"/>
            <w:hideMark/>
          </w:tcPr>
          <w:p w14:paraId="308F9E6E" w14:textId="77777777" w:rsidR="006018A0" w:rsidRPr="006018A0" w:rsidRDefault="006018A0" w:rsidP="006018A0">
            <w:pPr>
              <w:spacing w:after="0" w:line="240" w:lineRule="auto"/>
              <w:rPr>
                <w:rFonts w:ascii="Calibri" w:eastAsia="Times New Roman" w:hAnsi="Calibri" w:cs="Calibri"/>
                <w:color w:val="000000"/>
                <w:sz w:val="20"/>
                <w:szCs w:val="20"/>
              </w:rPr>
            </w:pPr>
            <w:r w:rsidRPr="006018A0">
              <w:rPr>
                <w:rFonts w:ascii="Calibri" w:eastAsia="Times New Roman" w:hAnsi="Calibri" w:cs="Calibri"/>
                <w:color w:val="000000"/>
                <w:sz w:val="20"/>
                <w:szCs w:val="20"/>
              </w:rPr>
              <w:t> </w:t>
            </w:r>
          </w:p>
        </w:tc>
        <w:tc>
          <w:tcPr>
            <w:tcW w:w="2709" w:type="dxa"/>
            <w:tcBorders>
              <w:top w:val="single" w:sz="8" w:space="0" w:color="auto"/>
              <w:left w:val="nil"/>
              <w:bottom w:val="single" w:sz="8" w:space="0" w:color="auto"/>
              <w:right w:val="nil"/>
            </w:tcBorders>
            <w:shd w:val="clear" w:color="000000" w:fill="DEEAF6"/>
            <w:noWrap/>
            <w:vAlign w:val="center"/>
            <w:hideMark/>
          </w:tcPr>
          <w:p w14:paraId="10BDC206"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 </w:t>
            </w:r>
          </w:p>
        </w:tc>
        <w:tc>
          <w:tcPr>
            <w:tcW w:w="1134" w:type="dxa"/>
            <w:tcBorders>
              <w:top w:val="single" w:sz="8" w:space="0" w:color="auto"/>
              <w:left w:val="nil"/>
              <w:bottom w:val="single" w:sz="8" w:space="0" w:color="auto"/>
              <w:right w:val="nil"/>
            </w:tcBorders>
            <w:shd w:val="clear" w:color="000000" w:fill="DEEAF6"/>
            <w:noWrap/>
            <w:vAlign w:val="center"/>
            <w:hideMark/>
          </w:tcPr>
          <w:p w14:paraId="5AC90E69" w14:textId="77777777" w:rsidR="006018A0" w:rsidRPr="006018A0" w:rsidRDefault="006018A0" w:rsidP="006018A0">
            <w:pPr>
              <w:spacing w:after="0" w:line="240" w:lineRule="auto"/>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 </w:t>
            </w:r>
          </w:p>
        </w:tc>
        <w:tc>
          <w:tcPr>
            <w:tcW w:w="1134" w:type="dxa"/>
            <w:tcBorders>
              <w:top w:val="single" w:sz="8" w:space="0" w:color="auto"/>
              <w:left w:val="nil"/>
              <w:bottom w:val="single" w:sz="8" w:space="0" w:color="auto"/>
              <w:right w:val="nil"/>
            </w:tcBorders>
            <w:shd w:val="clear" w:color="000000" w:fill="DEEAF6"/>
            <w:vAlign w:val="center"/>
            <w:hideMark/>
          </w:tcPr>
          <w:p w14:paraId="6E3AAEC1" w14:textId="77777777" w:rsidR="006018A0" w:rsidRPr="006018A0" w:rsidRDefault="006018A0" w:rsidP="006018A0">
            <w:pPr>
              <w:spacing w:after="0" w:line="240" w:lineRule="auto"/>
              <w:jc w:val="right"/>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35.008.489</w:t>
            </w:r>
          </w:p>
        </w:tc>
        <w:tc>
          <w:tcPr>
            <w:tcW w:w="1134" w:type="dxa"/>
            <w:tcBorders>
              <w:top w:val="single" w:sz="8" w:space="0" w:color="auto"/>
              <w:left w:val="nil"/>
              <w:bottom w:val="single" w:sz="8" w:space="0" w:color="auto"/>
              <w:right w:val="nil"/>
            </w:tcBorders>
            <w:shd w:val="clear" w:color="000000" w:fill="DEEAF6"/>
            <w:vAlign w:val="center"/>
            <w:hideMark/>
          </w:tcPr>
          <w:p w14:paraId="5C4F0F6F" w14:textId="619F7F4C" w:rsidR="006018A0" w:rsidRPr="006018A0" w:rsidRDefault="00D505C2" w:rsidP="006018A0">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10.679.015</w:t>
            </w:r>
            <w:r w:rsidR="006018A0" w:rsidRPr="006018A0">
              <w:rPr>
                <w:rFonts w:ascii="Calibri" w:eastAsia="Times New Roman" w:hAnsi="Calibri" w:cs="Calibri"/>
                <w:b/>
                <w:bCs/>
                <w:color w:val="000000"/>
                <w:sz w:val="16"/>
                <w:szCs w:val="16"/>
              </w:rPr>
              <w:t> </w:t>
            </w:r>
          </w:p>
        </w:tc>
        <w:tc>
          <w:tcPr>
            <w:tcW w:w="1134" w:type="dxa"/>
            <w:tcBorders>
              <w:top w:val="single" w:sz="8" w:space="0" w:color="auto"/>
              <w:left w:val="nil"/>
              <w:bottom w:val="single" w:sz="8" w:space="0" w:color="auto"/>
              <w:right w:val="nil"/>
            </w:tcBorders>
            <w:shd w:val="clear" w:color="000000" w:fill="DEEAF6"/>
            <w:vAlign w:val="center"/>
            <w:hideMark/>
          </w:tcPr>
          <w:p w14:paraId="600FEFC3" w14:textId="4449ECA7" w:rsidR="006018A0" w:rsidRPr="006018A0" w:rsidRDefault="00BE7D5E" w:rsidP="006018A0">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6018A0" w:rsidRPr="006018A0">
              <w:rPr>
                <w:rFonts w:ascii="Calibri" w:eastAsia="Times New Roman" w:hAnsi="Calibri" w:cs="Calibri"/>
                <w:b/>
                <w:bCs/>
                <w:color w:val="000000"/>
                <w:sz w:val="16"/>
                <w:szCs w:val="16"/>
              </w:rPr>
              <w:t> </w:t>
            </w:r>
          </w:p>
        </w:tc>
        <w:tc>
          <w:tcPr>
            <w:tcW w:w="1134" w:type="dxa"/>
            <w:tcBorders>
              <w:top w:val="single" w:sz="8" w:space="0" w:color="auto"/>
              <w:left w:val="nil"/>
              <w:bottom w:val="single" w:sz="8" w:space="0" w:color="auto"/>
              <w:right w:val="nil"/>
            </w:tcBorders>
            <w:shd w:val="clear" w:color="000000" w:fill="DEEAF6"/>
            <w:vAlign w:val="center"/>
            <w:hideMark/>
          </w:tcPr>
          <w:p w14:paraId="5E6DEEE5" w14:textId="77777777" w:rsidR="006018A0" w:rsidRPr="006018A0" w:rsidRDefault="006018A0" w:rsidP="006018A0">
            <w:pPr>
              <w:spacing w:after="0" w:line="240" w:lineRule="auto"/>
              <w:jc w:val="right"/>
              <w:rPr>
                <w:rFonts w:ascii="Calibri" w:eastAsia="Times New Roman" w:hAnsi="Calibri" w:cs="Calibri"/>
                <w:b/>
                <w:bCs/>
                <w:color w:val="000000"/>
                <w:sz w:val="16"/>
                <w:szCs w:val="16"/>
              </w:rPr>
            </w:pPr>
            <w:r w:rsidRPr="006018A0">
              <w:rPr>
                <w:rFonts w:ascii="Calibri" w:eastAsia="Times New Roman" w:hAnsi="Calibri" w:cs="Calibri"/>
                <w:b/>
                <w:bCs/>
                <w:color w:val="000000"/>
                <w:sz w:val="16"/>
                <w:szCs w:val="16"/>
              </w:rPr>
              <w:t>45.687.504</w:t>
            </w:r>
          </w:p>
        </w:tc>
      </w:tr>
    </w:tbl>
    <w:p w14:paraId="61DFDF66" w14:textId="3C0E413B" w:rsidR="00703D25" w:rsidRPr="00B36334" w:rsidRDefault="00703D25" w:rsidP="00C000AF">
      <w:pPr>
        <w:pStyle w:val="PargrafodaLista"/>
        <w:widowControl w:val="0"/>
        <w:numPr>
          <w:ilvl w:val="0"/>
          <w:numId w:val="5"/>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003/2013</w:t>
      </w:r>
      <w:r w:rsidR="00C05E26">
        <w:rPr>
          <w:rFonts w:cstheme="minorHAnsi"/>
          <w:sz w:val="20"/>
          <w:szCs w:val="20"/>
        </w:rPr>
        <w:t>: C</w:t>
      </w:r>
      <w:r w:rsidRPr="00B36334">
        <w:rPr>
          <w:rFonts w:cstheme="minorHAnsi"/>
          <w:sz w:val="20"/>
          <w:szCs w:val="20"/>
        </w:rPr>
        <w:t xml:space="preserve">elebrado entre a Infra S.A. e a CIA Brasileira de Trens Urbanos </w:t>
      </w:r>
      <w:r w:rsidR="00D047D5" w:rsidRPr="00B36334">
        <w:rPr>
          <w:rFonts w:cstheme="minorHAnsi"/>
          <w:sz w:val="20"/>
        </w:rPr>
        <w:t>–</w:t>
      </w:r>
      <w:r w:rsidRPr="00B36334">
        <w:rPr>
          <w:rFonts w:cstheme="minorHAnsi"/>
          <w:sz w:val="20"/>
          <w:szCs w:val="20"/>
        </w:rPr>
        <w:t xml:space="preserve"> CBTU, </w:t>
      </w:r>
      <w:r w:rsidR="001E33C9">
        <w:rPr>
          <w:rFonts w:cstheme="minorHAnsi"/>
          <w:sz w:val="20"/>
          <w:szCs w:val="20"/>
        </w:rPr>
        <w:t>tem por</w:t>
      </w:r>
      <w:r w:rsidRPr="00B36334">
        <w:rPr>
          <w:rFonts w:cstheme="minorHAnsi"/>
          <w:sz w:val="20"/>
          <w:szCs w:val="20"/>
        </w:rPr>
        <w:t xml:space="preserve"> objeto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Teve vigência até 28 de março de 2021, </w:t>
      </w:r>
      <w:r w:rsidRPr="306F6E40">
        <w:rPr>
          <w:sz w:val="20"/>
          <w:szCs w:val="20"/>
        </w:rPr>
        <w:t xml:space="preserve">e </w:t>
      </w:r>
      <w:r w:rsidR="00C4565A" w:rsidRPr="306F6E40">
        <w:rPr>
          <w:sz w:val="20"/>
          <w:szCs w:val="20"/>
        </w:rPr>
        <w:t>a prestação</w:t>
      </w:r>
      <w:r w:rsidRPr="306F6E40">
        <w:rPr>
          <w:sz w:val="20"/>
          <w:szCs w:val="20"/>
        </w:rPr>
        <w:t xml:space="preserve"> de </w:t>
      </w:r>
      <w:r w:rsidR="00C4565A" w:rsidRPr="306F6E40">
        <w:rPr>
          <w:sz w:val="20"/>
          <w:szCs w:val="20"/>
        </w:rPr>
        <w:t xml:space="preserve">contas ocorreu em </w:t>
      </w:r>
      <w:r w:rsidR="00C4565A">
        <w:rPr>
          <w:sz w:val="20"/>
          <w:szCs w:val="20"/>
        </w:rPr>
        <w:t>agosto</w:t>
      </w:r>
      <w:r w:rsidR="00C4565A" w:rsidRPr="306F6E40">
        <w:rPr>
          <w:sz w:val="20"/>
          <w:szCs w:val="20"/>
        </w:rPr>
        <w:t xml:space="preserve"> de 2024;</w:t>
      </w:r>
    </w:p>
    <w:p w14:paraId="648A3F4B" w14:textId="1E2775A2" w:rsidR="00703D25" w:rsidRPr="00B36334" w:rsidRDefault="00703D25" w:rsidP="00C000AF">
      <w:pPr>
        <w:pStyle w:val="PargrafodaLista"/>
        <w:widowControl w:val="0"/>
        <w:numPr>
          <w:ilvl w:val="0"/>
          <w:numId w:val="5"/>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w:t>
      </w:r>
      <w:r w:rsidR="00E04049">
        <w:rPr>
          <w:rFonts w:cstheme="minorHAnsi"/>
          <w:sz w:val="20"/>
          <w:szCs w:val="20"/>
        </w:rPr>
        <w:t>°</w:t>
      </w:r>
      <w:r w:rsidRPr="00B36334">
        <w:rPr>
          <w:rFonts w:cstheme="minorHAnsi"/>
          <w:sz w:val="20"/>
          <w:szCs w:val="20"/>
        </w:rPr>
        <w:t xml:space="preserve"> 001/2020</w:t>
      </w:r>
      <w:r w:rsidR="001E33C9">
        <w:rPr>
          <w:rFonts w:cstheme="minorHAnsi"/>
          <w:sz w:val="20"/>
          <w:szCs w:val="20"/>
        </w:rPr>
        <w:t>:</w:t>
      </w:r>
      <w:r w:rsidRPr="00B36334">
        <w:rPr>
          <w:rFonts w:cstheme="minorHAnsi"/>
          <w:sz w:val="20"/>
          <w:szCs w:val="20"/>
        </w:rPr>
        <w:t xml:space="preserve"> </w:t>
      </w:r>
      <w:r w:rsidR="001E33C9">
        <w:rPr>
          <w:rFonts w:cstheme="minorHAnsi"/>
          <w:sz w:val="20"/>
          <w:szCs w:val="20"/>
        </w:rPr>
        <w:t>C</w:t>
      </w:r>
      <w:r w:rsidRPr="00B36334">
        <w:rPr>
          <w:rFonts w:cstheme="minorHAnsi"/>
          <w:sz w:val="20"/>
          <w:szCs w:val="20"/>
        </w:rPr>
        <w:t>elebrado entre a Infra S.A. e o Exército Brasileiro</w:t>
      </w:r>
      <w:r w:rsidR="005A1634">
        <w:rPr>
          <w:rFonts w:cstheme="minorHAnsi"/>
          <w:sz w:val="20"/>
          <w:szCs w:val="20"/>
        </w:rPr>
        <w:t xml:space="preserve"> – EB</w:t>
      </w:r>
      <w:r w:rsidRPr="00B36334">
        <w:rPr>
          <w:rFonts w:cstheme="minorHAnsi"/>
          <w:sz w:val="20"/>
          <w:szCs w:val="20"/>
        </w:rPr>
        <w:t xml:space="preserve">, </w:t>
      </w:r>
      <w:r w:rsidR="00ED0473">
        <w:rPr>
          <w:rFonts w:cstheme="minorHAnsi"/>
          <w:sz w:val="20"/>
          <w:szCs w:val="20"/>
        </w:rPr>
        <w:t>tem por</w:t>
      </w:r>
      <w:r w:rsidRPr="00B36334">
        <w:rPr>
          <w:rFonts w:cstheme="minorHAnsi"/>
          <w:sz w:val="20"/>
          <w:szCs w:val="20"/>
        </w:rPr>
        <w:t xml:space="preserve"> objet</w:t>
      </w:r>
      <w:r w:rsidR="00157D36">
        <w:rPr>
          <w:rFonts w:cstheme="minorHAnsi"/>
          <w:sz w:val="20"/>
          <w:szCs w:val="20"/>
        </w:rPr>
        <w:t>iv</w:t>
      </w:r>
      <w:r w:rsidRPr="00B36334">
        <w:rPr>
          <w:rFonts w:cstheme="minorHAnsi"/>
          <w:sz w:val="20"/>
          <w:szCs w:val="20"/>
        </w:rPr>
        <w:t xml:space="preserve">o a execução de obras remanescentes do subtrecho da Ferrovia de Integração Oeste Leste - FIOL, compreendido </w:t>
      </w:r>
      <w:r w:rsidRPr="00B36334">
        <w:rPr>
          <w:rFonts w:cstheme="minorHAnsi"/>
          <w:sz w:val="20"/>
          <w:szCs w:val="20"/>
        </w:rPr>
        <w:lastRenderedPageBreak/>
        <w:t>entre Ilhéus/BA a Barreiras/BA</w:t>
      </w:r>
      <w:r w:rsidR="00113C4B">
        <w:rPr>
          <w:rFonts w:cstheme="minorHAnsi"/>
          <w:sz w:val="20"/>
          <w:szCs w:val="20"/>
        </w:rPr>
        <w:t>,</w:t>
      </w:r>
      <w:r w:rsidRPr="00B36334">
        <w:rPr>
          <w:rFonts w:cstheme="minorHAnsi"/>
          <w:sz w:val="20"/>
          <w:szCs w:val="20"/>
        </w:rPr>
        <w:t xml:space="preserve"> subtrecho Caetité/BA e Barreiras-BA, referente ao </w:t>
      </w:r>
      <w:r w:rsidR="00E439C5">
        <w:rPr>
          <w:rFonts w:cstheme="minorHAnsi"/>
          <w:sz w:val="20"/>
          <w:szCs w:val="20"/>
        </w:rPr>
        <w:t>L</w:t>
      </w:r>
      <w:r w:rsidRPr="00B36334">
        <w:rPr>
          <w:rFonts w:cstheme="minorHAnsi"/>
          <w:sz w:val="20"/>
          <w:szCs w:val="20"/>
        </w:rPr>
        <w:t>ote 06</w:t>
      </w:r>
      <w:r w:rsidR="00113C4B">
        <w:rPr>
          <w:rFonts w:cstheme="minorHAnsi"/>
          <w:sz w:val="20"/>
          <w:szCs w:val="20"/>
        </w:rPr>
        <w:t>F</w:t>
      </w:r>
      <w:r w:rsidRPr="00B36334">
        <w:rPr>
          <w:rFonts w:cstheme="minorHAnsi"/>
          <w:sz w:val="20"/>
          <w:szCs w:val="20"/>
        </w:rPr>
        <w:t xml:space="preserve"> </w:t>
      </w:r>
      <w:r w:rsidR="00425FF7">
        <w:rPr>
          <w:rFonts w:cstheme="minorHAnsi"/>
          <w:sz w:val="20"/>
          <w:szCs w:val="20"/>
        </w:rPr>
        <w:t>-</w:t>
      </w:r>
      <w:r w:rsidR="00DD5B71" w:rsidRPr="00DD5B71">
        <w:rPr>
          <w:rFonts w:cstheme="minorHAnsi"/>
          <w:sz w:val="20"/>
          <w:szCs w:val="20"/>
        </w:rPr>
        <w:t xml:space="preserve"> da Estrada Vicinal de acesso à BR</w:t>
      </w:r>
      <w:r w:rsidR="00425FF7">
        <w:rPr>
          <w:rFonts w:cstheme="minorHAnsi"/>
          <w:sz w:val="20"/>
          <w:szCs w:val="20"/>
        </w:rPr>
        <w:t>-</w:t>
      </w:r>
      <w:r w:rsidR="00DD5B71" w:rsidRPr="00DD5B71">
        <w:rPr>
          <w:rFonts w:cstheme="minorHAnsi"/>
          <w:sz w:val="20"/>
          <w:szCs w:val="20"/>
        </w:rPr>
        <w:t>135</w:t>
      </w:r>
      <w:r w:rsidRPr="00B36334">
        <w:rPr>
          <w:rFonts w:cstheme="minorHAnsi"/>
          <w:sz w:val="20"/>
          <w:szCs w:val="20"/>
        </w:rPr>
        <w:t xml:space="preserve"> até o início da ponte sobre o rio São Francisco, numa extensão de 18,34km</w:t>
      </w:r>
      <w:r w:rsidRPr="00B5180B">
        <w:rPr>
          <w:rFonts w:cstheme="minorHAnsi"/>
          <w:sz w:val="20"/>
          <w:szCs w:val="20"/>
        </w:rPr>
        <w:t xml:space="preserve">. </w:t>
      </w:r>
      <w:r w:rsidR="002B5418">
        <w:rPr>
          <w:rFonts w:cstheme="minorHAnsi"/>
          <w:sz w:val="20"/>
          <w:szCs w:val="20"/>
        </w:rPr>
        <w:t>Possui</w:t>
      </w:r>
      <w:r w:rsidRPr="00B5180B">
        <w:rPr>
          <w:rFonts w:cstheme="minorHAnsi"/>
          <w:sz w:val="20"/>
          <w:szCs w:val="20"/>
        </w:rPr>
        <w:t xml:space="preserve"> vigência até </w:t>
      </w:r>
      <w:r w:rsidR="002A118F" w:rsidRPr="00B5180B">
        <w:rPr>
          <w:rFonts w:cstheme="minorHAnsi"/>
          <w:sz w:val="20"/>
          <w:szCs w:val="20"/>
        </w:rPr>
        <w:t>9</w:t>
      </w:r>
      <w:r w:rsidRPr="00B5180B">
        <w:rPr>
          <w:rFonts w:cstheme="minorHAnsi"/>
          <w:sz w:val="20"/>
          <w:szCs w:val="20"/>
        </w:rPr>
        <w:t xml:space="preserve"> de setembro de 202</w:t>
      </w:r>
      <w:r w:rsidR="002A118F" w:rsidRPr="00B5180B">
        <w:rPr>
          <w:rFonts w:cstheme="minorHAnsi"/>
          <w:sz w:val="20"/>
          <w:szCs w:val="20"/>
        </w:rPr>
        <w:t xml:space="preserve">4, consoante </w:t>
      </w:r>
      <w:r w:rsidR="00B5180B" w:rsidRPr="00B5180B">
        <w:rPr>
          <w:rFonts w:cstheme="minorHAnsi"/>
          <w:sz w:val="20"/>
          <w:szCs w:val="20"/>
        </w:rPr>
        <w:t>1</w:t>
      </w:r>
      <w:r w:rsidR="00E04049">
        <w:rPr>
          <w:rFonts w:cstheme="minorHAnsi"/>
          <w:sz w:val="20"/>
          <w:szCs w:val="20"/>
        </w:rPr>
        <w:t>°</w:t>
      </w:r>
      <w:r w:rsidR="002A118F" w:rsidRPr="00B5180B">
        <w:rPr>
          <w:rFonts w:cstheme="minorHAnsi"/>
          <w:sz w:val="20"/>
          <w:szCs w:val="20"/>
        </w:rPr>
        <w:t xml:space="preserve"> </w:t>
      </w:r>
      <w:r w:rsidR="00B5180B" w:rsidRPr="00B5180B">
        <w:rPr>
          <w:rFonts w:cstheme="minorHAnsi"/>
          <w:sz w:val="20"/>
          <w:szCs w:val="20"/>
        </w:rPr>
        <w:t>T</w:t>
      </w:r>
      <w:r w:rsidR="002A118F" w:rsidRPr="00B5180B">
        <w:rPr>
          <w:rFonts w:cstheme="minorHAnsi"/>
          <w:sz w:val="20"/>
          <w:szCs w:val="20"/>
        </w:rPr>
        <w:t xml:space="preserve">ermo </w:t>
      </w:r>
      <w:r w:rsidR="00B5180B" w:rsidRPr="00B5180B">
        <w:rPr>
          <w:rFonts w:cstheme="minorHAnsi"/>
          <w:sz w:val="20"/>
          <w:szCs w:val="20"/>
        </w:rPr>
        <w:t>A</w:t>
      </w:r>
      <w:r w:rsidR="002A118F" w:rsidRPr="00B5180B">
        <w:rPr>
          <w:rFonts w:cstheme="minorHAnsi"/>
          <w:sz w:val="20"/>
          <w:szCs w:val="20"/>
        </w:rPr>
        <w:t>ditivo</w:t>
      </w:r>
      <w:r w:rsidRPr="00B5180B">
        <w:rPr>
          <w:rFonts w:cstheme="minorHAnsi"/>
          <w:sz w:val="20"/>
          <w:szCs w:val="20"/>
        </w:rPr>
        <w:t>.</w:t>
      </w:r>
      <w:r w:rsidRPr="00B36334">
        <w:rPr>
          <w:rFonts w:cstheme="minorHAnsi"/>
          <w:sz w:val="20"/>
          <w:szCs w:val="20"/>
        </w:rPr>
        <w:t xml:space="preserve"> O valor relativo ao TED em questão será incorporado ao Ativo Imobilizado da Infra S.A. por ocasião da prestação de contas;</w:t>
      </w:r>
    </w:p>
    <w:p w14:paraId="26AB0806" w14:textId="56095772" w:rsidR="00703D25" w:rsidRPr="00B36334" w:rsidRDefault="00703D25" w:rsidP="00C000AF">
      <w:pPr>
        <w:pStyle w:val="PargrafodaLista"/>
        <w:widowControl w:val="0"/>
        <w:numPr>
          <w:ilvl w:val="0"/>
          <w:numId w:val="5"/>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w:t>
      </w:r>
      <w:r w:rsidR="00E04049">
        <w:rPr>
          <w:rFonts w:cstheme="minorHAnsi"/>
          <w:sz w:val="20"/>
          <w:szCs w:val="20"/>
        </w:rPr>
        <w:t>°</w:t>
      </w:r>
      <w:r w:rsidR="00D3658A">
        <w:rPr>
          <w:rFonts w:cstheme="minorHAnsi"/>
          <w:sz w:val="20"/>
          <w:szCs w:val="20"/>
        </w:rPr>
        <w:t xml:space="preserve"> </w:t>
      </w:r>
      <w:r w:rsidRPr="00B36334">
        <w:rPr>
          <w:rFonts w:cstheme="minorHAnsi"/>
          <w:sz w:val="20"/>
          <w:szCs w:val="20"/>
        </w:rPr>
        <w:t>002/2020</w:t>
      </w:r>
      <w:r w:rsidR="003C45D9">
        <w:rPr>
          <w:rFonts w:cstheme="minorHAnsi"/>
          <w:sz w:val="20"/>
          <w:szCs w:val="20"/>
        </w:rPr>
        <w:t>: C</w:t>
      </w:r>
      <w:r w:rsidRPr="00B36334">
        <w:rPr>
          <w:rFonts w:cstheme="minorHAnsi"/>
          <w:sz w:val="20"/>
          <w:szCs w:val="20"/>
        </w:rPr>
        <w:t>elebrado entre a Infra S.A. e a Universidade de Brasília</w:t>
      </w:r>
      <w:r w:rsidR="00561C84">
        <w:rPr>
          <w:rFonts w:cstheme="minorHAnsi"/>
          <w:sz w:val="20"/>
          <w:szCs w:val="20"/>
        </w:rPr>
        <w:t xml:space="preserve"> – U</w:t>
      </w:r>
      <w:r w:rsidR="00B208EC">
        <w:rPr>
          <w:rFonts w:cstheme="minorHAnsi"/>
          <w:sz w:val="20"/>
          <w:szCs w:val="20"/>
        </w:rPr>
        <w:t>n</w:t>
      </w:r>
      <w:r w:rsidR="00561C84">
        <w:rPr>
          <w:rFonts w:cstheme="minorHAnsi"/>
          <w:sz w:val="20"/>
          <w:szCs w:val="20"/>
        </w:rPr>
        <w:t>B</w:t>
      </w:r>
      <w:r w:rsidRPr="00B36334">
        <w:rPr>
          <w:rFonts w:cstheme="minorHAnsi"/>
          <w:sz w:val="20"/>
          <w:szCs w:val="20"/>
        </w:rPr>
        <w:t xml:space="preserve">, cujo objeto é a avaliação de metodologias desenvolvidas pela Infra S.A. por meio das Notas </w:t>
      </w:r>
      <w:r w:rsidR="00561C84">
        <w:rPr>
          <w:rFonts w:cstheme="minorHAnsi"/>
          <w:sz w:val="20"/>
          <w:szCs w:val="20"/>
        </w:rPr>
        <w:t>T</w:t>
      </w:r>
      <w:r w:rsidRPr="00B36334">
        <w:rPr>
          <w:rFonts w:cstheme="minorHAnsi"/>
          <w:sz w:val="20"/>
          <w:szCs w:val="20"/>
        </w:rPr>
        <w:t xml:space="preserve">écnicas </w:t>
      </w:r>
      <w:r w:rsidR="00626658">
        <w:rPr>
          <w:rFonts w:cstheme="minorHAnsi"/>
          <w:sz w:val="20"/>
          <w:szCs w:val="20"/>
        </w:rPr>
        <w:t>n</w:t>
      </w:r>
      <w:r w:rsidR="00A75C45">
        <w:rPr>
          <w:rFonts w:cstheme="minorHAnsi"/>
          <w:sz w:val="20"/>
          <w:szCs w:val="20"/>
        </w:rPr>
        <w:t>°</w:t>
      </w:r>
      <w:r w:rsidRPr="00B36334">
        <w:rPr>
          <w:rFonts w:cstheme="minorHAnsi"/>
          <w:sz w:val="20"/>
          <w:szCs w:val="20"/>
        </w:rPr>
        <w:t xml:space="preserve"> 57/2019 (Metodologia de Ensaio de Deformação Permanente do Lastro do Lote 5S da Ferrovia Norte Sul Extensão Sul) e </w:t>
      </w:r>
      <w:r w:rsidR="00626658">
        <w:rPr>
          <w:rFonts w:cstheme="minorHAnsi"/>
          <w:sz w:val="20"/>
          <w:szCs w:val="20"/>
        </w:rPr>
        <w:t>nº</w:t>
      </w:r>
      <w:r w:rsidR="003C45D9">
        <w:rPr>
          <w:rFonts w:cstheme="minorHAnsi"/>
          <w:sz w:val="20"/>
          <w:szCs w:val="20"/>
        </w:rPr>
        <w:t xml:space="preserve"> </w:t>
      </w:r>
      <w:r w:rsidRPr="00B36334">
        <w:rPr>
          <w:rFonts w:cstheme="minorHAnsi"/>
          <w:sz w:val="20"/>
          <w:szCs w:val="20"/>
        </w:rPr>
        <w:t>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w:t>
      </w:r>
      <w:r w:rsidR="002C440E">
        <w:rPr>
          <w:rFonts w:cstheme="minorHAnsi"/>
          <w:sz w:val="20"/>
          <w:szCs w:val="20"/>
        </w:rPr>
        <w:t>. A</w:t>
      </w:r>
      <w:r w:rsidRPr="00B36334">
        <w:rPr>
          <w:rFonts w:cstheme="minorHAnsi"/>
          <w:sz w:val="20"/>
          <w:szCs w:val="20"/>
        </w:rPr>
        <w:t xml:space="preserve"> prestação de contas </w:t>
      </w:r>
      <w:r w:rsidR="002C440E">
        <w:rPr>
          <w:rFonts w:cstheme="minorHAnsi"/>
          <w:sz w:val="20"/>
          <w:szCs w:val="20"/>
        </w:rPr>
        <w:t>foi</w:t>
      </w:r>
      <w:r w:rsidR="00810D4C" w:rsidRPr="00B36334">
        <w:rPr>
          <w:rFonts w:cstheme="minorHAnsi"/>
          <w:sz w:val="20"/>
          <w:szCs w:val="20"/>
        </w:rPr>
        <w:t xml:space="preserve"> realizada</w:t>
      </w:r>
      <w:r w:rsidR="002C440E">
        <w:rPr>
          <w:rFonts w:cstheme="minorHAnsi"/>
          <w:sz w:val="20"/>
          <w:szCs w:val="20"/>
        </w:rPr>
        <w:t>, no entanto foi necessário solicitar complementação de documentação, pendentes de entrega por parte da UnB</w:t>
      </w:r>
      <w:r w:rsidRPr="00B36334">
        <w:rPr>
          <w:rFonts w:cstheme="minorHAnsi"/>
          <w:sz w:val="20"/>
          <w:szCs w:val="20"/>
        </w:rPr>
        <w:t>;</w:t>
      </w:r>
    </w:p>
    <w:p w14:paraId="0A5F979D" w14:textId="43E3FBF6" w:rsidR="00703D25" w:rsidRPr="00B36334" w:rsidRDefault="00703D25" w:rsidP="00C000AF">
      <w:pPr>
        <w:pStyle w:val="PargrafodaLista"/>
        <w:widowControl w:val="0"/>
        <w:numPr>
          <w:ilvl w:val="0"/>
          <w:numId w:val="5"/>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w:t>
      </w:r>
      <w:r w:rsidR="001F6893">
        <w:rPr>
          <w:rFonts w:cstheme="minorHAnsi"/>
          <w:sz w:val="20"/>
          <w:szCs w:val="20"/>
        </w:rPr>
        <w:t>n</w:t>
      </w:r>
      <w:r w:rsidR="00E04049">
        <w:rPr>
          <w:rFonts w:cstheme="minorHAnsi"/>
          <w:sz w:val="20"/>
          <w:szCs w:val="20"/>
        </w:rPr>
        <w:t>°</w:t>
      </w:r>
      <w:r w:rsidRPr="00B36334">
        <w:rPr>
          <w:rFonts w:cstheme="minorHAnsi"/>
          <w:sz w:val="20"/>
          <w:szCs w:val="20"/>
        </w:rPr>
        <w:t xml:space="preserve"> 003/2020</w:t>
      </w:r>
      <w:r w:rsidR="003C45D9">
        <w:rPr>
          <w:rFonts w:cstheme="minorHAnsi"/>
          <w:sz w:val="20"/>
          <w:szCs w:val="20"/>
        </w:rPr>
        <w:t>: C</w:t>
      </w:r>
      <w:r w:rsidRPr="00B36334">
        <w:rPr>
          <w:rFonts w:cstheme="minorHAnsi"/>
          <w:sz w:val="20"/>
          <w:szCs w:val="20"/>
        </w:rPr>
        <w:t xml:space="preserve">elebrado entre a Infra S.A. e a UnB, </w:t>
      </w:r>
      <w:r w:rsidR="003C45D9">
        <w:rPr>
          <w:rFonts w:cstheme="minorHAnsi"/>
          <w:sz w:val="20"/>
          <w:szCs w:val="20"/>
        </w:rPr>
        <w:t xml:space="preserve">tem por objetivo </w:t>
      </w:r>
      <w:r w:rsidRPr="00B36334">
        <w:rPr>
          <w:rFonts w:cstheme="minorHAnsi"/>
          <w:sz w:val="20"/>
          <w:szCs w:val="20"/>
        </w:rPr>
        <w:t xml:space="preserve">o desenvolvimento do modelo mental BIM </w:t>
      </w:r>
      <w:r w:rsidR="00703328" w:rsidRPr="000A7473">
        <w:rPr>
          <w:rFonts w:cstheme="minorHAnsi"/>
          <w:sz w:val="20"/>
          <w:szCs w:val="20"/>
        </w:rPr>
        <w:t xml:space="preserve">(Modelagem da Informação da Construção) </w:t>
      </w:r>
      <w:r w:rsidRPr="00B36334">
        <w:rPr>
          <w:rFonts w:cstheme="minorHAnsi"/>
          <w:sz w:val="20"/>
          <w:szCs w:val="20"/>
        </w:rPr>
        <w:t>de forma que os profissionais e pessoas fiquem preparadas para trabalharem de maneira integrada junto com tecnologias GIS</w:t>
      </w:r>
      <w:r w:rsidR="00FC67A1">
        <w:rPr>
          <w:rFonts w:cstheme="minorHAnsi"/>
          <w:sz w:val="20"/>
          <w:szCs w:val="20"/>
        </w:rPr>
        <w:t xml:space="preserve"> </w:t>
      </w:r>
      <w:r w:rsidR="00FC67A1" w:rsidRPr="000A7473">
        <w:rPr>
          <w:rFonts w:cstheme="minorHAnsi"/>
          <w:sz w:val="20"/>
          <w:szCs w:val="20"/>
        </w:rPr>
        <w:t>(Sistema de Informação Geográfica)</w:t>
      </w:r>
      <w:r w:rsidRPr="00B36334">
        <w:rPr>
          <w:rFonts w:cstheme="minorHAnsi"/>
          <w:sz w:val="20"/>
          <w:szCs w:val="20"/>
        </w:rPr>
        <w:t xml:space="preserve">, onde todos interagem ao mesmo tempo, conectados, com a possibilidade de falar com qualquer membro da equipe quando necessário, trocando e compartilhando de forma ostensiva informações, com o desenvolvimento de novas metodologias de integração de softwares. Teve sua vigência expirada em dezembro de 2022, e a prestação de contas </w:t>
      </w:r>
      <w:r w:rsidR="00A748B0" w:rsidRPr="306F6E40">
        <w:rPr>
          <w:sz w:val="20"/>
          <w:szCs w:val="20"/>
        </w:rPr>
        <w:t>ocorreu em abril de 2024;</w:t>
      </w:r>
    </w:p>
    <w:p w14:paraId="46CEA209" w14:textId="02CF8A47" w:rsidR="00EA1C89" w:rsidRPr="00B36334" w:rsidRDefault="00703D25" w:rsidP="00C000AF">
      <w:pPr>
        <w:pStyle w:val="PargrafodaLista"/>
        <w:widowControl w:val="0"/>
        <w:numPr>
          <w:ilvl w:val="0"/>
          <w:numId w:val="5"/>
        </w:numPr>
        <w:tabs>
          <w:tab w:val="left" w:pos="709"/>
        </w:tabs>
        <w:spacing w:after="60" w:line="240" w:lineRule="auto"/>
        <w:ind w:left="714" w:hanging="357"/>
        <w:contextualSpacing w:val="0"/>
        <w:jc w:val="both"/>
        <w:rPr>
          <w:rFonts w:cstheme="minorHAnsi"/>
          <w:sz w:val="20"/>
          <w:szCs w:val="20"/>
        </w:rPr>
      </w:pPr>
      <w:r w:rsidRPr="00B36334">
        <w:rPr>
          <w:rFonts w:cstheme="minorHAnsi"/>
          <w:sz w:val="20"/>
          <w:szCs w:val="20"/>
        </w:rPr>
        <w:t>Termo de Execução Descentralizada n</w:t>
      </w:r>
      <w:r w:rsidR="00217E9B">
        <w:rPr>
          <w:rFonts w:cstheme="minorHAnsi"/>
          <w:sz w:val="20"/>
          <w:szCs w:val="20"/>
        </w:rPr>
        <w:t>°</w:t>
      </w:r>
      <w:r w:rsidR="00217E9B" w:rsidRPr="00B36334">
        <w:rPr>
          <w:rFonts w:cstheme="minorHAnsi"/>
          <w:sz w:val="20"/>
          <w:szCs w:val="20"/>
        </w:rPr>
        <w:t xml:space="preserve"> 00</w:t>
      </w:r>
      <w:r w:rsidR="00217E9B">
        <w:rPr>
          <w:rFonts w:cstheme="minorHAnsi"/>
          <w:sz w:val="20"/>
          <w:szCs w:val="20"/>
        </w:rPr>
        <w:t>1</w:t>
      </w:r>
      <w:r w:rsidR="00217E9B" w:rsidRPr="00B36334">
        <w:rPr>
          <w:rFonts w:cstheme="minorHAnsi"/>
          <w:sz w:val="20"/>
          <w:szCs w:val="20"/>
        </w:rPr>
        <w:t>/202</w:t>
      </w:r>
      <w:r w:rsidR="00217E9B">
        <w:rPr>
          <w:rFonts w:cstheme="minorHAnsi"/>
          <w:sz w:val="20"/>
          <w:szCs w:val="20"/>
        </w:rPr>
        <w:t xml:space="preserve">3: </w:t>
      </w:r>
      <w:r w:rsidR="00E01314">
        <w:rPr>
          <w:rFonts w:cstheme="minorHAnsi"/>
          <w:sz w:val="20"/>
          <w:szCs w:val="20"/>
        </w:rPr>
        <w:t xml:space="preserve">Celebrado entre a Infra S.A. e a </w:t>
      </w:r>
      <w:r w:rsidR="00CB7E56">
        <w:rPr>
          <w:rFonts w:cstheme="minorHAnsi"/>
          <w:sz w:val="20"/>
          <w:szCs w:val="20"/>
        </w:rPr>
        <w:t>Universidade Federal de Lavras</w:t>
      </w:r>
      <w:r w:rsidR="009824C5">
        <w:rPr>
          <w:rFonts w:cstheme="minorHAnsi"/>
          <w:sz w:val="20"/>
          <w:szCs w:val="20"/>
        </w:rPr>
        <w:t xml:space="preserve">, cujo objeto é a </w:t>
      </w:r>
      <w:r w:rsidR="00442AEF">
        <w:rPr>
          <w:rFonts w:cstheme="minorHAnsi"/>
          <w:sz w:val="20"/>
          <w:szCs w:val="20"/>
        </w:rPr>
        <w:t>c</w:t>
      </w:r>
      <w:r w:rsidR="00442AEF" w:rsidRPr="00442AEF">
        <w:rPr>
          <w:rFonts w:cstheme="minorHAnsi"/>
          <w:sz w:val="20"/>
          <w:szCs w:val="20"/>
        </w:rPr>
        <w:t>oncepção e implementação de projeto de pesquisa, inovação, ciência de dados, aprimoramentos tecnológicos, incluindo capacitação, visando potencializar as competências institucionais da INFRA S.A. na aplicação da Inteligência Geográfica em suas operações e atividades.</w:t>
      </w:r>
    </w:p>
    <w:p w14:paraId="2B25CF4B" w14:textId="4481450E" w:rsidR="00703D25" w:rsidRPr="00B36334" w:rsidRDefault="00703D25" w:rsidP="00627139">
      <w:pPr>
        <w:widowControl w:val="0"/>
        <w:tabs>
          <w:tab w:val="left" w:pos="709"/>
        </w:tabs>
        <w:spacing w:before="120"/>
        <w:jc w:val="both"/>
        <w:rPr>
          <w:rFonts w:cstheme="minorHAnsi"/>
          <w:b/>
          <w:bCs/>
          <w:sz w:val="20"/>
          <w:szCs w:val="20"/>
        </w:rPr>
      </w:pPr>
      <w:r w:rsidRPr="00B36334">
        <w:rPr>
          <w:rFonts w:cstheme="minorHAnsi"/>
          <w:b/>
          <w:bCs/>
          <w:sz w:val="20"/>
          <w:szCs w:val="20"/>
        </w:rPr>
        <w:t>b) Acordos de Parceria</w:t>
      </w:r>
    </w:p>
    <w:tbl>
      <w:tblPr>
        <w:tblW w:w="5000" w:type="pct"/>
        <w:tblCellMar>
          <w:left w:w="70" w:type="dxa"/>
          <w:right w:w="70" w:type="dxa"/>
        </w:tblCellMar>
        <w:tblLook w:val="04A0" w:firstRow="1" w:lastRow="0" w:firstColumn="1" w:lastColumn="0" w:noHBand="0" w:noVBand="1"/>
      </w:tblPr>
      <w:tblGrid>
        <w:gridCol w:w="4352"/>
        <w:gridCol w:w="2878"/>
        <w:gridCol w:w="1700"/>
        <w:gridCol w:w="1537"/>
      </w:tblGrid>
      <w:tr w:rsidR="00516B56" w:rsidRPr="00516B56" w14:paraId="3E3BA490" w14:textId="77777777" w:rsidTr="00516B56">
        <w:trPr>
          <w:trHeight w:hRule="exact" w:val="227"/>
        </w:trPr>
        <w:tc>
          <w:tcPr>
            <w:tcW w:w="2079" w:type="pct"/>
            <w:tcBorders>
              <w:top w:val="nil"/>
              <w:left w:val="nil"/>
              <w:bottom w:val="single" w:sz="8" w:space="0" w:color="auto"/>
              <w:right w:val="nil"/>
            </w:tcBorders>
            <w:shd w:val="clear" w:color="000000" w:fill="DEEAF6"/>
            <w:noWrap/>
            <w:vAlign w:val="center"/>
            <w:hideMark/>
          </w:tcPr>
          <w:p w14:paraId="18BC83D2" w14:textId="77777777" w:rsidR="00516B56" w:rsidRPr="00516B56" w:rsidRDefault="00516B56" w:rsidP="00516B56">
            <w:pPr>
              <w:spacing w:after="0" w:line="240" w:lineRule="auto"/>
              <w:rPr>
                <w:rFonts w:ascii="Calibri" w:eastAsia="Times New Roman" w:hAnsi="Calibri" w:cs="Calibri"/>
                <w:b/>
                <w:bCs/>
                <w:color w:val="000000"/>
                <w:sz w:val="18"/>
                <w:szCs w:val="18"/>
              </w:rPr>
            </w:pPr>
            <w:r w:rsidRPr="00516B56">
              <w:rPr>
                <w:rFonts w:ascii="Calibri" w:eastAsia="Times New Roman" w:hAnsi="Calibri" w:cs="Calibri"/>
                <w:b/>
                <w:bCs/>
                <w:color w:val="000000"/>
                <w:sz w:val="18"/>
                <w:szCs w:val="18"/>
              </w:rPr>
              <w:t> </w:t>
            </w:r>
          </w:p>
        </w:tc>
        <w:tc>
          <w:tcPr>
            <w:tcW w:w="1375" w:type="pct"/>
            <w:tcBorders>
              <w:top w:val="nil"/>
              <w:left w:val="nil"/>
              <w:bottom w:val="single" w:sz="8" w:space="0" w:color="auto"/>
              <w:right w:val="nil"/>
            </w:tcBorders>
            <w:shd w:val="clear" w:color="000000" w:fill="DEEAF6"/>
            <w:noWrap/>
            <w:vAlign w:val="center"/>
            <w:hideMark/>
          </w:tcPr>
          <w:p w14:paraId="1319C0F8" w14:textId="77777777"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31/12/2023</w:t>
            </w:r>
          </w:p>
        </w:tc>
        <w:tc>
          <w:tcPr>
            <w:tcW w:w="812" w:type="pct"/>
            <w:tcBorders>
              <w:top w:val="nil"/>
              <w:left w:val="nil"/>
              <w:bottom w:val="single" w:sz="8" w:space="0" w:color="auto"/>
              <w:right w:val="nil"/>
            </w:tcBorders>
            <w:shd w:val="clear" w:color="000000" w:fill="DEEAF6"/>
            <w:noWrap/>
            <w:vAlign w:val="center"/>
            <w:hideMark/>
          </w:tcPr>
          <w:p w14:paraId="5E0CADFA" w14:textId="77777777"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Reclassificação</w:t>
            </w:r>
          </w:p>
        </w:tc>
        <w:tc>
          <w:tcPr>
            <w:tcW w:w="734" w:type="pct"/>
            <w:tcBorders>
              <w:top w:val="nil"/>
              <w:left w:val="nil"/>
              <w:bottom w:val="single" w:sz="8" w:space="0" w:color="auto"/>
              <w:right w:val="nil"/>
            </w:tcBorders>
            <w:shd w:val="clear" w:color="000000" w:fill="DEEAF6"/>
            <w:noWrap/>
            <w:vAlign w:val="center"/>
            <w:hideMark/>
          </w:tcPr>
          <w:p w14:paraId="277B3F64" w14:textId="77777777"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31/03/2024</w:t>
            </w:r>
          </w:p>
        </w:tc>
      </w:tr>
      <w:tr w:rsidR="00516B56" w:rsidRPr="00516B56" w14:paraId="5702168A" w14:textId="77777777" w:rsidTr="00516B56">
        <w:trPr>
          <w:trHeight w:hRule="exact" w:val="227"/>
        </w:trPr>
        <w:tc>
          <w:tcPr>
            <w:tcW w:w="2079" w:type="pct"/>
            <w:tcBorders>
              <w:top w:val="nil"/>
              <w:left w:val="nil"/>
              <w:bottom w:val="nil"/>
              <w:right w:val="nil"/>
            </w:tcBorders>
            <w:shd w:val="clear" w:color="auto" w:fill="auto"/>
            <w:noWrap/>
            <w:vAlign w:val="center"/>
            <w:hideMark/>
          </w:tcPr>
          <w:p w14:paraId="1124FBDC" w14:textId="77777777" w:rsidR="00516B56" w:rsidRPr="00516B56" w:rsidRDefault="00516B56" w:rsidP="00516B56">
            <w:pPr>
              <w:spacing w:after="0" w:line="240" w:lineRule="auto"/>
              <w:rPr>
                <w:rFonts w:ascii="Calibri" w:eastAsia="Times New Roman" w:hAnsi="Calibri" w:cs="Calibri"/>
                <w:color w:val="000000"/>
                <w:sz w:val="16"/>
                <w:szCs w:val="16"/>
              </w:rPr>
            </w:pPr>
            <w:r w:rsidRPr="00516B56">
              <w:rPr>
                <w:rFonts w:ascii="Calibri" w:eastAsia="Times New Roman" w:hAnsi="Calibri" w:cs="Calibri"/>
                <w:color w:val="000000"/>
                <w:sz w:val="16"/>
                <w:szCs w:val="16"/>
              </w:rPr>
              <w:t>I - Programa das Nações Unidas para o Desenvolvimento – PNUD</w:t>
            </w:r>
          </w:p>
        </w:tc>
        <w:tc>
          <w:tcPr>
            <w:tcW w:w="1375" w:type="pct"/>
            <w:tcBorders>
              <w:top w:val="nil"/>
              <w:left w:val="nil"/>
              <w:bottom w:val="nil"/>
              <w:right w:val="nil"/>
            </w:tcBorders>
            <w:shd w:val="clear" w:color="auto" w:fill="auto"/>
            <w:noWrap/>
            <w:vAlign w:val="center"/>
            <w:hideMark/>
          </w:tcPr>
          <w:p w14:paraId="52DEEEB4" w14:textId="330F546E"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12.993.292</w:t>
            </w:r>
          </w:p>
        </w:tc>
        <w:tc>
          <w:tcPr>
            <w:tcW w:w="812" w:type="pct"/>
            <w:tcBorders>
              <w:top w:val="nil"/>
              <w:left w:val="nil"/>
              <w:bottom w:val="nil"/>
              <w:right w:val="nil"/>
            </w:tcBorders>
            <w:shd w:val="clear" w:color="auto" w:fill="auto"/>
            <w:noWrap/>
            <w:vAlign w:val="center"/>
            <w:hideMark/>
          </w:tcPr>
          <w:p w14:paraId="4D7849AE" w14:textId="2AAE1B89"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w:t>
            </w:r>
          </w:p>
        </w:tc>
        <w:tc>
          <w:tcPr>
            <w:tcW w:w="734" w:type="pct"/>
            <w:tcBorders>
              <w:top w:val="nil"/>
              <w:left w:val="nil"/>
              <w:bottom w:val="nil"/>
              <w:right w:val="nil"/>
            </w:tcBorders>
            <w:shd w:val="clear" w:color="auto" w:fill="auto"/>
            <w:noWrap/>
            <w:vAlign w:val="center"/>
            <w:hideMark/>
          </w:tcPr>
          <w:p w14:paraId="1AAF6D55" w14:textId="24E133E5"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12.993.292</w:t>
            </w:r>
          </w:p>
        </w:tc>
      </w:tr>
      <w:tr w:rsidR="00516B56" w:rsidRPr="00516B56" w14:paraId="264571C9" w14:textId="77777777" w:rsidTr="00516B56">
        <w:trPr>
          <w:trHeight w:hRule="exact" w:val="227"/>
        </w:trPr>
        <w:tc>
          <w:tcPr>
            <w:tcW w:w="2079" w:type="pct"/>
            <w:tcBorders>
              <w:top w:val="nil"/>
              <w:left w:val="nil"/>
              <w:bottom w:val="nil"/>
              <w:right w:val="nil"/>
            </w:tcBorders>
            <w:shd w:val="clear" w:color="auto" w:fill="auto"/>
            <w:noWrap/>
            <w:vAlign w:val="center"/>
            <w:hideMark/>
          </w:tcPr>
          <w:p w14:paraId="0627A2F9" w14:textId="77777777" w:rsidR="00516B56" w:rsidRPr="00516B56" w:rsidRDefault="00516B56" w:rsidP="00516B56">
            <w:pPr>
              <w:spacing w:after="0" w:line="240" w:lineRule="auto"/>
              <w:rPr>
                <w:rFonts w:ascii="Calibri" w:eastAsia="Times New Roman" w:hAnsi="Calibri" w:cs="Calibri"/>
                <w:color w:val="000000"/>
                <w:sz w:val="16"/>
                <w:szCs w:val="16"/>
              </w:rPr>
            </w:pPr>
            <w:r w:rsidRPr="00516B56">
              <w:rPr>
                <w:rFonts w:ascii="Calibri" w:eastAsia="Times New Roman" w:hAnsi="Calibri" w:cs="Calibri"/>
                <w:color w:val="000000"/>
                <w:sz w:val="16"/>
                <w:szCs w:val="16"/>
              </w:rPr>
              <w:t>II - Humberto Santana Engenheiros Consultores Ltda</w:t>
            </w:r>
          </w:p>
        </w:tc>
        <w:tc>
          <w:tcPr>
            <w:tcW w:w="1375" w:type="pct"/>
            <w:tcBorders>
              <w:top w:val="nil"/>
              <w:left w:val="nil"/>
              <w:bottom w:val="nil"/>
              <w:right w:val="nil"/>
            </w:tcBorders>
            <w:shd w:val="clear" w:color="auto" w:fill="auto"/>
            <w:noWrap/>
            <w:vAlign w:val="center"/>
            <w:hideMark/>
          </w:tcPr>
          <w:p w14:paraId="39A3E115" w14:textId="61F68399"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1.861.166</w:t>
            </w:r>
          </w:p>
        </w:tc>
        <w:tc>
          <w:tcPr>
            <w:tcW w:w="812" w:type="pct"/>
            <w:tcBorders>
              <w:top w:val="nil"/>
              <w:left w:val="nil"/>
              <w:bottom w:val="nil"/>
              <w:right w:val="nil"/>
            </w:tcBorders>
            <w:shd w:val="clear" w:color="auto" w:fill="auto"/>
            <w:noWrap/>
            <w:vAlign w:val="center"/>
            <w:hideMark/>
          </w:tcPr>
          <w:p w14:paraId="5EFEA610" w14:textId="26C7B699"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1.861.167</w:t>
            </w:r>
          </w:p>
        </w:tc>
        <w:tc>
          <w:tcPr>
            <w:tcW w:w="734" w:type="pct"/>
            <w:tcBorders>
              <w:top w:val="nil"/>
              <w:left w:val="nil"/>
              <w:bottom w:val="nil"/>
              <w:right w:val="nil"/>
            </w:tcBorders>
            <w:shd w:val="clear" w:color="auto" w:fill="auto"/>
            <w:noWrap/>
            <w:vAlign w:val="center"/>
            <w:hideMark/>
          </w:tcPr>
          <w:p w14:paraId="6A359FEF" w14:textId="2456D47C"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3.722.333</w:t>
            </w:r>
          </w:p>
        </w:tc>
      </w:tr>
      <w:tr w:rsidR="00516B56" w:rsidRPr="00516B56" w14:paraId="09B2931E" w14:textId="77777777" w:rsidTr="00516B56">
        <w:trPr>
          <w:trHeight w:hRule="exact" w:val="227"/>
        </w:trPr>
        <w:tc>
          <w:tcPr>
            <w:tcW w:w="2079" w:type="pct"/>
            <w:tcBorders>
              <w:top w:val="nil"/>
              <w:left w:val="nil"/>
              <w:bottom w:val="nil"/>
              <w:right w:val="nil"/>
            </w:tcBorders>
            <w:shd w:val="clear" w:color="auto" w:fill="auto"/>
            <w:noWrap/>
            <w:vAlign w:val="center"/>
            <w:hideMark/>
          </w:tcPr>
          <w:p w14:paraId="512AFD51" w14:textId="77777777" w:rsidR="00516B56" w:rsidRPr="00516B56" w:rsidRDefault="00516B56" w:rsidP="00516B56">
            <w:pPr>
              <w:spacing w:after="0" w:line="240" w:lineRule="auto"/>
              <w:rPr>
                <w:rFonts w:ascii="Calibri" w:eastAsia="Times New Roman" w:hAnsi="Calibri" w:cs="Calibri"/>
                <w:color w:val="000000"/>
                <w:sz w:val="16"/>
                <w:szCs w:val="16"/>
              </w:rPr>
            </w:pPr>
            <w:r w:rsidRPr="00516B56">
              <w:rPr>
                <w:rFonts w:ascii="Calibri" w:eastAsia="Times New Roman" w:hAnsi="Calibri" w:cs="Calibri"/>
                <w:color w:val="000000"/>
                <w:sz w:val="16"/>
                <w:szCs w:val="16"/>
              </w:rPr>
              <w:t xml:space="preserve">III - </w:t>
            </w:r>
            <w:proofErr w:type="spellStart"/>
            <w:r w:rsidRPr="00516B56">
              <w:rPr>
                <w:rFonts w:ascii="Calibri" w:eastAsia="Times New Roman" w:hAnsi="Calibri" w:cs="Calibri"/>
                <w:color w:val="000000"/>
                <w:sz w:val="16"/>
                <w:szCs w:val="16"/>
              </w:rPr>
              <w:t>Strata</w:t>
            </w:r>
            <w:proofErr w:type="spellEnd"/>
            <w:r w:rsidRPr="00516B56">
              <w:rPr>
                <w:rFonts w:ascii="Calibri" w:eastAsia="Times New Roman" w:hAnsi="Calibri" w:cs="Calibri"/>
                <w:color w:val="000000"/>
                <w:sz w:val="16"/>
                <w:szCs w:val="16"/>
              </w:rPr>
              <w:t xml:space="preserve"> Engenharia Ltda</w:t>
            </w:r>
          </w:p>
        </w:tc>
        <w:tc>
          <w:tcPr>
            <w:tcW w:w="1375" w:type="pct"/>
            <w:tcBorders>
              <w:top w:val="nil"/>
              <w:left w:val="nil"/>
              <w:bottom w:val="nil"/>
              <w:right w:val="nil"/>
            </w:tcBorders>
            <w:shd w:val="clear" w:color="auto" w:fill="auto"/>
            <w:noWrap/>
            <w:vAlign w:val="center"/>
            <w:hideMark/>
          </w:tcPr>
          <w:p w14:paraId="7944E955" w14:textId="4F21549D"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5.134.577</w:t>
            </w:r>
          </w:p>
        </w:tc>
        <w:tc>
          <w:tcPr>
            <w:tcW w:w="812" w:type="pct"/>
            <w:tcBorders>
              <w:top w:val="nil"/>
              <w:left w:val="nil"/>
              <w:bottom w:val="nil"/>
              <w:right w:val="nil"/>
            </w:tcBorders>
            <w:shd w:val="clear" w:color="auto" w:fill="auto"/>
            <w:noWrap/>
            <w:vAlign w:val="center"/>
            <w:hideMark/>
          </w:tcPr>
          <w:p w14:paraId="63B86B12" w14:textId="4B4A5503"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(1.861.167)</w:t>
            </w:r>
          </w:p>
        </w:tc>
        <w:tc>
          <w:tcPr>
            <w:tcW w:w="734" w:type="pct"/>
            <w:tcBorders>
              <w:top w:val="nil"/>
              <w:left w:val="nil"/>
              <w:bottom w:val="nil"/>
              <w:right w:val="nil"/>
            </w:tcBorders>
            <w:shd w:val="clear" w:color="auto" w:fill="auto"/>
            <w:noWrap/>
            <w:vAlign w:val="center"/>
            <w:hideMark/>
          </w:tcPr>
          <w:p w14:paraId="34F081DC" w14:textId="1B95B802" w:rsidR="00516B56" w:rsidRPr="00516B56" w:rsidRDefault="00516B56" w:rsidP="00516B56">
            <w:pPr>
              <w:spacing w:after="0" w:line="240" w:lineRule="auto"/>
              <w:jc w:val="right"/>
              <w:rPr>
                <w:rFonts w:ascii="Calibri" w:eastAsia="Times New Roman" w:hAnsi="Calibri" w:cs="Calibri"/>
                <w:color w:val="000000"/>
                <w:sz w:val="16"/>
                <w:szCs w:val="16"/>
              </w:rPr>
            </w:pPr>
            <w:r w:rsidRPr="00516B56">
              <w:rPr>
                <w:rFonts w:ascii="Calibri" w:eastAsia="Times New Roman" w:hAnsi="Calibri" w:cs="Calibri"/>
                <w:color w:val="000000"/>
                <w:sz w:val="16"/>
                <w:szCs w:val="16"/>
              </w:rPr>
              <w:t>3.273.410</w:t>
            </w:r>
          </w:p>
        </w:tc>
      </w:tr>
      <w:tr w:rsidR="00516B56" w:rsidRPr="00516B56" w14:paraId="0042830F" w14:textId="77777777" w:rsidTr="00516B56">
        <w:trPr>
          <w:trHeight w:hRule="exact" w:val="227"/>
        </w:trPr>
        <w:tc>
          <w:tcPr>
            <w:tcW w:w="2079" w:type="pct"/>
            <w:tcBorders>
              <w:top w:val="single" w:sz="8" w:space="0" w:color="auto"/>
              <w:left w:val="nil"/>
              <w:bottom w:val="single" w:sz="8" w:space="0" w:color="auto"/>
              <w:right w:val="nil"/>
            </w:tcBorders>
            <w:shd w:val="clear" w:color="000000" w:fill="DEEAF6"/>
            <w:noWrap/>
            <w:vAlign w:val="center"/>
            <w:hideMark/>
          </w:tcPr>
          <w:p w14:paraId="22C2903C" w14:textId="77777777" w:rsidR="00516B56" w:rsidRPr="00516B56" w:rsidRDefault="00516B56" w:rsidP="00516B56">
            <w:pPr>
              <w:spacing w:after="0" w:line="240" w:lineRule="auto"/>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 xml:space="preserve">Total </w:t>
            </w:r>
          </w:p>
        </w:tc>
        <w:tc>
          <w:tcPr>
            <w:tcW w:w="1375" w:type="pct"/>
            <w:tcBorders>
              <w:top w:val="single" w:sz="8" w:space="0" w:color="auto"/>
              <w:left w:val="nil"/>
              <w:bottom w:val="single" w:sz="8" w:space="0" w:color="auto"/>
              <w:right w:val="nil"/>
            </w:tcBorders>
            <w:shd w:val="clear" w:color="000000" w:fill="DEEAF6"/>
            <w:noWrap/>
            <w:vAlign w:val="center"/>
            <w:hideMark/>
          </w:tcPr>
          <w:p w14:paraId="1D241954" w14:textId="108BA2F9"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19.989.035</w:t>
            </w:r>
          </w:p>
        </w:tc>
        <w:tc>
          <w:tcPr>
            <w:tcW w:w="812" w:type="pct"/>
            <w:tcBorders>
              <w:top w:val="single" w:sz="8" w:space="0" w:color="auto"/>
              <w:left w:val="nil"/>
              <w:bottom w:val="single" w:sz="8" w:space="0" w:color="auto"/>
              <w:right w:val="nil"/>
            </w:tcBorders>
            <w:shd w:val="clear" w:color="000000" w:fill="DEEAF6"/>
            <w:noWrap/>
            <w:vAlign w:val="center"/>
            <w:hideMark/>
          </w:tcPr>
          <w:p w14:paraId="0CEC6297" w14:textId="35FF8A2D"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w:t>
            </w:r>
          </w:p>
        </w:tc>
        <w:tc>
          <w:tcPr>
            <w:tcW w:w="734" w:type="pct"/>
            <w:tcBorders>
              <w:top w:val="single" w:sz="8" w:space="0" w:color="auto"/>
              <w:left w:val="nil"/>
              <w:bottom w:val="single" w:sz="8" w:space="0" w:color="auto"/>
              <w:right w:val="nil"/>
            </w:tcBorders>
            <w:shd w:val="clear" w:color="000000" w:fill="DEEAF6"/>
            <w:noWrap/>
            <w:vAlign w:val="center"/>
            <w:hideMark/>
          </w:tcPr>
          <w:p w14:paraId="638F01BC" w14:textId="5B22CD6F" w:rsidR="00516B56" w:rsidRPr="00516B56" w:rsidRDefault="00516B56" w:rsidP="00516B56">
            <w:pPr>
              <w:spacing w:after="0" w:line="240" w:lineRule="auto"/>
              <w:jc w:val="right"/>
              <w:rPr>
                <w:rFonts w:ascii="Calibri" w:eastAsia="Times New Roman" w:hAnsi="Calibri" w:cs="Calibri"/>
                <w:b/>
                <w:bCs/>
                <w:color w:val="000000"/>
                <w:sz w:val="16"/>
                <w:szCs w:val="16"/>
              </w:rPr>
            </w:pPr>
            <w:r w:rsidRPr="00516B56">
              <w:rPr>
                <w:rFonts w:ascii="Calibri" w:eastAsia="Times New Roman" w:hAnsi="Calibri" w:cs="Calibri"/>
                <w:b/>
                <w:bCs/>
                <w:color w:val="000000"/>
                <w:sz w:val="16"/>
                <w:szCs w:val="16"/>
              </w:rPr>
              <w:t>19.989.035</w:t>
            </w:r>
          </w:p>
        </w:tc>
      </w:tr>
    </w:tbl>
    <w:p w14:paraId="36598CE9" w14:textId="3ABB8962" w:rsidR="00E64065" w:rsidRDefault="00703D25" w:rsidP="00204297">
      <w:pPr>
        <w:pStyle w:val="PargrafodaLista"/>
        <w:widowControl w:val="0"/>
        <w:numPr>
          <w:ilvl w:val="0"/>
          <w:numId w:val="7"/>
        </w:numPr>
        <w:tabs>
          <w:tab w:val="left" w:pos="709"/>
        </w:tabs>
        <w:spacing w:before="120" w:line="240" w:lineRule="auto"/>
        <w:jc w:val="both"/>
        <w:rPr>
          <w:rFonts w:cstheme="minorHAnsi"/>
          <w:sz w:val="20"/>
        </w:rPr>
      </w:pPr>
      <w:r w:rsidRPr="00936D4A">
        <w:rPr>
          <w:rFonts w:cstheme="minorHAnsi"/>
          <w:sz w:val="20"/>
        </w:rPr>
        <w:t xml:space="preserve">Trata-se de recursos aportados ao Programa das Nações Unidas para o Desenvolvimento </w:t>
      </w:r>
      <w:r w:rsidR="007D0722" w:rsidRPr="00936D4A">
        <w:rPr>
          <w:rFonts w:cstheme="minorHAnsi"/>
          <w:sz w:val="20"/>
        </w:rPr>
        <w:t>–</w:t>
      </w:r>
      <w:r w:rsidRPr="00936D4A">
        <w:rPr>
          <w:rFonts w:cstheme="minorHAnsi"/>
          <w:sz w:val="20"/>
        </w:rPr>
        <w:t xml:space="preserve"> PNUD 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1936EEBA" w14:textId="77777777" w:rsidR="00936D4A" w:rsidRPr="00936D4A" w:rsidRDefault="00936D4A" w:rsidP="00936D4A">
      <w:pPr>
        <w:pStyle w:val="PargrafodaLista"/>
        <w:widowControl w:val="0"/>
        <w:tabs>
          <w:tab w:val="left" w:pos="709"/>
        </w:tabs>
        <w:spacing w:after="0" w:line="240" w:lineRule="auto"/>
        <w:ind w:left="360"/>
        <w:jc w:val="both"/>
        <w:rPr>
          <w:rFonts w:cstheme="minorHAnsi"/>
          <w:sz w:val="8"/>
          <w:szCs w:val="10"/>
        </w:rPr>
      </w:pPr>
    </w:p>
    <w:p w14:paraId="5E0A9C41" w14:textId="111BDFA5" w:rsidR="00703D25" w:rsidRDefault="00703D25" w:rsidP="00936D4A">
      <w:pPr>
        <w:pStyle w:val="PargrafodaLista"/>
        <w:widowControl w:val="0"/>
        <w:numPr>
          <w:ilvl w:val="0"/>
          <w:numId w:val="7"/>
        </w:numPr>
        <w:tabs>
          <w:tab w:val="left" w:pos="709"/>
        </w:tabs>
        <w:spacing w:before="120" w:line="240" w:lineRule="auto"/>
        <w:jc w:val="both"/>
        <w:rPr>
          <w:rFonts w:cstheme="minorHAnsi"/>
          <w:sz w:val="20"/>
        </w:rPr>
      </w:pPr>
      <w:r w:rsidRPr="00B36334">
        <w:rPr>
          <w:rFonts w:cstheme="minorHAnsi"/>
          <w:sz w:val="20"/>
        </w:rPr>
        <w:t>Trata-se do Contrato n</w:t>
      </w:r>
      <w:r w:rsidR="00E04049">
        <w:rPr>
          <w:rFonts w:cstheme="minorHAnsi"/>
          <w:sz w:val="20"/>
        </w:rPr>
        <w:t>°</w:t>
      </w:r>
      <w:r w:rsidRPr="00B36334">
        <w:rPr>
          <w:rFonts w:cstheme="minorHAnsi"/>
          <w:sz w:val="20"/>
        </w:rPr>
        <w:t xml:space="preserve"> 012/2022 oriundo do RCE n</w:t>
      </w:r>
      <w:r w:rsidR="00E04049">
        <w:rPr>
          <w:rFonts w:cstheme="minorHAnsi"/>
          <w:sz w:val="20"/>
        </w:rPr>
        <w:t>°</w:t>
      </w:r>
      <w:r w:rsidRPr="00B36334">
        <w:rPr>
          <w:rFonts w:cstheme="minorHAnsi"/>
          <w:sz w:val="20"/>
        </w:rPr>
        <w:t xml:space="preserve"> 01/2022, firmado com a empresa Humberto Santana Engenheiros Consultores L</w:t>
      </w:r>
      <w:r w:rsidR="00B11D57">
        <w:rPr>
          <w:rFonts w:cstheme="minorHAnsi"/>
          <w:sz w:val="20"/>
        </w:rPr>
        <w:t>tda.</w:t>
      </w:r>
      <w:r w:rsidRPr="00B36334">
        <w:rPr>
          <w:rFonts w:cstheme="minorHAnsi"/>
          <w:sz w:val="20"/>
        </w:rPr>
        <w:t>,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w:t>
      </w:r>
      <w:r w:rsidR="00E04049">
        <w:rPr>
          <w:rFonts w:cstheme="minorHAnsi"/>
          <w:sz w:val="20"/>
        </w:rPr>
        <w:t>°</w:t>
      </w:r>
      <w:r w:rsidRPr="00B36334">
        <w:rPr>
          <w:rFonts w:cstheme="minorHAnsi"/>
          <w:sz w:val="20"/>
        </w:rPr>
        <w:t xml:space="preserve"> 13.448</w:t>
      </w:r>
      <w:r w:rsidR="00864B74">
        <w:rPr>
          <w:rFonts w:cstheme="minorHAnsi"/>
          <w:sz w:val="20"/>
        </w:rPr>
        <w:t>/</w:t>
      </w:r>
      <w:r w:rsidRPr="00B36334">
        <w:rPr>
          <w:rFonts w:cstheme="minorHAnsi"/>
          <w:sz w:val="20"/>
        </w:rPr>
        <w:t>2017, de acordo com as condições e quantidades estabelecidas no Projeto Básico.</w:t>
      </w:r>
    </w:p>
    <w:p w14:paraId="5ED0D456" w14:textId="77777777" w:rsidR="004039B1" w:rsidRPr="00936D4A" w:rsidRDefault="004039B1" w:rsidP="004039B1">
      <w:pPr>
        <w:pStyle w:val="PargrafodaLista"/>
        <w:widowControl w:val="0"/>
        <w:tabs>
          <w:tab w:val="left" w:pos="709"/>
        </w:tabs>
        <w:spacing w:line="240" w:lineRule="auto"/>
        <w:jc w:val="both"/>
        <w:rPr>
          <w:rFonts w:cstheme="minorHAnsi"/>
          <w:sz w:val="8"/>
          <w:szCs w:val="10"/>
        </w:rPr>
      </w:pPr>
    </w:p>
    <w:p w14:paraId="5248572A" w14:textId="265A51B2" w:rsidR="00631ED0" w:rsidRPr="00B36334" w:rsidRDefault="00703D25" w:rsidP="004039B1">
      <w:pPr>
        <w:pStyle w:val="PargrafodaLista"/>
        <w:widowControl w:val="0"/>
        <w:numPr>
          <w:ilvl w:val="0"/>
          <w:numId w:val="7"/>
        </w:numPr>
        <w:tabs>
          <w:tab w:val="left" w:pos="709"/>
        </w:tabs>
        <w:spacing w:before="120"/>
        <w:jc w:val="both"/>
        <w:rPr>
          <w:rFonts w:cstheme="minorHAnsi"/>
          <w:sz w:val="20"/>
        </w:rPr>
      </w:pPr>
      <w:r w:rsidRPr="00631ED0">
        <w:rPr>
          <w:rFonts w:cstheme="minorHAnsi"/>
          <w:sz w:val="20"/>
        </w:rPr>
        <w:t>Trata-se do Contrato n</w:t>
      </w:r>
      <w:r w:rsidR="00E04049" w:rsidRPr="00631ED0">
        <w:rPr>
          <w:rFonts w:cstheme="minorHAnsi"/>
          <w:sz w:val="20"/>
        </w:rPr>
        <w:t>°</w:t>
      </w:r>
      <w:r w:rsidRPr="00631ED0">
        <w:rPr>
          <w:rFonts w:cstheme="minorHAnsi"/>
          <w:sz w:val="20"/>
        </w:rPr>
        <w:t xml:space="preserve"> 011/2022 oriundo do RCE n</w:t>
      </w:r>
      <w:r w:rsidR="00E04049" w:rsidRPr="00631ED0">
        <w:rPr>
          <w:rFonts w:cstheme="minorHAnsi"/>
          <w:sz w:val="20"/>
        </w:rPr>
        <w:t>°</w:t>
      </w:r>
      <w:r w:rsidRPr="00631ED0">
        <w:rPr>
          <w:rFonts w:cstheme="minorHAnsi"/>
          <w:sz w:val="20"/>
        </w:rPr>
        <w:t xml:space="preserve"> 01/2022, firmado com a empresa </w:t>
      </w:r>
      <w:proofErr w:type="spellStart"/>
      <w:r w:rsidRPr="00631ED0">
        <w:rPr>
          <w:rFonts w:cstheme="minorHAnsi"/>
          <w:sz w:val="20"/>
        </w:rPr>
        <w:t>Strata</w:t>
      </w:r>
      <w:proofErr w:type="spellEnd"/>
      <w:r w:rsidRPr="00631ED0">
        <w:rPr>
          <w:rFonts w:cstheme="minorHAnsi"/>
          <w:sz w:val="20"/>
        </w:rPr>
        <w:t xml:space="preserve"> Engenharia L</w:t>
      </w:r>
      <w:r w:rsidR="0080224E" w:rsidRPr="00631ED0">
        <w:rPr>
          <w:rFonts w:cstheme="minorHAnsi"/>
          <w:sz w:val="20"/>
        </w:rPr>
        <w:t>tda.</w:t>
      </w:r>
      <w:r w:rsidRPr="00631ED0">
        <w:rPr>
          <w:rFonts w:cstheme="minorHAnsi"/>
          <w:sz w:val="20"/>
        </w:rPr>
        <w:t xml:space="preserve">,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w:t>
      </w:r>
      <w:r w:rsidR="00631ED0" w:rsidRPr="00B36334">
        <w:rPr>
          <w:rFonts w:cstheme="minorHAnsi"/>
          <w:sz w:val="20"/>
        </w:rPr>
        <w:t>Lei n</w:t>
      </w:r>
      <w:r w:rsidR="00631ED0">
        <w:rPr>
          <w:rFonts w:cstheme="minorHAnsi"/>
          <w:sz w:val="20"/>
        </w:rPr>
        <w:t>°</w:t>
      </w:r>
      <w:r w:rsidR="00631ED0" w:rsidRPr="00B36334">
        <w:rPr>
          <w:rFonts w:cstheme="minorHAnsi"/>
          <w:sz w:val="20"/>
        </w:rPr>
        <w:t xml:space="preserve"> 13.448</w:t>
      </w:r>
      <w:r w:rsidR="007D0722">
        <w:rPr>
          <w:rFonts w:cstheme="minorHAnsi"/>
          <w:sz w:val="20"/>
        </w:rPr>
        <w:t>/</w:t>
      </w:r>
      <w:r w:rsidR="00631ED0" w:rsidRPr="00B36334">
        <w:rPr>
          <w:rFonts w:cstheme="minorHAnsi"/>
          <w:sz w:val="20"/>
        </w:rPr>
        <w:t>2017, de acordo com as condições e quantidades estabelecidas no Projeto Básico.</w:t>
      </w:r>
    </w:p>
    <w:p w14:paraId="0DEF560E" w14:textId="5513BE24" w:rsidR="00222462" w:rsidRPr="00B36334" w:rsidRDefault="00703D25" w:rsidP="00936D4A">
      <w:pPr>
        <w:spacing w:before="120" w:after="0" w:line="240" w:lineRule="auto"/>
        <w:jc w:val="both"/>
        <w:rPr>
          <w:rFonts w:cstheme="minorHAnsi"/>
          <w:sz w:val="20"/>
        </w:rPr>
      </w:pPr>
      <w:r w:rsidRPr="00B36334">
        <w:rPr>
          <w:rFonts w:cstheme="minorHAnsi"/>
          <w:sz w:val="20"/>
        </w:rPr>
        <w:t xml:space="preserve">Ambos os casos se </w:t>
      </w:r>
      <w:r w:rsidR="00827A8E" w:rsidRPr="00B36334">
        <w:rPr>
          <w:rFonts w:cstheme="minorHAnsi"/>
          <w:sz w:val="20"/>
        </w:rPr>
        <w:t>trata</w:t>
      </w:r>
      <w:r w:rsidRPr="00B36334">
        <w:rPr>
          <w:rFonts w:cstheme="minorHAnsi"/>
          <w:sz w:val="20"/>
        </w:rPr>
        <w:t xml:space="preserve"> de projetos que serão entregues </w:t>
      </w:r>
      <w:r w:rsidRPr="00B36334">
        <w:rPr>
          <w:rFonts w:cstheme="minorHAnsi"/>
          <w:sz w:val="20"/>
          <w:shd w:val="clear" w:color="auto" w:fill="FFFFFF"/>
        </w:rPr>
        <w:t xml:space="preserve">ao Ministério dos Transportes e ao Ministério dos Portos e Aeroportos, conforme o caso, </w:t>
      </w:r>
      <w:r w:rsidRPr="00B36334">
        <w:rPr>
          <w:rFonts w:cstheme="minorHAnsi"/>
          <w:sz w:val="20"/>
        </w:rPr>
        <w:t xml:space="preserve">a título de prestação de contas pelos TEDs concedidos à Infra S.A., os quais estão apresentados na </w:t>
      </w:r>
      <w:r w:rsidR="00C859EE">
        <w:rPr>
          <w:rFonts w:cstheme="minorHAnsi"/>
          <w:sz w:val="20"/>
        </w:rPr>
        <w:t>Nota Explicativa</w:t>
      </w:r>
      <w:r w:rsidRPr="00B36334">
        <w:rPr>
          <w:rFonts w:cstheme="minorHAnsi"/>
          <w:sz w:val="20"/>
        </w:rPr>
        <w:t xml:space="preserve"> </w:t>
      </w:r>
      <w:r w:rsidR="00F56692">
        <w:rPr>
          <w:rFonts w:cstheme="minorHAnsi"/>
          <w:sz w:val="20"/>
        </w:rPr>
        <w:t>20</w:t>
      </w:r>
      <w:r w:rsidRPr="00B36334">
        <w:rPr>
          <w:rFonts w:cstheme="minorHAnsi"/>
          <w:sz w:val="20"/>
        </w:rPr>
        <w:t>. Referido valor será baixado quando da aprovação dos produtos entregues pelo Ministério.</w:t>
      </w:r>
    </w:p>
    <w:p w14:paraId="5129C656" w14:textId="77777777" w:rsidR="00444FD6" w:rsidRPr="00B36334" w:rsidRDefault="00444FD6" w:rsidP="00A37784">
      <w:pPr>
        <w:spacing w:after="0"/>
        <w:jc w:val="both"/>
        <w:rPr>
          <w:rFonts w:cstheme="minorHAnsi"/>
          <w:sz w:val="20"/>
        </w:rPr>
      </w:pPr>
    </w:p>
    <w:p w14:paraId="4A1A7529" w14:textId="77777777" w:rsidR="00703D25" w:rsidRPr="00B36334" w:rsidRDefault="00381D14" w:rsidP="00D85639">
      <w:pPr>
        <w:pStyle w:val="Ttulo1"/>
      </w:pPr>
      <w:bookmarkStart w:id="30" w:name="_Toc152230728"/>
      <w:bookmarkStart w:id="31" w:name="_Toc184926671"/>
      <w:r w:rsidRPr="00B36334">
        <w:t>8</w:t>
      </w:r>
      <w:r w:rsidR="00703D25" w:rsidRPr="00B36334">
        <w:t xml:space="preserve"> – Demais Créditos e Valores</w:t>
      </w:r>
      <w:bookmarkEnd w:id="30"/>
      <w:bookmarkEnd w:id="31"/>
    </w:p>
    <w:p w14:paraId="740D93E3" w14:textId="4DE02176" w:rsidR="00703D25" w:rsidRPr="00B36334" w:rsidRDefault="00703D25" w:rsidP="00B36334">
      <w:pPr>
        <w:spacing w:before="120"/>
        <w:rPr>
          <w:sz w:val="20"/>
          <w:szCs w:val="20"/>
        </w:rPr>
      </w:pPr>
      <w:bookmarkStart w:id="32" w:name="_Hlk183945203"/>
      <w:r w:rsidRPr="79C7B1C0">
        <w:rPr>
          <w:sz w:val="20"/>
          <w:szCs w:val="20"/>
        </w:rPr>
        <w:t xml:space="preserve">Abaixo apresenta-se a composição </w:t>
      </w:r>
      <w:r w:rsidR="007D0722">
        <w:rPr>
          <w:sz w:val="20"/>
          <w:szCs w:val="20"/>
        </w:rPr>
        <w:t>dos</w:t>
      </w:r>
      <w:r w:rsidRPr="79C7B1C0">
        <w:rPr>
          <w:sz w:val="20"/>
          <w:szCs w:val="20"/>
        </w:rPr>
        <w:t xml:space="preserve"> demais créditos e valores:</w:t>
      </w:r>
      <w:bookmarkEnd w:id="32"/>
    </w:p>
    <w:tbl>
      <w:tblPr>
        <w:tblW w:w="5000" w:type="pct"/>
        <w:tblCellMar>
          <w:left w:w="70" w:type="dxa"/>
          <w:right w:w="70" w:type="dxa"/>
        </w:tblCellMar>
        <w:tblLook w:val="04A0" w:firstRow="1" w:lastRow="0" w:firstColumn="1" w:lastColumn="0" w:noHBand="0" w:noVBand="1"/>
      </w:tblPr>
      <w:tblGrid>
        <w:gridCol w:w="8063"/>
        <w:gridCol w:w="1202"/>
        <w:gridCol w:w="1202"/>
      </w:tblGrid>
      <w:tr w:rsidR="00197497" w:rsidRPr="00197497" w14:paraId="764A8A34" w14:textId="77777777" w:rsidTr="004039B1">
        <w:trPr>
          <w:trHeight w:hRule="exact" w:val="227"/>
        </w:trPr>
        <w:tc>
          <w:tcPr>
            <w:tcW w:w="7607" w:type="dxa"/>
            <w:tcBorders>
              <w:top w:val="nil"/>
              <w:left w:val="nil"/>
              <w:bottom w:val="single" w:sz="8" w:space="0" w:color="auto"/>
              <w:right w:val="nil"/>
            </w:tcBorders>
            <w:shd w:val="clear" w:color="000000" w:fill="DEEAF6"/>
            <w:noWrap/>
            <w:vAlign w:val="center"/>
            <w:hideMark/>
          </w:tcPr>
          <w:p w14:paraId="12956F7C" w14:textId="77777777" w:rsidR="00197497" w:rsidRPr="00197497" w:rsidRDefault="00197497" w:rsidP="00197497">
            <w:pPr>
              <w:spacing w:after="0" w:line="240" w:lineRule="auto"/>
              <w:rPr>
                <w:rFonts w:ascii="Calibri" w:eastAsia="Times New Roman" w:hAnsi="Calibri" w:cs="Calibri"/>
                <w:b/>
                <w:bCs/>
                <w:color w:val="000000"/>
                <w:sz w:val="16"/>
                <w:szCs w:val="16"/>
              </w:rPr>
            </w:pPr>
            <w:bookmarkStart w:id="33" w:name="_Toc152230729"/>
            <w:r w:rsidRPr="00197497">
              <w:rPr>
                <w:rFonts w:ascii="Calibri" w:eastAsia="Times New Roman" w:hAnsi="Calibri" w:cs="Calibri"/>
                <w:b/>
                <w:bCs/>
                <w:color w:val="000000"/>
                <w:sz w:val="16"/>
                <w:szCs w:val="16"/>
              </w:rPr>
              <w:t>Demais Créditos e Valores</w:t>
            </w:r>
          </w:p>
        </w:tc>
        <w:tc>
          <w:tcPr>
            <w:tcW w:w="1134" w:type="dxa"/>
            <w:tcBorders>
              <w:top w:val="nil"/>
              <w:left w:val="nil"/>
              <w:bottom w:val="single" w:sz="8" w:space="0" w:color="auto"/>
              <w:right w:val="nil"/>
            </w:tcBorders>
            <w:shd w:val="clear" w:color="000000" w:fill="DEEAF6"/>
            <w:noWrap/>
            <w:vAlign w:val="center"/>
            <w:hideMark/>
          </w:tcPr>
          <w:p w14:paraId="09E2B36E" w14:textId="77777777"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vAlign w:val="center"/>
            <w:hideMark/>
          </w:tcPr>
          <w:p w14:paraId="590A2C18" w14:textId="77777777"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31/12/2023</w:t>
            </w:r>
          </w:p>
        </w:tc>
      </w:tr>
      <w:tr w:rsidR="00197497" w:rsidRPr="00197497" w14:paraId="2310F37F" w14:textId="77777777" w:rsidTr="004039B1">
        <w:trPr>
          <w:trHeight w:hRule="exact" w:val="227"/>
        </w:trPr>
        <w:tc>
          <w:tcPr>
            <w:tcW w:w="7607" w:type="dxa"/>
            <w:tcBorders>
              <w:top w:val="nil"/>
              <w:left w:val="nil"/>
              <w:bottom w:val="nil"/>
              <w:right w:val="nil"/>
            </w:tcBorders>
            <w:shd w:val="clear" w:color="auto" w:fill="auto"/>
            <w:noWrap/>
            <w:vAlign w:val="center"/>
            <w:hideMark/>
          </w:tcPr>
          <w:p w14:paraId="24A4E5E7" w14:textId="77777777" w:rsidR="00197497" w:rsidRPr="00197497" w:rsidRDefault="00197497" w:rsidP="00197497">
            <w:pPr>
              <w:spacing w:after="0" w:line="240" w:lineRule="auto"/>
              <w:rPr>
                <w:rFonts w:ascii="Calibri" w:eastAsia="Times New Roman" w:hAnsi="Calibri" w:cs="Calibri"/>
                <w:color w:val="000000"/>
                <w:sz w:val="16"/>
                <w:szCs w:val="16"/>
              </w:rPr>
            </w:pPr>
            <w:r w:rsidRPr="00197497">
              <w:rPr>
                <w:rFonts w:ascii="Calibri" w:eastAsia="Times New Roman" w:hAnsi="Calibri" w:cs="Calibri"/>
                <w:color w:val="000000"/>
                <w:sz w:val="16"/>
                <w:szCs w:val="16"/>
              </w:rPr>
              <w:t>Despesas Antecipadas (8.1)</w:t>
            </w:r>
          </w:p>
        </w:tc>
        <w:tc>
          <w:tcPr>
            <w:tcW w:w="1134" w:type="dxa"/>
            <w:tcBorders>
              <w:top w:val="nil"/>
              <w:left w:val="nil"/>
              <w:bottom w:val="nil"/>
              <w:right w:val="nil"/>
            </w:tcBorders>
            <w:shd w:val="clear" w:color="auto" w:fill="auto"/>
            <w:noWrap/>
            <w:vAlign w:val="center"/>
            <w:hideMark/>
          </w:tcPr>
          <w:p w14:paraId="65148FE1"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1.508.352</w:t>
            </w:r>
          </w:p>
        </w:tc>
        <w:tc>
          <w:tcPr>
            <w:tcW w:w="1134" w:type="dxa"/>
            <w:tcBorders>
              <w:top w:val="nil"/>
              <w:left w:val="nil"/>
              <w:bottom w:val="nil"/>
              <w:right w:val="nil"/>
            </w:tcBorders>
            <w:shd w:val="clear" w:color="auto" w:fill="auto"/>
            <w:vAlign w:val="center"/>
            <w:hideMark/>
          </w:tcPr>
          <w:p w14:paraId="60E09715"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1.842.519</w:t>
            </w:r>
          </w:p>
        </w:tc>
      </w:tr>
      <w:tr w:rsidR="00197497" w:rsidRPr="00197497" w14:paraId="79D5EFE8" w14:textId="77777777" w:rsidTr="004039B1">
        <w:trPr>
          <w:trHeight w:hRule="exact" w:val="227"/>
        </w:trPr>
        <w:tc>
          <w:tcPr>
            <w:tcW w:w="7607" w:type="dxa"/>
            <w:tcBorders>
              <w:top w:val="nil"/>
              <w:left w:val="nil"/>
              <w:bottom w:val="nil"/>
              <w:right w:val="nil"/>
            </w:tcBorders>
            <w:shd w:val="clear" w:color="auto" w:fill="auto"/>
            <w:noWrap/>
            <w:vAlign w:val="center"/>
            <w:hideMark/>
          </w:tcPr>
          <w:p w14:paraId="5C5A1412" w14:textId="77777777" w:rsidR="00197497" w:rsidRPr="00197497" w:rsidRDefault="00197497" w:rsidP="00197497">
            <w:pPr>
              <w:spacing w:after="0" w:line="240" w:lineRule="auto"/>
              <w:rPr>
                <w:rFonts w:ascii="Calibri" w:eastAsia="Times New Roman" w:hAnsi="Calibri" w:cs="Calibri"/>
                <w:color w:val="000000"/>
                <w:sz w:val="16"/>
                <w:szCs w:val="16"/>
              </w:rPr>
            </w:pPr>
            <w:r w:rsidRPr="00197497">
              <w:rPr>
                <w:rFonts w:ascii="Calibri" w:eastAsia="Times New Roman" w:hAnsi="Calibri" w:cs="Calibri"/>
                <w:color w:val="000000"/>
                <w:sz w:val="16"/>
                <w:szCs w:val="16"/>
              </w:rPr>
              <w:t>Estoques (8.2)</w:t>
            </w:r>
          </w:p>
        </w:tc>
        <w:tc>
          <w:tcPr>
            <w:tcW w:w="1134" w:type="dxa"/>
            <w:tcBorders>
              <w:top w:val="nil"/>
              <w:left w:val="nil"/>
              <w:bottom w:val="nil"/>
              <w:right w:val="nil"/>
            </w:tcBorders>
            <w:shd w:val="clear" w:color="auto" w:fill="auto"/>
            <w:noWrap/>
            <w:vAlign w:val="center"/>
            <w:hideMark/>
          </w:tcPr>
          <w:p w14:paraId="06C0D494"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335.144</w:t>
            </w:r>
          </w:p>
        </w:tc>
        <w:tc>
          <w:tcPr>
            <w:tcW w:w="1134" w:type="dxa"/>
            <w:tcBorders>
              <w:top w:val="nil"/>
              <w:left w:val="nil"/>
              <w:bottom w:val="nil"/>
              <w:right w:val="nil"/>
            </w:tcBorders>
            <w:shd w:val="clear" w:color="auto" w:fill="auto"/>
            <w:vAlign w:val="center"/>
            <w:hideMark/>
          </w:tcPr>
          <w:p w14:paraId="2EA7E3AB"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335.144</w:t>
            </w:r>
          </w:p>
        </w:tc>
      </w:tr>
      <w:tr w:rsidR="00197497" w:rsidRPr="00197497" w14:paraId="78E53A84" w14:textId="77777777" w:rsidTr="004039B1">
        <w:trPr>
          <w:trHeight w:hRule="exact" w:val="227"/>
        </w:trPr>
        <w:tc>
          <w:tcPr>
            <w:tcW w:w="7607" w:type="dxa"/>
            <w:tcBorders>
              <w:top w:val="nil"/>
              <w:left w:val="nil"/>
              <w:bottom w:val="nil"/>
              <w:right w:val="nil"/>
            </w:tcBorders>
            <w:shd w:val="clear" w:color="auto" w:fill="auto"/>
            <w:noWrap/>
            <w:vAlign w:val="center"/>
            <w:hideMark/>
          </w:tcPr>
          <w:p w14:paraId="1F61A0DA" w14:textId="77777777" w:rsidR="00197497" w:rsidRPr="00197497" w:rsidRDefault="00197497" w:rsidP="00197497">
            <w:pPr>
              <w:spacing w:after="0" w:line="240" w:lineRule="auto"/>
              <w:rPr>
                <w:rFonts w:ascii="Calibri" w:eastAsia="Times New Roman" w:hAnsi="Calibri" w:cs="Calibri"/>
                <w:color w:val="000000"/>
                <w:sz w:val="16"/>
                <w:szCs w:val="16"/>
              </w:rPr>
            </w:pPr>
            <w:r w:rsidRPr="00197497">
              <w:rPr>
                <w:rFonts w:ascii="Calibri" w:eastAsia="Times New Roman" w:hAnsi="Calibri" w:cs="Calibri"/>
                <w:color w:val="000000"/>
                <w:sz w:val="16"/>
                <w:szCs w:val="16"/>
              </w:rPr>
              <w:t>Outros Créditos (8.3)</w:t>
            </w:r>
          </w:p>
        </w:tc>
        <w:tc>
          <w:tcPr>
            <w:tcW w:w="1134" w:type="dxa"/>
            <w:tcBorders>
              <w:top w:val="nil"/>
              <w:left w:val="nil"/>
              <w:bottom w:val="nil"/>
              <w:right w:val="nil"/>
            </w:tcBorders>
            <w:shd w:val="clear" w:color="auto" w:fill="auto"/>
            <w:noWrap/>
            <w:vAlign w:val="center"/>
            <w:hideMark/>
          </w:tcPr>
          <w:p w14:paraId="7F64918D" w14:textId="34E57F1D" w:rsidR="00197497" w:rsidRPr="00197497" w:rsidRDefault="009065A0" w:rsidP="0019749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93.443</w:t>
            </w:r>
          </w:p>
        </w:tc>
        <w:tc>
          <w:tcPr>
            <w:tcW w:w="1134" w:type="dxa"/>
            <w:tcBorders>
              <w:top w:val="nil"/>
              <w:left w:val="nil"/>
              <w:bottom w:val="nil"/>
              <w:right w:val="nil"/>
            </w:tcBorders>
            <w:shd w:val="clear" w:color="auto" w:fill="auto"/>
            <w:vAlign w:val="center"/>
            <w:hideMark/>
          </w:tcPr>
          <w:p w14:paraId="5030BD91"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108.632</w:t>
            </w:r>
          </w:p>
        </w:tc>
      </w:tr>
      <w:tr w:rsidR="00197497" w:rsidRPr="00197497" w14:paraId="3526D07C" w14:textId="77777777" w:rsidTr="004039B1">
        <w:trPr>
          <w:trHeight w:hRule="exact" w:val="227"/>
        </w:trPr>
        <w:tc>
          <w:tcPr>
            <w:tcW w:w="7607" w:type="dxa"/>
            <w:tcBorders>
              <w:top w:val="single" w:sz="8" w:space="0" w:color="auto"/>
              <w:left w:val="nil"/>
              <w:bottom w:val="single" w:sz="8" w:space="0" w:color="auto"/>
              <w:right w:val="nil"/>
            </w:tcBorders>
            <w:shd w:val="clear" w:color="000000" w:fill="DEEAF6"/>
            <w:noWrap/>
            <w:vAlign w:val="center"/>
            <w:hideMark/>
          </w:tcPr>
          <w:p w14:paraId="0D02C7CD" w14:textId="77777777" w:rsidR="00197497" w:rsidRPr="00197497" w:rsidRDefault="00197497" w:rsidP="00197497">
            <w:pPr>
              <w:spacing w:after="0" w:line="240" w:lineRule="auto"/>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Total Ativo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3EB7C20A" w14:textId="4F6D45E0" w:rsidR="00197497" w:rsidRPr="00197497" w:rsidRDefault="00384157" w:rsidP="0019749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r w:rsidR="00DB0129">
              <w:rPr>
                <w:rFonts w:ascii="Calibri" w:eastAsia="Times New Roman" w:hAnsi="Calibri" w:cs="Calibri"/>
                <w:b/>
                <w:bCs/>
                <w:color w:val="000000"/>
                <w:sz w:val="16"/>
                <w:szCs w:val="16"/>
              </w:rPr>
              <w:t>.</w:t>
            </w:r>
            <w:r w:rsidR="00AF5A90">
              <w:rPr>
                <w:rFonts w:ascii="Calibri" w:eastAsia="Times New Roman" w:hAnsi="Calibri" w:cs="Calibri"/>
                <w:b/>
                <w:bCs/>
                <w:color w:val="000000"/>
                <w:sz w:val="16"/>
                <w:szCs w:val="16"/>
              </w:rPr>
              <w:t>936</w:t>
            </w:r>
            <w:r w:rsidR="00DB0129">
              <w:rPr>
                <w:rFonts w:ascii="Calibri" w:eastAsia="Times New Roman" w:hAnsi="Calibri" w:cs="Calibri"/>
                <w:b/>
                <w:bCs/>
                <w:color w:val="000000"/>
                <w:sz w:val="16"/>
                <w:szCs w:val="16"/>
              </w:rPr>
              <w:t>.</w:t>
            </w:r>
            <w:r w:rsidR="00AF5A90">
              <w:rPr>
                <w:rFonts w:ascii="Calibri" w:eastAsia="Times New Roman" w:hAnsi="Calibri" w:cs="Calibri"/>
                <w:b/>
                <w:bCs/>
                <w:color w:val="000000"/>
                <w:sz w:val="16"/>
                <w:szCs w:val="16"/>
              </w:rPr>
              <w:t>939</w:t>
            </w:r>
          </w:p>
        </w:tc>
        <w:tc>
          <w:tcPr>
            <w:tcW w:w="1134" w:type="dxa"/>
            <w:tcBorders>
              <w:top w:val="single" w:sz="8" w:space="0" w:color="auto"/>
              <w:left w:val="nil"/>
              <w:bottom w:val="single" w:sz="8" w:space="0" w:color="auto"/>
              <w:right w:val="nil"/>
            </w:tcBorders>
            <w:shd w:val="clear" w:color="000000" w:fill="DEEAF6"/>
            <w:vAlign w:val="center"/>
            <w:hideMark/>
          </w:tcPr>
          <w:p w14:paraId="2A9BC6D0" w14:textId="77777777"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2.286.295</w:t>
            </w:r>
          </w:p>
        </w:tc>
      </w:tr>
      <w:tr w:rsidR="00197497" w:rsidRPr="00197497" w14:paraId="68A76CD5" w14:textId="77777777" w:rsidTr="004039B1">
        <w:trPr>
          <w:trHeight w:hRule="exact" w:val="227"/>
        </w:trPr>
        <w:tc>
          <w:tcPr>
            <w:tcW w:w="7607" w:type="dxa"/>
            <w:tcBorders>
              <w:top w:val="nil"/>
              <w:left w:val="nil"/>
              <w:bottom w:val="single" w:sz="8" w:space="0" w:color="auto"/>
              <w:right w:val="nil"/>
            </w:tcBorders>
            <w:shd w:val="clear" w:color="auto" w:fill="auto"/>
            <w:noWrap/>
            <w:vAlign w:val="center"/>
            <w:hideMark/>
          </w:tcPr>
          <w:p w14:paraId="2D19045B" w14:textId="77777777" w:rsidR="00197497" w:rsidRPr="00197497" w:rsidRDefault="00197497" w:rsidP="00197497">
            <w:pPr>
              <w:spacing w:after="0" w:line="240" w:lineRule="auto"/>
              <w:rPr>
                <w:rFonts w:ascii="Calibri" w:eastAsia="Times New Roman" w:hAnsi="Calibri" w:cs="Calibri"/>
                <w:color w:val="000000"/>
                <w:sz w:val="16"/>
                <w:szCs w:val="16"/>
              </w:rPr>
            </w:pPr>
            <w:r w:rsidRPr="00197497">
              <w:rPr>
                <w:rFonts w:ascii="Calibri" w:eastAsia="Times New Roman" w:hAnsi="Calibri" w:cs="Calibri"/>
                <w:color w:val="000000"/>
                <w:sz w:val="16"/>
                <w:szCs w:val="16"/>
              </w:rPr>
              <w:t>Despesas Antecipadas (8.1)</w:t>
            </w:r>
          </w:p>
        </w:tc>
        <w:tc>
          <w:tcPr>
            <w:tcW w:w="1134" w:type="dxa"/>
            <w:tcBorders>
              <w:top w:val="nil"/>
              <w:left w:val="nil"/>
              <w:bottom w:val="single" w:sz="8" w:space="0" w:color="auto"/>
              <w:right w:val="nil"/>
            </w:tcBorders>
            <w:shd w:val="clear" w:color="auto" w:fill="auto"/>
            <w:noWrap/>
            <w:vAlign w:val="center"/>
            <w:hideMark/>
          </w:tcPr>
          <w:p w14:paraId="33C8F2B2" w14:textId="06C88B7B"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1.066.46</w:t>
            </w:r>
            <w:r w:rsidR="009A5DFC">
              <w:rPr>
                <w:rFonts w:ascii="Calibri" w:eastAsia="Times New Roman" w:hAnsi="Calibri" w:cs="Calibri"/>
                <w:color w:val="000000"/>
                <w:sz w:val="16"/>
                <w:szCs w:val="16"/>
              </w:rPr>
              <w:t>7</w:t>
            </w:r>
          </w:p>
        </w:tc>
        <w:tc>
          <w:tcPr>
            <w:tcW w:w="1134" w:type="dxa"/>
            <w:tcBorders>
              <w:top w:val="nil"/>
              <w:left w:val="nil"/>
              <w:bottom w:val="single" w:sz="8" w:space="0" w:color="auto"/>
              <w:right w:val="nil"/>
            </w:tcBorders>
            <w:shd w:val="clear" w:color="auto" w:fill="auto"/>
            <w:vAlign w:val="center"/>
            <w:hideMark/>
          </w:tcPr>
          <w:p w14:paraId="3F137620" w14:textId="77777777" w:rsidR="00197497" w:rsidRPr="00197497" w:rsidRDefault="00197497" w:rsidP="00197497">
            <w:pPr>
              <w:spacing w:after="0" w:line="240" w:lineRule="auto"/>
              <w:jc w:val="right"/>
              <w:rPr>
                <w:rFonts w:ascii="Calibri" w:eastAsia="Times New Roman" w:hAnsi="Calibri" w:cs="Calibri"/>
                <w:color w:val="000000"/>
                <w:sz w:val="16"/>
                <w:szCs w:val="16"/>
              </w:rPr>
            </w:pPr>
            <w:r w:rsidRPr="00197497">
              <w:rPr>
                <w:rFonts w:ascii="Calibri" w:eastAsia="Times New Roman" w:hAnsi="Calibri" w:cs="Calibri"/>
                <w:color w:val="000000"/>
                <w:sz w:val="16"/>
                <w:szCs w:val="16"/>
              </w:rPr>
              <w:t>1.254.666</w:t>
            </w:r>
          </w:p>
        </w:tc>
      </w:tr>
      <w:tr w:rsidR="00197497" w:rsidRPr="00197497" w14:paraId="77A0525B" w14:textId="77777777" w:rsidTr="004039B1">
        <w:trPr>
          <w:trHeight w:hRule="exact" w:val="227"/>
        </w:trPr>
        <w:tc>
          <w:tcPr>
            <w:tcW w:w="7607" w:type="dxa"/>
            <w:tcBorders>
              <w:top w:val="nil"/>
              <w:left w:val="nil"/>
              <w:bottom w:val="single" w:sz="8" w:space="0" w:color="auto"/>
              <w:right w:val="nil"/>
            </w:tcBorders>
            <w:shd w:val="clear" w:color="000000" w:fill="DEEAF6"/>
            <w:noWrap/>
            <w:vAlign w:val="center"/>
            <w:hideMark/>
          </w:tcPr>
          <w:p w14:paraId="7A0724F5" w14:textId="77777777" w:rsidR="00197497" w:rsidRPr="00197497" w:rsidRDefault="00197497" w:rsidP="00197497">
            <w:pPr>
              <w:spacing w:after="0" w:line="240" w:lineRule="auto"/>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Total Ativo Não Circulante</w:t>
            </w:r>
          </w:p>
        </w:tc>
        <w:tc>
          <w:tcPr>
            <w:tcW w:w="1134" w:type="dxa"/>
            <w:tcBorders>
              <w:top w:val="nil"/>
              <w:left w:val="nil"/>
              <w:bottom w:val="single" w:sz="8" w:space="0" w:color="auto"/>
              <w:right w:val="nil"/>
            </w:tcBorders>
            <w:shd w:val="clear" w:color="000000" w:fill="DEEAF6"/>
            <w:noWrap/>
            <w:vAlign w:val="center"/>
            <w:hideMark/>
          </w:tcPr>
          <w:p w14:paraId="7F21B553" w14:textId="35079831"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1.066.46</w:t>
            </w:r>
            <w:r w:rsidR="009A5DFC">
              <w:rPr>
                <w:rFonts w:ascii="Calibri" w:eastAsia="Times New Roman" w:hAnsi="Calibri" w:cs="Calibri"/>
                <w:b/>
                <w:bCs/>
                <w:color w:val="000000"/>
                <w:sz w:val="16"/>
                <w:szCs w:val="16"/>
              </w:rPr>
              <w:t>7</w:t>
            </w:r>
          </w:p>
        </w:tc>
        <w:tc>
          <w:tcPr>
            <w:tcW w:w="1134" w:type="dxa"/>
            <w:tcBorders>
              <w:top w:val="nil"/>
              <w:left w:val="nil"/>
              <w:bottom w:val="single" w:sz="8" w:space="0" w:color="auto"/>
              <w:right w:val="nil"/>
            </w:tcBorders>
            <w:shd w:val="clear" w:color="000000" w:fill="DEEAF6"/>
            <w:vAlign w:val="center"/>
            <w:hideMark/>
          </w:tcPr>
          <w:p w14:paraId="4B3627C3" w14:textId="77777777"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1.254.666</w:t>
            </w:r>
          </w:p>
        </w:tc>
      </w:tr>
      <w:tr w:rsidR="00197497" w:rsidRPr="00197497" w14:paraId="21ACB161" w14:textId="77777777" w:rsidTr="004039B1">
        <w:trPr>
          <w:trHeight w:hRule="exact" w:val="227"/>
        </w:trPr>
        <w:tc>
          <w:tcPr>
            <w:tcW w:w="7607" w:type="dxa"/>
            <w:tcBorders>
              <w:top w:val="nil"/>
              <w:left w:val="nil"/>
              <w:bottom w:val="single" w:sz="8" w:space="0" w:color="auto"/>
              <w:right w:val="nil"/>
            </w:tcBorders>
            <w:shd w:val="clear" w:color="000000" w:fill="DEEAF6"/>
            <w:noWrap/>
            <w:vAlign w:val="center"/>
            <w:hideMark/>
          </w:tcPr>
          <w:p w14:paraId="5C846A30" w14:textId="77777777" w:rsidR="00197497" w:rsidRPr="00197497" w:rsidRDefault="00197497" w:rsidP="00197497">
            <w:pPr>
              <w:spacing w:after="0" w:line="240" w:lineRule="auto"/>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Total do Ativo</w:t>
            </w:r>
          </w:p>
        </w:tc>
        <w:tc>
          <w:tcPr>
            <w:tcW w:w="1134" w:type="dxa"/>
            <w:tcBorders>
              <w:top w:val="nil"/>
              <w:left w:val="nil"/>
              <w:bottom w:val="single" w:sz="8" w:space="0" w:color="auto"/>
              <w:right w:val="nil"/>
            </w:tcBorders>
            <w:shd w:val="clear" w:color="000000" w:fill="DEEAF6"/>
            <w:noWrap/>
            <w:vAlign w:val="center"/>
            <w:hideMark/>
          </w:tcPr>
          <w:p w14:paraId="5EEA9A76" w14:textId="168F66B0" w:rsidR="00197497" w:rsidRPr="00197497" w:rsidRDefault="009065A0" w:rsidP="0019749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3.003.40</w:t>
            </w:r>
            <w:r w:rsidR="00C8207D">
              <w:rPr>
                <w:rFonts w:ascii="Calibri" w:eastAsia="Times New Roman" w:hAnsi="Calibri" w:cs="Calibri"/>
                <w:b/>
                <w:bCs/>
                <w:color w:val="000000"/>
                <w:sz w:val="16"/>
                <w:szCs w:val="16"/>
              </w:rPr>
              <w:t>6</w:t>
            </w:r>
          </w:p>
        </w:tc>
        <w:tc>
          <w:tcPr>
            <w:tcW w:w="1134" w:type="dxa"/>
            <w:tcBorders>
              <w:top w:val="nil"/>
              <w:left w:val="nil"/>
              <w:bottom w:val="single" w:sz="8" w:space="0" w:color="auto"/>
              <w:right w:val="nil"/>
            </w:tcBorders>
            <w:shd w:val="clear" w:color="000000" w:fill="DEEAF6"/>
            <w:vAlign w:val="center"/>
            <w:hideMark/>
          </w:tcPr>
          <w:p w14:paraId="693497B4" w14:textId="77777777" w:rsidR="00197497" w:rsidRPr="00197497" w:rsidRDefault="00197497" w:rsidP="00197497">
            <w:pPr>
              <w:spacing w:after="0" w:line="240" w:lineRule="auto"/>
              <w:jc w:val="right"/>
              <w:rPr>
                <w:rFonts w:ascii="Calibri" w:eastAsia="Times New Roman" w:hAnsi="Calibri" w:cs="Calibri"/>
                <w:b/>
                <w:bCs/>
                <w:color w:val="000000"/>
                <w:sz w:val="16"/>
                <w:szCs w:val="16"/>
              </w:rPr>
            </w:pPr>
            <w:r w:rsidRPr="00197497">
              <w:rPr>
                <w:rFonts w:ascii="Calibri" w:eastAsia="Times New Roman" w:hAnsi="Calibri" w:cs="Calibri"/>
                <w:b/>
                <w:bCs/>
                <w:color w:val="000000"/>
                <w:sz w:val="16"/>
                <w:szCs w:val="16"/>
              </w:rPr>
              <w:t>3.540.961</w:t>
            </w:r>
          </w:p>
        </w:tc>
      </w:tr>
    </w:tbl>
    <w:p w14:paraId="22CA4A6B" w14:textId="3A5DAA04" w:rsidR="006D2DDB" w:rsidRPr="00D85639" w:rsidRDefault="00703D25" w:rsidP="00B54D88">
      <w:pPr>
        <w:pStyle w:val="Ttulo2"/>
        <w:spacing w:before="120"/>
      </w:pPr>
      <w:bookmarkStart w:id="34" w:name="_Toc184926672"/>
      <w:r w:rsidRPr="00D85639">
        <w:t xml:space="preserve">8.1 </w:t>
      </w:r>
      <w:r w:rsidR="004B6C8A" w:rsidRPr="00D85639">
        <w:t>–</w:t>
      </w:r>
      <w:r w:rsidR="006D2DDB" w:rsidRPr="00D85639">
        <w:t xml:space="preserve"> Despesas Antecipadas</w:t>
      </w:r>
      <w:bookmarkEnd w:id="33"/>
      <w:bookmarkEnd w:id="34"/>
    </w:p>
    <w:p w14:paraId="4595AA2F" w14:textId="03B88D5B" w:rsidR="00B214FD" w:rsidRPr="00B36334" w:rsidRDefault="0046108A" w:rsidP="00645DFB">
      <w:pPr>
        <w:spacing w:before="120" w:line="240" w:lineRule="auto"/>
        <w:jc w:val="both"/>
        <w:rPr>
          <w:rFonts w:cstheme="minorHAnsi"/>
          <w:sz w:val="20"/>
        </w:rPr>
      </w:pPr>
      <w:r w:rsidRPr="0046108A">
        <w:rPr>
          <w:rFonts w:cstheme="minorHAnsi"/>
          <w:sz w:val="20"/>
        </w:rPr>
        <w:t>Referem-se a</w:t>
      </w:r>
      <w:r w:rsidR="00B214FD" w:rsidRPr="00B36334">
        <w:rPr>
          <w:rFonts w:cstheme="minorHAnsi"/>
          <w:sz w:val="20"/>
        </w:rPr>
        <w:t xml:space="preserve"> despesas pagas antecipadamente </w:t>
      </w:r>
      <w:r w:rsidRPr="0046108A">
        <w:rPr>
          <w:rFonts w:cstheme="minorHAnsi"/>
          <w:sz w:val="20"/>
        </w:rPr>
        <w:t>que serão apropriadas à medida da ocorrência do gasto. Destacam-se as</w:t>
      </w:r>
      <w:r w:rsidR="00B214FD" w:rsidRPr="00B36334">
        <w:rPr>
          <w:rFonts w:cstheme="minorHAnsi"/>
          <w:sz w:val="20"/>
        </w:rPr>
        <w:t xml:space="preserve"> assinaturas de softwares como serviço </w:t>
      </w:r>
      <w:r w:rsidRPr="0046108A">
        <w:rPr>
          <w:rFonts w:cstheme="minorHAnsi"/>
          <w:sz w:val="20"/>
        </w:rPr>
        <w:t>com vigência de 12 meses e 36 meses, e os</w:t>
      </w:r>
      <w:r w:rsidR="00B214FD" w:rsidRPr="00B36334">
        <w:rPr>
          <w:rFonts w:cstheme="minorHAnsi"/>
          <w:sz w:val="20"/>
        </w:rPr>
        <w:t xml:space="preserve"> serviços de manutenção de licenças perpétuas de softwares de modelagem de transportes.</w:t>
      </w:r>
    </w:p>
    <w:tbl>
      <w:tblPr>
        <w:tblW w:w="5000" w:type="pct"/>
        <w:tblCellMar>
          <w:left w:w="70" w:type="dxa"/>
          <w:right w:w="70" w:type="dxa"/>
        </w:tblCellMar>
        <w:tblLook w:val="04A0" w:firstRow="1" w:lastRow="0" w:firstColumn="1" w:lastColumn="0" w:noHBand="0" w:noVBand="1"/>
      </w:tblPr>
      <w:tblGrid>
        <w:gridCol w:w="8057"/>
        <w:gridCol w:w="1205"/>
        <w:gridCol w:w="1205"/>
      </w:tblGrid>
      <w:tr w:rsidR="002C0A64" w:rsidRPr="002C0A64" w14:paraId="6049928D" w14:textId="77777777" w:rsidTr="005D3787">
        <w:trPr>
          <w:trHeight w:hRule="exact" w:val="227"/>
        </w:trPr>
        <w:tc>
          <w:tcPr>
            <w:tcW w:w="7579" w:type="dxa"/>
            <w:tcBorders>
              <w:top w:val="nil"/>
              <w:left w:val="nil"/>
              <w:bottom w:val="single" w:sz="8" w:space="0" w:color="auto"/>
              <w:right w:val="nil"/>
            </w:tcBorders>
            <w:shd w:val="clear" w:color="000000" w:fill="DEEAF6"/>
            <w:noWrap/>
            <w:vAlign w:val="center"/>
            <w:hideMark/>
          </w:tcPr>
          <w:p w14:paraId="51EC73AB" w14:textId="77777777" w:rsidR="002C0A64" w:rsidRPr="002C0A64" w:rsidRDefault="002C0A64" w:rsidP="002C0A64">
            <w:pPr>
              <w:spacing w:after="0" w:line="240" w:lineRule="auto"/>
              <w:rPr>
                <w:rFonts w:ascii="Calibri" w:eastAsia="Times New Roman" w:hAnsi="Calibri" w:cs="Calibri"/>
                <w:b/>
                <w:bCs/>
                <w:color w:val="000000"/>
                <w:sz w:val="16"/>
                <w:szCs w:val="16"/>
              </w:rPr>
            </w:pPr>
            <w:bookmarkStart w:id="35" w:name="_Toc152230730"/>
            <w:r w:rsidRPr="002C0A64">
              <w:rPr>
                <w:rFonts w:ascii="Calibri" w:eastAsia="Times New Roman" w:hAnsi="Calibri" w:cs="Calibri"/>
                <w:b/>
                <w:bCs/>
                <w:color w:val="000000"/>
                <w:sz w:val="16"/>
                <w:szCs w:val="16"/>
              </w:rPr>
              <w:t>Despesas Antecipadas</w:t>
            </w:r>
          </w:p>
        </w:tc>
        <w:tc>
          <w:tcPr>
            <w:tcW w:w="1134" w:type="dxa"/>
            <w:tcBorders>
              <w:top w:val="nil"/>
              <w:left w:val="nil"/>
              <w:bottom w:val="single" w:sz="8" w:space="0" w:color="auto"/>
              <w:right w:val="nil"/>
            </w:tcBorders>
            <w:shd w:val="clear" w:color="000000" w:fill="DEEAF6"/>
            <w:noWrap/>
            <w:vAlign w:val="center"/>
            <w:hideMark/>
          </w:tcPr>
          <w:p w14:paraId="771E478D" w14:textId="77777777"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noWrap/>
            <w:vAlign w:val="center"/>
            <w:hideMark/>
          </w:tcPr>
          <w:p w14:paraId="5FABE3A8" w14:textId="77777777"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31/12/2023</w:t>
            </w:r>
          </w:p>
        </w:tc>
      </w:tr>
      <w:tr w:rsidR="002C0A64" w:rsidRPr="002C0A64" w14:paraId="06C10811" w14:textId="77777777" w:rsidTr="005D3787">
        <w:trPr>
          <w:trHeight w:hRule="exact" w:val="227"/>
        </w:trPr>
        <w:tc>
          <w:tcPr>
            <w:tcW w:w="7579" w:type="dxa"/>
            <w:tcBorders>
              <w:top w:val="nil"/>
              <w:left w:val="nil"/>
              <w:bottom w:val="nil"/>
              <w:right w:val="nil"/>
            </w:tcBorders>
            <w:shd w:val="clear" w:color="auto" w:fill="auto"/>
            <w:noWrap/>
            <w:vAlign w:val="center"/>
            <w:hideMark/>
          </w:tcPr>
          <w:p w14:paraId="018801FE" w14:textId="77777777" w:rsidR="002C0A64" w:rsidRPr="002C0A64" w:rsidRDefault="002C0A64" w:rsidP="002C0A64">
            <w:pPr>
              <w:spacing w:after="0" w:line="240" w:lineRule="auto"/>
              <w:rPr>
                <w:rFonts w:ascii="Calibri" w:eastAsia="Times New Roman" w:hAnsi="Calibri" w:cs="Calibri"/>
                <w:color w:val="000000"/>
                <w:sz w:val="16"/>
                <w:szCs w:val="16"/>
              </w:rPr>
            </w:pPr>
            <w:r w:rsidRPr="002C0A64">
              <w:rPr>
                <w:rFonts w:ascii="Calibri" w:eastAsia="Times New Roman" w:hAnsi="Calibri" w:cs="Calibri"/>
                <w:color w:val="000000"/>
                <w:sz w:val="16"/>
                <w:szCs w:val="16"/>
              </w:rPr>
              <w:t>Assinaturas - 12 meses</w:t>
            </w:r>
          </w:p>
        </w:tc>
        <w:tc>
          <w:tcPr>
            <w:tcW w:w="1134" w:type="dxa"/>
            <w:tcBorders>
              <w:top w:val="nil"/>
              <w:left w:val="nil"/>
              <w:bottom w:val="nil"/>
              <w:right w:val="nil"/>
            </w:tcBorders>
            <w:shd w:val="clear" w:color="auto" w:fill="auto"/>
            <w:noWrap/>
            <w:vAlign w:val="center"/>
            <w:hideMark/>
          </w:tcPr>
          <w:p w14:paraId="59C12DC9" w14:textId="77777777"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1.209.487</w:t>
            </w:r>
          </w:p>
        </w:tc>
        <w:tc>
          <w:tcPr>
            <w:tcW w:w="1134" w:type="dxa"/>
            <w:tcBorders>
              <w:top w:val="nil"/>
              <w:left w:val="nil"/>
              <w:bottom w:val="nil"/>
              <w:right w:val="nil"/>
            </w:tcBorders>
            <w:shd w:val="clear" w:color="auto" w:fill="auto"/>
            <w:noWrap/>
            <w:vAlign w:val="center"/>
            <w:hideMark/>
          </w:tcPr>
          <w:p w14:paraId="630660EB" w14:textId="77777777"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1.823.707</w:t>
            </w:r>
          </w:p>
        </w:tc>
      </w:tr>
      <w:tr w:rsidR="002C0A64" w:rsidRPr="002C0A64" w14:paraId="7C468D66" w14:textId="77777777" w:rsidTr="005D3787">
        <w:trPr>
          <w:trHeight w:hRule="exact" w:val="227"/>
        </w:trPr>
        <w:tc>
          <w:tcPr>
            <w:tcW w:w="7579" w:type="dxa"/>
            <w:tcBorders>
              <w:top w:val="nil"/>
              <w:left w:val="nil"/>
              <w:bottom w:val="nil"/>
              <w:right w:val="nil"/>
            </w:tcBorders>
            <w:shd w:val="clear" w:color="auto" w:fill="auto"/>
            <w:noWrap/>
            <w:vAlign w:val="center"/>
            <w:hideMark/>
          </w:tcPr>
          <w:p w14:paraId="365F2ED8" w14:textId="77777777" w:rsidR="002C0A64" w:rsidRPr="002C0A64" w:rsidRDefault="002C0A64" w:rsidP="002C0A64">
            <w:pPr>
              <w:spacing w:after="0" w:line="240" w:lineRule="auto"/>
              <w:rPr>
                <w:rFonts w:ascii="Calibri" w:eastAsia="Times New Roman" w:hAnsi="Calibri" w:cs="Calibri"/>
                <w:color w:val="000000"/>
                <w:sz w:val="16"/>
                <w:szCs w:val="16"/>
              </w:rPr>
            </w:pPr>
            <w:r w:rsidRPr="002C0A64">
              <w:rPr>
                <w:rFonts w:ascii="Calibri" w:eastAsia="Times New Roman" w:hAnsi="Calibri" w:cs="Calibri"/>
                <w:color w:val="000000"/>
                <w:sz w:val="16"/>
                <w:szCs w:val="16"/>
              </w:rPr>
              <w:t>Outros</w:t>
            </w:r>
          </w:p>
        </w:tc>
        <w:tc>
          <w:tcPr>
            <w:tcW w:w="1134" w:type="dxa"/>
            <w:tcBorders>
              <w:top w:val="nil"/>
              <w:left w:val="nil"/>
              <w:bottom w:val="nil"/>
              <w:right w:val="nil"/>
            </w:tcBorders>
            <w:shd w:val="clear" w:color="auto" w:fill="auto"/>
            <w:noWrap/>
            <w:vAlign w:val="center"/>
            <w:hideMark/>
          </w:tcPr>
          <w:p w14:paraId="7C94F6EC" w14:textId="69D0349E"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298.86</w:t>
            </w:r>
            <w:r w:rsidR="0034046F">
              <w:rPr>
                <w:rFonts w:ascii="Calibri" w:eastAsia="Times New Roman" w:hAnsi="Calibri" w:cs="Calibri"/>
                <w:color w:val="000000"/>
                <w:sz w:val="16"/>
                <w:szCs w:val="16"/>
              </w:rPr>
              <w:t>5</w:t>
            </w:r>
          </w:p>
        </w:tc>
        <w:tc>
          <w:tcPr>
            <w:tcW w:w="1134" w:type="dxa"/>
            <w:tcBorders>
              <w:top w:val="nil"/>
              <w:left w:val="nil"/>
              <w:bottom w:val="nil"/>
              <w:right w:val="nil"/>
            </w:tcBorders>
            <w:shd w:val="clear" w:color="auto" w:fill="auto"/>
            <w:noWrap/>
            <w:vAlign w:val="center"/>
            <w:hideMark/>
          </w:tcPr>
          <w:p w14:paraId="79D1AF7F" w14:textId="77777777"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18.812</w:t>
            </w:r>
          </w:p>
        </w:tc>
      </w:tr>
      <w:tr w:rsidR="002C0A64" w:rsidRPr="002C0A64" w14:paraId="5D8F612F" w14:textId="77777777" w:rsidTr="005D3787">
        <w:trPr>
          <w:trHeight w:hRule="exact" w:val="227"/>
        </w:trPr>
        <w:tc>
          <w:tcPr>
            <w:tcW w:w="7579" w:type="dxa"/>
            <w:tcBorders>
              <w:top w:val="single" w:sz="8" w:space="0" w:color="auto"/>
              <w:left w:val="nil"/>
              <w:bottom w:val="single" w:sz="8" w:space="0" w:color="auto"/>
              <w:right w:val="nil"/>
            </w:tcBorders>
            <w:shd w:val="clear" w:color="000000" w:fill="DEEAF6"/>
            <w:noWrap/>
            <w:vAlign w:val="center"/>
            <w:hideMark/>
          </w:tcPr>
          <w:p w14:paraId="39AB8268" w14:textId="77777777" w:rsidR="002C0A64" w:rsidRPr="002C0A64" w:rsidRDefault="002C0A64" w:rsidP="002C0A64">
            <w:pPr>
              <w:spacing w:after="0" w:line="240" w:lineRule="auto"/>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Total Ativo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03B6AF78" w14:textId="77777777"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1.508.352</w:t>
            </w:r>
          </w:p>
        </w:tc>
        <w:tc>
          <w:tcPr>
            <w:tcW w:w="1134" w:type="dxa"/>
            <w:tcBorders>
              <w:top w:val="single" w:sz="8" w:space="0" w:color="auto"/>
              <w:left w:val="nil"/>
              <w:bottom w:val="single" w:sz="8" w:space="0" w:color="auto"/>
              <w:right w:val="nil"/>
            </w:tcBorders>
            <w:shd w:val="clear" w:color="000000" w:fill="DEEAF6"/>
            <w:noWrap/>
            <w:vAlign w:val="center"/>
            <w:hideMark/>
          </w:tcPr>
          <w:p w14:paraId="12764059" w14:textId="77777777"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1.842.519</w:t>
            </w:r>
          </w:p>
        </w:tc>
      </w:tr>
      <w:tr w:rsidR="002C0A64" w:rsidRPr="002C0A64" w14:paraId="466854D2" w14:textId="77777777" w:rsidTr="005D3787">
        <w:trPr>
          <w:trHeight w:hRule="exact" w:val="227"/>
        </w:trPr>
        <w:tc>
          <w:tcPr>
            <w:tcW w:w="7579" w:type="dxa"/>
            <w:tcBorders>
              <w:top w:val="nil"/>
              <w:left w:val="nil"/>
              <w:bottom w:val="nil"/>
              <w:right w:val="nil"/>
            </w:tcBorders>
            <w:shd w:val="clear" w:color="auto" w:fill="auto"/>
            <w:noWrap/>
            <w:vAlign w:val="center"/>
            <w:hideMark/>
          </w:tcPr>
          <w:p w14:paraId="60903385" w14:textId="77777777" w:rsidR="002C0A64" w:rsidRPr="002C0A64" w:rsidRDefault="002C0A64" w:rsidP="002C0A64">
            <w:pPr>
              <w:spacing w:after="0" w:line="240" w:lineRule="auto"/>
              <w:rPr>
                <w:rFonts w:ascii="Calibri" w:eastAsia="Times New Roman" w:hAnsi="Calibri" w:cs="Calibri"/>
                <w:color w:val="000000"/>
                <w:sz w:val="16"/>
                <w:szCs w:val="16"/>
              </w:rPr>
            </w:pPr>
            <w:r w:rsidRPr="002C0A64">
              <w:rPr>
                <w:rFonts w:ascii="Calibri" w:eastAsia="Times New Roman" w:hAnsi="Calibri" w:cs="Calibri"/>
                <w:color w:val="000000"/>
                <w:sz w:val="16"/>
                <w:szCs w:val="16"/>
              </w:rPr>
              <w:t xml:space="preserve">Assinatura - 36 meses </w:t>
            </w:r>
          </w:p>
        </w:tc>
        <w:tc>
          <w:tcPr>
            <w:tcW w:w="1134" w:type="dxa"/>
            <w:tcBorders>
              <w:top w:val="nil"/>
              <w:left w:val="nil"/>
              <w:bottom w:val="nil"/>
              <w:right w:val="nil"/>
            </w:tcBorders>
            <w:shd w:val="clear" w:color="auto" w:fill="auto"/>
            <w:noWrap/>
            <w:vAlign w:val="center"/>
            <w:hideMark/>
          </w:tcPr>
          <w:p w14:paraId="1715614A" w14:textId="2C150CF9"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1.066.46</w:t>
            </w:r>
            <w:r w:rsidR="009A5DFC">
              <w:rPr>
                <w:rFonts w:ascii="Calibri" w:eastAsia="Times New Roman" w:hAnsi="Calibri" w:cs="Calibri"/>
                <w:color w:val="000000"/>
                <w:sz w:val="16"/>
                <w:szCs w:val="16"/>
              </w:rPr>
              <w:t>7</w:t>
            </w:r>
          </w:p>
        </w:tc>
        <w:tc>
          <w:tcPr>
            <w:tcW w:w="1134" w:type="dxa"/>
            <w:tcBorders>
              <w:top w:val="nil"/>
              <w:left w:val="nil"/>
              <w:bottom w:val="nil"/>
              <w:right w:val="nil"/>
            </w:tcBorders>
            <w:shd w:val="clear" w:color="auto" w:fill="auto"/>
            <w:noWrap/>
            <w:vAlign w:val="center"/>
            <w:hideMark/>
          </w:tcPr>
          <w:p w14:paraId="2A4223E8" w14:textId="2FB2C58D" w:rsidR="002C0A64" w:rsidRPr="002C0A64" w:rsidRDefault="002C0A64" w:rsidP="002C0A64">
            <w:pPr>
              <w:spacing w:after="0" w:line="240" w:lineRule="auto"/>
              <w:jc w:val="right"/>
              <w:rPr>
                <w:rFonts w:ascii="Calibri" w:eastAsia="Times New Roman" w:hAnsi="Calibri" w:cs="Calibri"/>
                <w:color w:val="000000"/>
                <w:sz w:val="16"/>
                <w:szCs w:val="16"/>
              </w:rPr>
            </w:pPr>
            <w:r w:rsidRPr="002C0A64">
              <w:rPr>
                <w:rFonts w:ascii="Calibri" w:eastAsia="Times New Roman" w:hAnsi="Calibri" w:cs="Calibri"/>
                <w:color w:val="000000"/>
                <w:sz w:val="16"/>
                <w:szCs w:val="16"/>
              </w:rPr>
              <w:t>1</w:t>
            </w:r>
            <w:r w:rsidR="00AD6013">
              <w:rPr>
                <w:rFonts w:ascii="Calibri" w:eastAsia="Times New Roman" w:hAnsi="Calibri" w:cs="Calibri"/>
                <w:color w:val="000000"/>
                <w:sz w:val="16"/>
                <w:szCs w:val="16"/>
              </w:rPr>
              <w:t>.</w:t>
            </w:r>
            <w:r w:rsidRPr="002C0A64">
              <w:rPr>
                <w:rFonts w:ascii="Calibri" w:eastAsia="Times New Roman" w:hAnsi="Calibri" w:cs="Calibri"/>
                <w:color w:val="000000"/>
                <w:sz w:val="16"/>
                <w:szCs w:val="16"/>
              </w:rPr>
              <w:t>254</w:t>
            </w:r>
            <w:r w:rsidR="00AD6013">
              <w:rPr>
                <w:rFonts w:ascii="Calibri" w:eastAsia="Times New Roman" w:hAnsi="Calibri" w:cs="Calibri"/>
                <w:color w:val="000000"/>
                <w:sz w:val="16"/>
                <w:szCs w:val="16"/>
              </w:rPr>
              <w:t>.</w:t>
            </w:r>
            <w:r w:rsidRPr="002C0A64">
              <w:rPr>
                <w:rFonts w:ascii="Calibri" w:eastAsia="Times New Roman" w:hAnsi="Calibri" w:cs="Calibri"/>
                <w:color w:val="000000"/>
                <w:sz w:val="16"/>
                <w:szCs w:val="16"/>
              </w:rPr>
              <w:t>666</w:t>
            </w:r>
          </w:p>
        </w:tc>
      </w:tr>
      <w:tr w:rsidR="002C0A64" w:rsidRPr="002C0A64" w14:paraId="169DE889" w14:textId="77777777" w:rsidTr="005D3787">
        <w:trPr>
          <w:trHeight w:hRule="exact" w:val="227"/>
        </w:trPr>
        <w:tc>
          <w:tcPr>
            <w:tcW w:w="7579" w:type="dxa"/>
            <w:tcBorders>
              <w:top w:val="single" w:sz="8" w:space="0" w:color="auto"/>
              <w:left w:val="nil"/>
              <w:bottom w:val="single" w:sz="8" w:space="0" w:color="auto"/>
              <w:right w:val="nil"/>
            </w:tcBorders>
            <w:shd w:val="clear" w:color="000000" w:fill="DEEAF6"/>
            <w:noWrap/>
            <w:vAlign w:val="center"/>
            <w:hideMark/>
          </w:tcPr>
          <w:p w14:paraId="2B8AD874" w14:textId="77777777" w:rsidR="002C0A64" w:rsidRPr="002C0A64" w:rsidRDefault="002C0A64" w:rsidP="002C0A64">
            <w:pPr>
              <w:spacing w:after="0" w:line="240" w:lineRule="auto"/>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Total Ativo Não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089E9DA8" w14:textId="061E63BF"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1.066.46</w:t>
            </w:r>
            <w:r w:rsidR="009A5DFC">
              <w:rPr>
                <w:rFonts w:ascii="Calibri" w:eastAsia="Times New Roman" w:hAnsi="Calibri" w:cs="Calibri"/>
                <w:b/>
                <w:bCs/>
                <w:color w:val="000000"/>
                <w:sz w:val="16"/>
                <w:szCs w:val="16"/>
              </w:rPr>
              <w:t>7</w:t>
            </w:r>
          </w:p>
        </w:tc>
        <w:tc>
          <w:tcPr>
            <w:tcW w:w="1134" w:type="dxa"/>
            <w:tcBorders>
              <w:top w:val="single" w:sz="8" w:space="0" w:color="auto"/>
              <w:left w:val="nil"/>
              <w:bottom w:val="single" w:sz="8" w:space="0" w:color="auto"/>
              <w:right w:val="nil"/>
            </w:tcBorders>
            <w:shd w:val="clear" w:color="000000" w:fill="DEEAF6"/>
            <w:noWrap/>
            <w:vAlign w:val="center"/>
            <w:hideMark/>
          </w:tcPr>
          <w:p w14:paraId="4812DC65" w14:textId="4B5EC59B" w:rsidR="002C0A64" w:rsidRPr="002C0A64" w:rsidRDefault="002C0A64" w:rsidP="002C0A64">
            <w:pPr>
              <w:spacing w:after="0" w:line="240" w:lineRule="auto"/>
              <w:jc w:val="right"/>
              <w:rPr>
                <w:rFonts w:ascii="Calibri" w:eastAsia="Times New Roman" w:hAnsi="Calibri" w:cs="Calibri"/>
                <w:b/>
                <w:bCs/>
                <w:color w:val="000000"/>
                <w:sz w:val="16"/>
                <w:szCs w:val="16"/>
              </w:rPr>
            </w:pPr>
            <w:r w:rsidRPr="002C0A64">
              <w:rPr>
                <w:rFonts w:ascii="Calibri" w:eastAsia="Times New Roman" w:hAnsi="Calibri" w:cs="Calibri"/>
                <w:b/>
                <w:bCs/>
                <w:color w:val="000000"/>
                <w:sz w:val="16"/>
                <w:szCs w:val="16"/>
              </w:rPr>
              <w:t>1</w:t>
            </w:r>
            <w:r w:rsidR="00EF2301">
              <w:rPr>
                <w:rFonts w:ascii="Calibri" w:eastAsia="Times New Roman" w:hAnsi="Calibri" w:cs="Calibri"/>
                <w:b/>
                <w:bCs/>
                <w:color w:val="000000"/>
                <w:sz w:val="16"/>
                <w:szCs w:val="16"/>
              </w:rPr>
              <w:t>.</w:t>
            </w:r>
            <w:r w:rsidRPr="002C0A64">
              <w:rPr>
                <w:rFonts w:ascii="Calibri" w:eastAsia="Times New Roman" w:hAnsi="Calibri" w:cs="Calibri"/>
                <w:b/>
                <w:bCs/>
                <w:color w:val="000000"/>
                <w:sz w:val="16"/>
                <w:szCs w:val="16"/>
              </w:rPr>
              <w:t>254</w:t>
            </w:r>
            <w:r w:rsidR="00EF2301">
              <w:rPr>
                <w:rFonts w:ascii="Calibri" w:eastAsia="Times New Roman" w:hAnsi="Calibri" w:cs="Calibri"/>
                <w:b/>
                <w:bCs/>
                <w:color w:val="000000"/>
                <w:sz w:val="16"/>
                <w:szCs w:val="16"/>
              </w:rPr>
              <w:t>.</w:t>
            </w:r>
            <w:r w:rsidRPr="002C0A64">
              <w:rPr>
                <w:rFonts w:ascii="Calibri" w:eastAsia="Times New Roman" w:hAnsi="Calibri" w:cs="Calibri"/>
                <w:b/>
                <w:bCs/>
                <w:color w:val="000000"/>
                <w:sz w:val="16"/>
                <w:szCs w:val="16"/>
              </w:rPr>
              <w:t>666</w:t>
            </w:r>
          </w:p>
        </w:tc>
      </w:tr>
    </w:tbl>
    <w:p w14:paraId="6807E089" w14:textId="3F865F7E" w:rsidR="006D2DDB" w:rsidRPr="00D85639" w:rsidRDefault="009B745F" w:rsidP="00B54D88">
      <w:pPr>
        <w:pStyle w:val="Ttulo2"/>
        <w:spacing w:before="120"/>
      </w:pPr>
      <w:bookmarkStart w:id="36" w:name="_Toc184926673"/>
      <w:r w:rsidRPr="00D85639">
        <w:t>8</w:t>
      </w:r>
      <w:r w:rsidR="006D2DDB" w:rsidRPr="00D85639">
        <w:t>.2</w:t>
      </w:r>
      <w:r w:rsidR="00D02DF0" w:rsidRPr="00D85639">
        <w:t xml:space="preserve"> </w:t>
      </w:r>
      <w:r w:rsidR="006E2A91" w:rsidRPr="00D85639">
        <w:t>–</w:t>
      </w:r>
      <w:r w:rsidR="00830CF2" w:rsidRPr="00D85639">
        <w:t xml:space="preserve"> </w:t>
      </w:r>
      <w:r w:rsidRPr="00D85639">
        <w:t>Estoques</w:t>
      </w:r>
      <w:bookmarkEnd w:id="35"/>
      <w:bookmarkEnd w:id="36"/>
    </w:p>
    <w:p w14:paraId="05D9F45D" w14:textId="27BB259C" w:rsidR="00307A1A" w:rsidRPr="00B36334" w:rsidRDefault="0003260B" w:rsidP="00B0133D">
      <w:pPr>
        <w:spacing w:before="120"/>
        <w:jc w:val="both"/>
        <w:rPr>
          <w:rFonts w:cstheme="minorHAnsi"/>
          <w:sz w:val="20"/>
          <w:szCs w:val="20"/>
        </w:rPr>
      </w:pPr>
      <w:r w:rsidRPr="0003260B">
        <w:rPr>
          <w:rFonts w:cstheme="minorHAnsi"/>
          <w:sz w:val="20"/>
          <w:szCs w:val="20"/>
        </w:rPr>
        <w:t>Os estoques estão distribuídos da seguinte forma:</w:t>
      </w:r>
    </w:p>
    <w:tbl>
      <w:tblPr>
        <w:tblW w:w="5000" w:type="pct"/>
        <w:tblCellMar>
          <w:left w:w="70" w:type="dxa"/>
          <w:right w:w="70" w:type="dxa"/>
        </w:tblCellMar>
        <w:tblLook w:val="04A0" w:firstRow="1" w:lastRow="0" w:firstColumn="1" w:lastColumn="0" w:noHBand="0" w:noVBand="1"/>
      </w:tblPr>
      <w:tblGrid>
        <w:gridCol w:w="7961"/>
        <w:gridCol w:w="1253"/>
        <w:gridCol w:w="1253"/>
      </w:tblGrid>
      <w:tr w:rsidR="00685405" w:rsidRPr="00685405" w14:paraId="2C2780FE" w14:textId="77777777" w:rsidTr="0074225C">
        <w:trPr>
          <w:trHeight w:hRule="exact" w:val="227"/>
        </w:trPr>
        <w:tc>
          <w:tcPr>
            <w:tcW w:w="7205" w:type="dxa"/>
            <w:tcBorders>
              <w:top w:val="nil"/>
              <w:left w:val="nil"/>
              <w:bottom w:val="single" w:sz="8" w:space="0" w:color="auto"/>
              <w:right w:val="nil"/>
            </w:tcBorders>
            <w:shd w:val="clear" w:color="000000" w:fill="DEEAF6"/>
            <w:noWrap/>
            <w:vAlign w:val="center"/>
            <w:hideMark/>
          </w:tcPr>
          <w:p w14:paraId="2D5773E3" w14:textId="77777777" w:rsidR="00685405" w:rsidRPr="00685405" w:rsidRDefault="00685405" w:rsidP="00685405">
            <w:pPr>
              <w:spacing w:after="0" w:line="240" w:lineRule="auto"/>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Estoque</w:t>
            </w:r>
          </w:p>
        </w:tc>
        <w:tc>
          <w:tcPr>
            <w:tcW w:w="1134" w:type="dxa"/>
            <w:tcBorders>
              <w:top w:val="nil"/>
              <w:left w:val="nil"/>
              <w:bottom w:val="single" w:sz="8" w:space="0" w:color="auto"/>
              <w:right w:val="nil"/>
            </w:tcBorders>
            <w:shd w:val="clear" w:color="000000" w:fill="DEEAF6"/>
            <w:noWrap/>
            <w:vAlign w:val="center"/>
            <w:hideMark/>
          </w:tcPr>
          <w:p w14:paraId="0F05889C" w14:textId="338BFFFF" w:rsidR="00685405" w:rsidRPr="00685405" w:rsidRDefault="00685405" w:rsidP="00685405">
            <w:pPr>
              <w:spacing w:after="0" w:line="240" w:lineRule="auto"/>
              <w:jc w:val="right"/>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31/</w:t>
            </w:r>
            <w:r w:rsidR="00CD04AF">
              <w:rPr>
                <w:rFonts w:ascii="Calibri" w:eastAsia="Times New Roman" w:hAnsi="Calibri" w:cs="Calibri"/>
                <w:b/>
                <w:bCs/>
                <w:color w:val="000000"/>
                <w:sz w:val="16"/>
                <w:szCs w:val="16"/>
              </w:rPr>
              <w:t>03</w:t>
            </w:r>
            <w:r w:rsidRPr="00685405">
              <w:rPr>
                <w:rFonts w:ascii="Calibri" w:eastAsia="Times New Roman" w:hAnsi="Calibri" w:cs="Calibri"/>
                <w:b/>
                <w:bCs/>
                <w:color w:val="000000"/>
                <w:sz w:val="16"/>
                <w:szCs w:val="16"/>
              </w:rPr>
              <w:t>/2024</w:t>
            </w:r>
          </w:p>
        </w:tc>
        <w:tc>
          <w:tcPr>
            <w:tcW w:w="1134" w:type="dxa"/>
            <w:tcBorders>
              <w:top w:val="nil"/>
              <w:left w:val="nil"/>
              <w:bottom w:val="single" w:sz="8" w:space="0" w:color="auto"/>
              <w:right w:val="nil"/>
            </w:tcBorders>
            <w:shd w:val="clear" w:color="000000" w:fill="DEEAF6"/>
            <w:noWrap/>
            <w:vAlign w:val="center"/>
            <w:hideMark/>
          </w:tcPr>
          <w:p w14:paraId="6256848A" w14:textId="77777777" w:rsidR="00685405" w:rsidRPr="00685405" w:rsidRDefault="00685405" w:rsidP="00685405">
            <w:pPr>
              <w:spacing w:after="0" w:line="240" w:lineRule="auto"/>
              <w:jc w:val="right"/>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31/12/2023</w:t>
            </w:r>
          </w:p>
        </w:tc>
      </w:tr>
      <w:tr w:rsidR="00685405" w:rsidRPr="00685405" w14:paraId="1F2A28B6" w14:textId="77777777" w:rsidTr="0074225C">
        <w:trPr>
          <w:trHeight w:hRule="exact" w:val="227"/>
        </w:trPr>
        <w:tc>
          <w:tcPr>
            <w:tcW w:w="7205" w:type="dxa"/>
            <w:tcBorders>
              <w:top w:val="nil"/>
              <w:left w:val="nil"/>
              <w:bottom w:val="nil"/>
              <w:right w:val="nil"/>
            </w:tcBorders>
            <w:shd w:val="clear" w:color="auto" w:fill="auto"/>
            <w:noWrap/>
            <w:vAlign w:val="center"/>
            <w:hideMark/>
          </w:tcPr>
          <w:p w14:paraId="028C6878" w14:textId="77777777" w:rsidR="00685405" w:rsidRPr="00685405" w:rsidRDefault="00685405" w:rsidP="00685405">
            <w:pPr>
              <w:spacing w:after="0" w:line="240" w:lineRule="auto"/>
              <w:rPr>
                <w:rFonts w:ascii="Calibri" w:eastAsia="Times New Roman" w:hAnsi="Calibri" w:cs="Calibri"/>
                <w:color w:val="000000"/>
                <w:sz w:val="16"/>
                <w:szCs w:val="16"/>
              </w:rPr>
            </w:pPr>
            <w:r w:rsidRPr="00685405">
              <w:rPr>
                <w:rFonts w:ascii="Calibri" w:eastAsia="Times New Roman" w:hAnsi="Calibri" w:cs="Calibri"/>
                <w:color w:val="000000"/>
                <w:sz w:val="16"/>
                <w:szCs w:val="16"/>
              </w:rPr>
              <w:t>Serviços em Elaboração</w:t>
            </w:r>
          </w:p>
        </w:tc>
        <w:tc>
          <w:tcPr>
            <w:tcW w:w="1134" w:type="dxa"/>
            <w:tcBorders>
              <w:top w:val="nil"/>
              <w:left w:val="nil"/>
              <w:bottom w:val="nil"/>
              <w:right w:val="nil"/>
            </w:tcBorders>
            <w:shd w:val="clear" w:color="auto" w:fill="auto"/>
            <w:noWrap/>
            <w:vAlign w:val="center"/>
            <w:hideMark/>
          </w:tcPr>
          <w:p w14:paraId="5F906F0D" w14:textId="77777777" w:rsidR="00685405" w:rsidRPr="00685405" w:rsidRDefault="00685405" w:rsidP="00685405">
            <w:pPr>
              <w:spacing w:after="0" w:line="240" w:lineRule="auto"/>
              <w:jc w:val="right"/>
              <w:rPr>
                <w:rFonts w:ascii="Calibri" w:eastAsia="Times New Roman" w:hAnsi="Calibri" w:cs="Calibri"/>
                <w:color w:val="000000"/>
                <w:sz w:val="16"/>
                <w:szCs w:val="16"/>
              </w:rPr>
            </w:pPr>
            <w:r w:rsidRPr="00685405">
              <w:rPr>
                <w:rFonts w:ascii="Calibri" w:eastAsia="Times New Roman" w:hAnsi="Calibri" w:cs="Calibri"/>
                <w:color w:val="000000"/>
                <w:sz w:val="16"/>
                <w:szCs w:val="16"/>
              </w:rPr>
              <w:t>263.991</w:t>
            </w:r>
          </w:p>
        </w:tc>
        <w:tc>
          <w:tcPr>
            <w:tcW w:w="1134" w:type="dxa"/>
            <w:tcBorders>
              <w:top w:val="nil"/>
              <w:left w:val="nil"/>
              <w:bottom w:val="nil"/>
              <w:right w:val="nil"/>
            </w:tcBorders>
            <w:shd w:val="clear" w:color="auto" w:fill="auto"/>
            <w:noWrap/>
            <w:vAlign w:val="center"/>
            <w:hideMark/>
          </w:tcPr>
          <w:p w14:paraId="43012D0D" w14:textId="77777777" w:rsidR="00685405" w:rsidRPr="00685405" w:rsidRDefault="00685405" w:rsidP="00685405">
            <w:pPr>
              <w:spacing w:after="0" w:line="240" w:lineRule="auto"/>
              <w:jc w:val="right"/>
              <w:rPr>
                <w:rFonts w:ascii="Calibri" w:eastAsia="Times New Roman" w:hAnsi="Calibri" w:cs="Calibri"/>
                <w:color w:val="000000"/>
                <w:sz w:val="16"/>
                <w:szCs w:val="16"/>
              </w:rPr>
            </w:pPr>
            <w:r w:rsidRPr="00685405">
              <w:rPr>
                <w:rFonts w:ascii="Calibri" w:eastAsia="Times New Roman" w:hAnsi="Calibri" w:cs="Calibri"/>
                <w:color w:val="000000"/>
                <w:sz w:val="16"/>
                <w:szCs w:val="16"/>
              </w:rPr>
              <w:t>263.991</w:t>
            </w:r>
          </w:p>
        </w:tc>
      </w:tr>
      <w:tr w:rsidR="00685405" w:rsidRPr="00685405" w14:paraId="173D3EC3" w14:textId="77777777" w:rsidTr="0074225C">
        <w:trPr>
          <w:trHeight w:hRule="exact" w:val="227"/>
        </w:trPr>
        <w:tc>
          <w:tcPr>
            <w:tcW w:w="7205" w:type="dxa"/>
            <w:tcBorders>
              <w:top w:val="nil"/>
              <w:left w:val="nil"/>
              <w:bottom w:val="single" w:sz="8" w:space="0" w:color="auto"/>
              <w:right w:val="nil"/>
            </w:tcBorders>
            <w:shd w:val="clear" w:color="auto" w:fill="auto"/>
            <w:noWrap/>
            <w:vAlign w:val="center"/>
            <w:hideMark/>
          </w:tcPr>
          <w:p w14:paraId="2F68918E" w14:textId="77777777" w:rsidR="00685405" w:rsidRPr="00685405" w:rsidRDefault="00685405" w:rsidP="00685405">
            <w:pPr>
              <w:spacing w:after="0" w:line="240" w:lineRule="auto"/>
              <w:rPr>
                <w:rFonts w:ascii="Calibri" w:eastAsia="Times New Roman" w:hAnsi="Calibri" w:cs="Calibri"/>
                <w:color w:val="000000"/>
                <w:sz w:val="16"/>
                <w:szCs w:val="16"/>
              </w:rPr>
            </w:pPr>
            <w:r w:rsidRPr="00685405">
              <w:rPr>
                <w:rFonts w:ascii="Calibri" w:eastAsia="Times New Roman" w:hAnsi="Calibri" w:cs="Calibri"/>
                <w:color w:val="000000"/>
                <w:sz w:val="16"/>
                <w:szCs w:val="16"/>
              </w:rPr>
              <w:t>Almoxarifado</w:t>
            </w:r>
          </w:p>
        </w:tc>
        <w:tc>
          <w:tcPr>
            <w:tcW w:w="1134" w:type="dxa"/>
            <w:tcBorders>
              <w:top w:val="nil"/>
              <w:left w:val="nil"/>
              <w:bottom w:val="single" w:sz="8" w:space="0" w:color="auto"/>
              <w:right w:val="nil"/>
            </w:tcBorders>
            <w:shd w:val="clear" w:color="auto" w:fill="auto"/>
            <w:noWrap/>
            <w:vAlign w:val="center"/>
            <w:hideMark/>
          </w:tcPr>
          <w:p w14:paraId="59A4BA58" w14:textId="77777777" w:rsidR="00685405" w:rsidRPr="00685405" w:rsidRDefault="00685405" w:rsidP="00685405">
            <w:pPr>
              <w:spacing w:after="0" w:line="240" w:lineRule="auto"/>
              <w:jc w:val="right"/>
              <w:rPr>
                <w:rFonts w:ascii="Calibri" w:eastAsia="Times New Roman" w:hAnsi="Calibri" w:cs="Calibri"/>
                <w:color w:val="000000"/>
                <w:sz w:val="16"/>
                <w:szCs w:val="16"/>
              </w:rPr>
            </w:pPr>
            <w:r w:rsidRPr="00685405">
              <w:rPr>
                <w:rFonts w:ascii="Calibri" w:eastAsia="Times New Roman" w:hAnsi="Calibri" w:cs="Calibri"/>
                <w:color w:val="000000"/>
                <w:sz w:val="16"/>
                <w:szCs w:val="16"/>
              </w:rPr>
              <w:t>71.153</w:t>
            </w:r>
          </w:p>
        </w:tc>
        <w:tc>
          <w:tcPr>
            <w:tcW w:w="1134" w:type="dxa"/>
            <w:tcBorders>
              <w:top w:val="nil"/>
              <w:left w:val="nil"/>
              <w:bottom w:val="single" w:sz="8" w:space="0" w:color="auto"/>
              <w:right w:val="nil"/>
            </w:tcBorders>
            <w:shd w:val="clear" w:color="auto" w:fill="auto"/>
            <w:noWrap/>
            <w:vAlign w:val="center"/>
            <w:hideMark/>
          </w:tcPr>
          <w:p w14:paraId="1F8D9FEE" w14:textId="77777777" w:rsidR="00685405" w:rsidRPr="00685405" w:rsidRDefault="00685405" w:rsidP="00685405">
            <w:pPr>
              <w:spacing w:after="0" w:line="240" w:lineRule="auto"/>
              <w:jc w:val="right"/>
              <w:rPr>
                <w:rFonts w:ascii="Calibri" w:eastAsia="Times New Roman" w:hAnsi="Calibri" w:cs="Calibri"/>
                <w:color w:val="000000"/>
                <w:sz w:val="16"/>
                <w:szCs w:val="16"/>
              </w:rPr>
            </w:pPr>
            <w:r w:rsidRPr="00685405">
              <w:rPr>
                <w:rFonts w:ascii="Calibri" w:eastAsia="Times New Roman" w:hAnsi="Calibri" w:cs="Calibri"/>
                <w:color w:val="000000"/>
                <w:sz w:val="16"/>
                <w:szCs w:val="16"/>
              </w:rPr>
              <w:t>71.153</w:t>
            </w:r>
          </w:p>
        </w:tc>
      </w:tr>
      <w:tr w:rsidR="00685405" w:rsidRPr="00685405" w14:paraId="158B9780" w14:textId="77777777" w:rsidTr="0074225C">
        <w:trPr>
          <w:trHeight w:hRule="exact" w:val="227"/>
        </w:trPr>
        <w:tc>
          <w:tcPr>
            <w:tcW w:w="7205" w:type="dxa"/>
            <w:tcBorders>
              <w:top w:val="nil"/>
              <w:left w:val="nil"/>
              <w:bottom w:val="single" w:sz="8" w:space="0" w:color="auto"/>
              <w:right w:val="nil"/>
            </w:tcBorders>
            <w:shd w:val="clear" w:color="000000" w:fill="DEEAF6"/>
            <w:noWrap/>
            <w:vAlign w:val="center"/>
            <w:hideMark/>
          </w:tcPr>
          <w:p w14:paraId="239D7564" w14:textId="77777777" w:rsidR="00685405" w:rsidRPr="00685405" w:rsidRDefault="00685405" w:rsidP="00685405">
            <w:pPr>
              <w:spacing w:after="0" w:line="240" w:lineRule="auto"/>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Total</w:t>
            </w:r>
          </w:p>
        </w:tc>
        <w:tc>
          <w:tcPr>
            <w:tcW w:w="1134" w:type="dxa"/>
            <w:tcBorders>
              <w:top w:val="nil"/>
              <w:left w:val="nil"/>
              <w:bottom w:val="single" w:sz="8" w:space="0" w:color="auto"/>
              <w:right w:val="nil"/>
            </w:tcBorders>
            <w:shd w:val="clear" w:color="000000" w:fill="DEEAF6"/>
            <w:noWrap/>
            <w:vAlign w:val="center"/>
            <w:hideMark/>
          </w:tcPr>
          <w:p w14:paraId="6AAD39CB" w14:textId="77777777" w:rsidR="00685405" w:rsidRPr="00685405" w:rsidRDefault="00685405" w:rsidP="00685405">
            <w:pPr>
              <w:spacing w:after="0" w:line="240" w:lineRule="auto"/>
              <w:jc w:val="right"/>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335.144</w:t>
            </w:r>
          </w:p>
        </w:tc>
        <w:tc>
          <w:tcPr>
            <w:tcW w:w="1134" w:type="dxa"/>
            <w:tcBorders>
              <w:top w:val="nil"/>
              <w:left w:val="nil"/>
              <w:bottom w:val="single" w:sz="8" w:space="0" w:color="auto"/>
              <w:right w:val="nil"/>
            </w:tcBorders>
            <w:shd w:val="clear" w:color="000000" w:fill="DEEAF6"/>
            <w:noWrap/>
            <w:vAlign w:val="center"/>
            <w:hideMark/>
          </w:tcPr>
          <w:p w14:paraId="128F10FE" w14:textId="77777777" w:rsidR="00685405" w:rsidRPr="00685405" w:rsidRDefault="00685405" w:rsidP="00685405">
            <w:pPr>
              <w:spacing w:after="0" w:line="240" w:lineRule="auto"/>
              <w:jc w:val="right"/>
              <w:rPr>
                <w:rFonts w:ascii="Calibri" w:eastAsia="Times New Roman" w:hAnsi="Calibri" w:cs="Calibri"/>
                <w:b/>
                <w:bCs/>
                <w:color w:val="000000"/>
                <w:sz w:val="16"/>
                <w:szCs w:val="16"/>
              </w:rPr>
            </w:pPr>
            <w:r w:rsidRPr="00685405">
              <w:rPr>
                <w:rFonts w:ascii="Calibri" w:eastAsia="Times New Roman" w:hAnsi="Calibri" w:cs="Calibri"/>
                <w:b/>
                <w:bCs/>
                <w:color w:val="000000"/>
                <w:sz w:val="16"/>
                <w:szCs w:val="16"/>
              </w:rPr>
              <w:t>335.144</w:t>
            </w:r>
          </w:p>
        </w:tc>
      </w:tr>
    </w:tbl>
    <w:p w14:paraId="7D7D3BC8" w14:textId="6B854A13" w:rsidR="006D2DDB" w:rsidRPr="00B36334" w:rsidRDefault="006D2DDB" w:rsidP="00645DFB">
      <w:pPr>
        <w:spacing w:before="120" w:line="240" w:lineRule="auto"/>
        <w:jc w:val="both"/>
        <w:rPr>
          <w:rFonts w:cstheme="minorHAnsi"/>
          <w:sz w:val="20"/>
          <w:szCs w:val="20"/>
        </w:rPr>
      </w:pPr>
      <w:r w:rsidRPr="00B36334">
        <w:rPr>
          <w:rFonts w:cstheme="minorHAnsi"/>
          <w:sz w:val="20"/>
          <w:szCs w:val="20"/>
        </w:rPr>
        <w:t xml:space="preserve">Os estoques de serviços em elaboração referem-se ao custo com contratação de empresa especializada para elaboração de projeto conceitual para implantação, operação e manutenção de sistema de Vessel Traffic Service </w:t>
      </w:r>
      <w:r w:rsidR="009B1C0A">
        <w:rPr>
          <w:rFonts w:cstheme="minorHAnsi"/>
          <w:sz w:val="20"/>
          <w:szCs w:val="20"/>
        </w:rPr>
        <w:t xml:space="preserve">– </w:t>
      </w:r>
      <w:r w:rsidRPr="00B36334">
        <w:rPr>
          <w:rFonts w:cstheme="minorHAnsi"/>
          <w:sz w:val="20"/>
          <w:szCs w:val="20"/>
        </w:rPr>
        <w:t>VTS no canal de Paranaguá.</w:t>
      </w:r>
    </w:p>
    <w:p w14:paraId="486B599F" w14:textId="4D4EC7B5" w:rsidR="006D2DDB" w:rsidRDefault="006D2DDB" w:rsidP="00645DFB">
      <w:pPr>
        <w:spacing w:before="120" w:line="240" w:lineRule="auto"/>
        <w:jc w:val="both"/>
        <w:rPr>
          <w:rFonts w:ascii="Calibri" w:hAnsi="Calibri" w:cs="Calibri"/>
        </w:rPr>
      </w:pPr>
      <w:r w:rsidRPr="00B36334">
        <w:rPr>
          <w:rFonts w:cstheme="minorHAnsi"/>
          <w:sz w:val="20"/>
          <w:szCs w:val="20"/>
        </w:rPr>
        <w:t xml:space="preserve">Apresenta-se a seguir o detalhamento dos estoques de </w:t>
      </w:r>
      <w:r w:rsidR="00F01D82">
        <w:rPr>
          <w:rFonts w:cstheme="minorHAnsi"/>
          <w:sz w:val="20"/>
          <w:szCs w:val="20"/>
        </w:rPr>
        <w:t>s</w:t>
      </w:r>
      <w:r w:rsidRPr="00B36334">
        <w:rPr>
          <w:rFonts w:cstheme="minorHAnsi"/>
          <w:sz w:val="20"/>
          <w:szCs w:val="20"/>
        </w:rPr>
        <w:t xml:space="preserve">erviço em </w:t>
      </w:r>
      <w:r w:rsidR="00F01D82">
        <w:rPr>
          <w:rFonts w:cstheme="minorHAnsi"/>
          <w:sz w:val="20"/>
          <w:szCs w:val="20"/>
        </w:rPr>
        <w:t>e</w:t>
      </w:r>
      <w:r w:rsidRPr="00B36334">
        <w:rPr>
          <w:rFonts w:cstheme="minorHAnsi"/>
          <w:sz w:val="20"/>
          <w:szCs w:val="20"/>
        </w:rPr>
        <w:t>laboração:</w:t>
      </w:r>
    </w:p>
    <w:tbl>
      <w:tblPr>
        <w:tblW w:w="5000" w:type="pct"/>
        <w:tblCellMar>
          <w:left w:w="70" w:type="dxa"/>
          <w:right w:w="70" w:type="dxa"/>
        </w:tblCellMar>
        <w:tblLook w:val="04A0" w:firstRow="1" w:lastRow="0" w:firstColumn="1" w:lastColumn="0" w:noHBand="0" w:noVBand="1"/>
      </w:tblPr>
      <w:tblGrid>
        <w:gridCol w:w="2853"/>
        <w:gridCol w:w="5307"/>
        <w:gridCol w:w="2307"/>
      </w:tblGrid>
      <w:tr w:rsidR="006D2DDB" w:rsidRPr="00F72998" w14:paraId="0756BAB2" w14:textId="77777777" w:rsidTr="00B2583C">
        <w:trPr>
          <w:trHeight w:hRule="exact" w:val="227"/>
        </w:trPr>
        <w:tc>
          <w:tcPr>
            <w:tcW w:w="1363" w:type="pct"/>
            <w:tcBorders>
              <w:top w:val="nil"/>
              <w:left w:val="nil"/>
              <w:bottom w:val="single" w:sz="4" w:space="0" w:color="auto"/>
              <w:right w:val="nil"/>
            </w:tcBorders>
            <w:shd w:val="clear" w:color="auto" w:fill="DEEAF6" w:themeFill="accent1" w:themeFillTint="33"/>
            <w:noWrap/>
            <w:vAlign w:val="bottom"/>
            <w:hideMark/>
          </w:tcPr>
          <w:p w14:paraId="595A0D3D"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Contrato</w:t>
            </w:r>
          </w:p>
        </w:tc>
        <w:tc>
          <w:tcPr>
            <w:tcW w:w="2535" w:type="pct"/>
            <w:tcBorders>
              <w:top w:val="nil"/>
              <w:left w:val="nil"/>
              <w:bottom w:val="single" w:sz="4" w:space="0" w:color="auto"/>
              <w:right w:val="nil"/>
            </w:tcBorders>
            <w:shd w:val="clear" w:color="auto" w:fill="DEEAF6" w:themeFill="accent1" w:themeFillTint="33"/>
            <w:vAlign w:val="bottom"/>
            <w:hideMark/>
          </w:tcPr>
          <w:p w14:paraId="6EBACD40" w14:textId="77777777" w:rsidR="006D2DDB" w:rsidRPr="00261C79" w:rsidRDefault="006D2DDB" w:rsidP="00CD32F4">
            <w:pPr>
              <w:spacing w:after="0"/>
              <w:rPr>
                <w:rFonts w:ascii="Calibri" w:hAnsi="Calibri" w:cs="Calibri"/>
                <w:b/>
                <w:sz w:val="16"/>
                <w:szCs w:val="16"/>
              </w:rPr>
            </w:pPr>
            <w:r w:rsidRPr="00261C79">
              <w:rPr>
                <w:rFonts w:ascii="Calibri" w:hAnsi="Calibri" w:cs="Calibri"/>
                <w:b/>
                <w:sz w:val="16"/>
                <w:szCs w:val="16"/>
              </w:rPr>
              <w:t>Porto</w:t>
            </w:r>
          </w:p>
        </w:tc>
        <w:tc>
          <w:tcPr>
            <w:tcW w:w="1102" w:type="pct"/>
            <w:tcBorders>
              <w:top w:val="nil"/>
              <w:left w:val="nil"/>
              <w:bottom w:val="single" w:sz="4" w:space="0" w:color="auto"/>
              <w:right w:val="nil"/>
            </w:tcBorders>
            <w:shd w:val="clear" w:color="auto" w:fill="DEEAF6" w:themeFill="accent1" w:themeFillTint="33"/>
            <w:vAlign w:val="bottom"/>
            <w:hideMark/>
          </w:tcPr>
          <w:p w14:paraId="183A157A" w14:textId="3774C23E"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w:t>
            </w:r>
            <w:r w:rsidR="00137522">
              <w:rPr>
                <w:rFonts w:ascii="Calibri" w:hAnsi="Calibri" w:cs="Calibri"/>
                <w:b/>
                <w:sz w:val="16"/>
                <w:szCs w:val="16"/>
              </w:rPr>
              <w:t>1</w:t>
            </w:r>
            <w:r w:rsidRPr="00261C79">
              <w:rPr>
                <w:rFonts w:ascii="Calibri" w:hAnsi="Calibri" w:cs="Calibri"/>
                <w:b/>
                <w:sz w:val="16"/>
                <w:szCs w:val="16"/>
              </w:rPr>
              <w:t>/</w:t>
            </w:r>
            <w:r w:rsidR="003A3285">
              <w:rPr>
                <w:rFonts w:ascii="Calibri" w:hAnsi="Calibri" w:cs="Calibri"/>
                <w:b/>
                <w:sz w:val="16"/>
                <w:szCs w:val="16"/>
              </w:rPr>
              <w:t>03</w:t>
            </w:r>
            <w:r w:rsidRPr="00261C79">
              <w:rPr>
                <w:rFonts w:ascii="Calibri" w:hAnsi="Calibri" w:cs="Calibri"/>
                <w:b/>
                <w:sz w:val="16"/>
                <w:szCs w:val="16"/>
              </w:rPr>
              <w:t>/202</w:t>
            </w:r>
            <w:r w:rsidR="003A3285">
              <w:rPr>
                <w:rFonts w:ascii="Calibri" w:hAnsi="Calibri" w:cs="Calibri"/>
                <w:b/>
                <w:sz w:val="16"/>
                <w:szCs w:val="16"/>
              </w:rPr>
              <w:t>4</w:t>
            </w:r>
          </w:p>
        </w:tc>
      </w:tr>
      <w:tr w:rsidR="006D2DDB" w:rsidRPr="00F72998" w14:paraId="79BB3588" w14:textId="77777777" w:rsidTr="00B2583C">
        <w:trPr>
          <w:trHeight w:hRule="exact" w:val="227"/>
        </w:trPr>
        <w:tc>
          <w:tcPr>
            <w:tcW w:w="1363" w:type="pct"/>
            <w:tcBorders>
              <w:top w:val="nil"/>
              <w:left w:val="nil"/>
              <w:bottom w:val="nil"/>
              <w:right w:val="nil"/>
            </w:tcBorders>
            <w:shd w:val="clear" w:color="auto" w:fill="auto"/>
            <w:noWrap/>
            <w:vAlign w:val="center"/>
            <w:hideMark/>
          </w:tcPr>
          <w:p w14:paraId="2544FC2F"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19/2021 – Hidrotopo</w:t>
            </w:r>
          </w:p>
        </w:tc>
        <w:tc>
          <w:tcPr>
            <w:tcW w:w="2535" w:type="pct"/>
            <w:tcBorders>
              <w:top w:val="nil"/>
              <w:left w:val="nil"/>
              <w:bottom w:val="nil"/>
              <w:right w:val="nil"/>
            </w:tcBorders>
            <w:shd w:val="clear" w:color="auto" w:fill="auto"/>
            <w:noWrap/>
            <w:vAlign w:val="center"/>
            <w:hideMark/>
          </w:tcPr>
          <w:p w14:paraId="628B4F6B" w14:textId="11CE2FB2" w:rsidR="006D2DDB" w:rsidRPr="00261C79" w:rsidRDefault="006D2DDB" w:rsidP="00CD32F4">
            <w:pPr>
              <w:spacing w:after="0"/>
              <w:rPr>
                <w:rFonts w:ascii="Calibri" w:hAnsi="Calibri" w:cs="Calibri"/>
                <w:sz w:val="16"/>
                <w:szCs w:val="16"/>
              </w:rPr>
            </w:pPr>
            <w:r w:rsidRPr="00261C79">
              <w:rPr>
                <w:rFonts w:ascii="Calibri" w:hAnsi="Calibri" w:cs="Calibri"/>
                <w:sz w:val="16"/>
                <w:szCs w:val="16"/>
              </w:rPr>
              <w:t>Portos Paranaguá e Antonina/</w:t>
            </w:r>
            <w:r w:rsidR="00163BC4">
              <w:rPr>
                <w:rFonts w:ascii="Calibri" w:hAnsi="Calibri" w:cs="Calibri"/>
                <w:sz w:val="16"/>
                <w:szCs w:val="16"/>
              </w:rPr>
              <w:t xml:space="preserve"> </w:t>
            </w:r>
            <w:r w:rsidRPr="00261C79">
              <w:rPr>
                <w:rFonts w:ascii="Calibri" w:hAnsi="Calibri" w:cs="Calibri"/>
                <w:sz w:val="16"/>
                <w:szCs w:val="16"/>
              </w:rPr>
              <w:t>PR</w:t>
            </w:r>
          </w:p>
        </w:tc>
        <w:tc>
          <w:tcPr>
            <w:tcW w:w="1102" w:type="pct"/>
            <w:tcBorders>
              <w:top w:val="nil"/>
              <w:left w:val="nil"/>
              <w:bottom w:val="nil"/>
              <w:right w:val="nil"/>
            </w:tcBorders>
            <w:noWrap/>
            <w:vAlign w:val="center"/>
          </w:tcPr>
          <w:p w14:paraId="6B501179" w14:textId="4A633241" w:rsidR="006D2DDB" w:rsidRPr="00261C79" w:rsidRDefault="007149A4" w:rsidP="00127260">
            <w:pPr>
              <w:spacing w:after="0"/>
              <w:jc w:val="right"/>
              <w:rPr>
                <w:rFonts w:ascii="Calibri" w:hAnsi="Calibri" w:cs="Calibri"/>
                <w:sz w:val="16"/>
                <w:szCs w:val="16"/>
              </w:rPr>
            </w:pPr>
            <w:r w:rsidRPr="007149A4">
              <w:rPr>
                <w:rFonts w:ascii="Calibri" w:hAnsi="Calibri" w:cs="Calibri"/>
                <w:sz w:val="16"/>
                <w:szCs w:val="16"/>
              </w:rPr>
              <w:t>263.991</w:t>
            </w:r>
          </w:p>
        </w:tc>
      </w:tr>
      <w:tr w:rsidR="006D2DDB" w:rsidRPr="00F72998" w14:paraId="26141F88" w14:textId="77777777" w:rsidTr="00B2583C">
        <w:trPr>
          <w:trHeight w:hRule="exact" w:val="227"/>
        </w:trPr>
        <w:tc>
          <w:tcPr>
            <w:tcW w:w="1363" w:type="pct"/>
            <w:tcBorders>
              <w:top w:val="single" w:sz="4" w:space="0" w:color="auto"/>
              <w:left w:val="nil"/>
              <w:bottom w:val="single" w:sz="4" w:space="0" w:color="auto"/>
              <w:right w:val="nil"/>
            </w:tcBorders>
            <w:shd w:val="clear" w:color="auto" w:fill="DEEAF6" w:themeFill="accent1" w:themeFillTint="33"/>
            <w:noWrap/>
            <w:vAlign w:val="center"/>
            <w:hideMark/>
          </w:tcPr>
          <w:p w14:paraId="1E0195E0"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Estudos e Projetos em Andamento</w:t>
            </w:r>
          </w:p>
        </w:tc>
        <w:tc>
          <w:tcPr>
            <w:tcW w:w="2535" w:type="pct"/>
            <w:tcBorders>
              <w:top w:val="single" w:sz="4" w:space="0" w:color="auto"/>
              <w:left w:val="nil"/>
              <w:bottom w:val="single" w:sz="4" w:space="0" w:color="auto"/>
              <w:right w:val="nil"/>
            </w:tcBorders>
            <w:shd w:val="clear" w:color="auto" w:fill="DEEAF6" w:themeFill="accent1" w:themeFillTint="33"/>
            <w:noWrap/>
            <w:vAlign w:val="center"/>
            <w:hideMark/>
          </w:tcPr>
          <w:p w14:paraId="3DDF6268" w14:textId="77777777" w:rsidR="006D2DDB" w:rsidRPr="00261C79" w:rsidRDefault="006D2DDB" w:rsidP="00127260">
            <w:pPr>
              <w:spacing w:after="0"/>
              <w:jc w:val="right"/>
              <w:rPr>
                <w:rFonts w:ascii="Calibri" w:hAnsi="Calibri" w:cs="Calibri"/>
                <w:b/>
                <w:sz w:val="16"/>
                <w:szCs w:val="16"/>
              </w:rPr>
            </w:pPr>
          </w:p>
        </w:tc>
        <w:tc>
          <w:tcPr>
            <w:tcW w:w="1102" w:type="pct"/>
            <w:tcBorders>
              <w:top w:val="single" w:sz="4" w:space="0" w:color="auto"/>
              <w:left w:val="nil"/>
              <w:bottom w:val="single" w:sz="4" w:space="0" w:color="auto"/>
              <w:right w:val="nil"/>
            </w:tcBorders>
            <w:shd w:val="clear" w:color="auto" w:fill="DEEAF6" w:themeFill="accent1" w:themeFillTint="33"/>
            <w:noWrap/>
            <w:vAlign w:val="center"/>
          </w:tcPr>
          <w:p w14:paraId="476C7011" w14:textId="701C8653" w:rsidR="006D2DDB" w:rsidRPr="00261C79" w:rsidRDefault="00563465" w:rsidP="00127260">
            <w:pPr>
              <w:spacing w:after="0"/>
              <w:jc w:val="right"/>
              <w:rPr>
                <w:rFonts w:ascii="Calibri" w:hAnsi="Calibri" w:cs="Calibri"/>
                <w:b/>
                <w:sz w:val="16"/>
                <w:szCs w:val="16"/>
              </w:rPr>
            </w:pPr>
            <w:r w:rsidRPr="00563465">
              <w:rPr>
                <w:rFonts w:ascii="Calibri" w:hAnsi="Calibri" w:cs="Calibri"/>
                <w:b/>
                <w:sz w:val="16"/>
                <w:szCs w:val="16"/>
              </w:rPr>
              <w:t>263.991</w:t>
            </w:r>
          </w:p>
        </w:tc>
      </w:tr>
    </w:tbl>
    <w:p w14:paraId="3DEC936E" w14:textId="77777777" w:rsidR="001A167E" w:rsidRDefault="006D2DDB" w:rsidP="00D85639">
      <w:pPr>
        <w:spacing w:before="120" w:after="0"/>
        <w:jc w:val="both"/>
        <w:rPr>
          <w:rFonts w:cstheme="minorHAnsi"/>
          <w:sz w:val="20"/>
          <w:szCs w:val="20"/>
        </w:rPr>
      </w:pPr>
      <w:r w:rsidRPr="00B36334">
        <w:rPr>
          <w:rFonts w:cstheme="minorHAnsi"/>
          <w:sz w:val="20"/>
          <w:szCs w:val="20"/>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1374A92A" w14:textId="6B90E5C4" w:rsidR="00D85639" w:rsidRPr="00D85639" w:rsidRDefault="00703D25" w:rsidP="00B54D88">
      <w:pPr>
        <w:pStyle w:val="Ttulo2"/>
        <w:spacing w:before="120"/>
      </w:pPr>
      <w:bookmarkStart w:id="37" w:name="_Toc152230731"/>
      <w:bookmarkStart w:id="38" w:name="_Toc184926674"/>
      <w:r w:rsidRPr="00D85639">
        <w:t xml:space="preserve">8.3 </w:t>
      </w:r>
      <w:r w:rsidR="004B6C8A" w:rsidRPr="00D85639">
        <w:t>–</w:t>
      </w:r>
      <w:r w:rsidR="00501338" w:rsidRPr="00D85639">
        <w:t xml:space="preserve"> </w:t>
      </w:r>
      <w:r w:rsidR="00E71553" w:rsidRPr="00D85639">
        <w:t xml:space="preserve">Outros Créditos a </w:t>
      </w:r>
      <w:r w:rsidR="007C2BDF">
        <w:t>R</w:t>
      </w:r>
      <w:r w:rsidR="00E71553" w:rsidRPr="00D85639">
        <w:t>eceber</w:t>
      </w:r>
      <w:bookmarkEnd w:id="37"/>
      <w:bookmarkEnd w:id="38"/>
    </w:p>
    <w:p w14:paraId="650BC240" w14:textId="61F9CD4F" w:rsidR="00D45361" w:rsidRPr="00B36334" w:rsidRDefault="00D45361" w:rsidP="00B36334">
      <w:pPr>
        <w:spacing w:before="120"/>
        <w:rPr>
          <w:rFonts w:cstheme="minorHAnsi"/>
          <w:sz w:val="20"/>
          <w:szCs w:val="20"/>
        </w:rPr>
      </w:pPr>
      <w:r w:rsidRPr="00B36334">
        <w:rPr>
          <w:rFonts w:cstheme="minorHAnsi"/>
          <w:sz w:val="20"/>
          <w:szCs w:val="20"/>
        </w:rPr>
        <w:t xml:space="preserve">O saldo de Outros Créditos a receber </w:t>
      </w:r>
      <w:r w:rsidR="00A3106C">
        <w:rPr>
          <w:rFonts w:cstheme="minorHAnsi"/>
          <w:sz w:val="20"/>
          <w:szCs w:val="20"/>
        </w:rPr>
        <w:t>em 31</w:t>
      </w:r>
      <w:r w:rsidR="00183011">
        <w:rPr>
          <w:rFonts w:cstheme="minorHAnsi"/>
          <w:sz w:val="20"/>
          <w:szCs w:val="20"/>
        </w:rPr>
        <w:t xml:space="preserve"> de </w:t>
      </w:r>
      <w:r w:rsidR="00A3106C">
        <w:rPr>
          <w:rFonts w:cstheme="minorHAnsi"/>
          <w:sz w:val="20"/>
          <w:szCs w:val="20"/>
        </w:rPr>
        <w:t xml:space="preserve">março </w:t>
      </w:r>
      <w:r w:rsidR="00183011">
        <w:rPr>
          <w:rFonts w:cstheme="minorHAnsi"/>
          <w:sz w:val="20"/>
          <w:szCs w:val="20"/>
        </w:rPr>
        <w:t>de 202</w:t>
      </w:r>
      <w:r w:rsidR="00BF7D80">
        <w:rPr>
          <w:rFonts w:cstheme="minorHAnsi"/>
          <w:sz w:val="20"/>
          <w:szCs w:val="20"/>
        </w:rPr>
        <w:t>4</w:t>
      </w:r>
      <w:r w:rsidRPr="00B36334">
        <w:rPr>
          <w:rFonts w:cstheme="minorHAnsi"/>
          <w:sz w:val="20"/>
          <w:szCs w:val="20"/>
        </w:rPr>
        <w:t xml:space="preserve"> era de R$ </w:t>
      </w:r>
      <w:r w:rsidR="00BF7D80">
        <w:rPr>
          <w:rFonts w:cstheme="minorHAnsi"/>
          <w:sz w:val="20"/>
          <w:szCs w:val="20"/>
        </w:rPr>
        <w:t>93</w:t>
      </w:r>
      <w:r w:rsidR="00C93126">
        <w:rPr>
          <w:rFonts w:cstheme="minorHAnsi"/>
          <w:sz w:val="20"/>
          <w:szCs w:val="20"/>
        </w:rPr>
        <w:t>,</w:t>
      </w:r>
      <w:r w:rsidR="00435431">
        <w:rPr>
          <w:rFonts w:cstheme="minorHAnsi"/>
          <w:sz w:val="20"/>
          <w:szCs w:val="20"/>
        </w:rPr>
        <w:t>44</w:t>
      </w:r>
      <w:r w:rsidRPr="00B36334">
        <w:rPr>
          <w:rFonts w:cstheme="minorHAnsi"/>
          <w:sz w:val="20"/>
          <w:szCs w:val="20"/>
        </w:rPr>
        <w:t xml:space="preserve"> mil, conforme tabela a seguir:</w:t>
      </w:r>
    </w:p>
    <w:tbl>
      <w:tblPr>
        <w:tblW w:w="5000" w:type="pct"/>
        <w:tblCellMar>
          <w:left w:w="70" w:type="dxa"/>
          <w:right w:w="70" w:type="dxa"/>
        </w:tblCellMar>
        <w:tblLook w:val="04A0" w:firstRow="1" w:lastRow="0" w:firstColumn="1" w:lastColumn="0" w:noHBand="0" w:noVBand="1"/>
      </w:tblPr>
      <w:tblGrid>
        <w:gridCol w:w="8143"/>
        <w:gridCol w:w="1162"/>
        <w:gridCol w:w="1162"/>
      </w:tblGrid>
      <w:tr w:rsidR="008C6718" w:rsidRPr="008C6718" w14:paraId="4EEF3AA2" w14:textId="77777777" w:rsidTr="009E0E78">
        <w:trPr>
          <w:trHeight w:hRule="exact" w:val="227"/>
        </w:trPr>
        <w:tc>
          <w:tcPr>
            <w:tcW w:w="7943" w:type="dxa"/>
            <w:tcBorders>
              <w:top w:val="nil"/>
              <w:left w:val="nil"/>
              <w:bottom w:val="single" w:sz="8" w:space="0" w:color="auto"/>
              <w:right w:val="nil"/>
            </w:tcBorders>
            <w:shd w:val="clear" w:color="000000" w:fill="DEEAF6"/>
            <w:noWrap/>
            <w:vAlign w:val="center"/>
            <w:hideMark/>
          </w:tcPr>
          <w:p w14:paraId="46623804" w14:textId="77777777" w:rsidR="008C6718" w:rsidRPr="008C6718" w:rsidRDefault="008C6718" w:rsidP="008C6718">
            <w:pPr>
              <w:spacing w:after="0" w:line="240" w:lineRule="auto"/>
              <w:rPr>
                <w:rFonts w:ascii="Calibri" w:eastAsia="Times New Roman" w:hAnsi="Calibri" w:cs="Calibri"/>
                <w:color w:val="000000"/>
                <w:sz w:val="20"/>
                <w:szCs w:val="20"/>
              </w:rPr>
            </w:pPr>
            <w:r w:rsidRPr="008C6718">
              <w:rPr>
                <w:rFonts w:ascii="Calibri" w:eastAsia="Times New Roman" w:hAnsi="Calibri" w:cs="Calibri"/>
                <w:sz w:val="20"/>
                <w:szCs w:val="20"/>
              </w:rPr>
              <w:t> </w:t>
            </w:r>
          </w:p>
        </w:tc>
        <w:tc>
          <w:tcPr>
            <w:tcW w:w="1134" w:type="dxa"/>
            <w:tcBorders>
              <w:top w:val="nil"/>
              <w:left w:val="nil"/>
              <w:bottom w:val="single" w:sz="8" w:space="0" w:color="auto"/>
              <w:right w:val="nil"/>
            </w:tcBorders>
            <w:shd w:val="clear" w:color="000000" w:fill="DEEAF6"/>
            <w:noWrap/>
            <w:vAlign w:val="center"/>
            <w:hideMark/>
          </w:tcPr>
          <w:p w14:paraId="410BCAB1" w14:textId="77777777" w:rsidR="008C6718" w:rsidRPr="008C6718" w:rsidRDefault="008C6718" w:rsidP="008C6718">
            <w:pPr>
              <w:spacing w:after="0" w:line="240" w:lineRule="auto"/>
              <w:jc w:val="right"/>
              <w:rPr>
                <w:rFonts w:ascii="Calibri" w:eastAsia="Times New Roman" w:hAnsi="Calibri" w:cs="Calibri"/>
                <w:b/>
                <w:bCs/>
                <w:color w:val="000000"/>
                <w:sz w:val="16"/>
                <w:szCs w:val="16"/>
              </w:rPr>
            </w:pPr>
            <w:r w:rsidRPr="008C6718">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EEAF6"/>
            <w:vAlign w:val="center"/>
            <w:hideMark/>
          </w:tcPr>
          <w:p w14:paraId="7C6BCEF3" w14:textId="77777777" w:rsidR="008C6718" w:rsidRPr="008C6718" w:rsidRDefault="008C6718" w:rsidP="008C6718">
            <w:pPr>
              <w:spacing w:after="0" w:line="240" w:lineRule="auto"/>
              <w:jc w:val="right"/>
              <w:rPr>
                <w:rFonts w:ascii="Calibri" w:eastAsia="Times New Roman" w:hAnsi="Calibri" w:cs="Calibri"/>
                <w:b/>
                <w:bCs/>
                <w:color w:val="000000"/>
                <w:sz w:val="16"/>
                <w:szCs w:val="16"/>
              </w:rPr>
            </w:pPr>
            <w:r w:rsidRPr="008C6718">
              <w:rPr>
                <w:rFonts w:ascii="Calibri" w:eastAsia="Times New Roman" w:hAnsi="Calibri" w:cs="Calibri"/>
                <w:b/>
                <w:bCs/>
                <w:color w:val="000000"/>
                <w:sz w:val="16"/>
                <w:szCs w:val="16"/>
              </w:rPr>
              <w:t>31/12/2023</w:t>
            </w:r>
          </w:p>
        </w:tc>
      </w:tr>
      <w:tr w:rsidR="008C6718" w:rsidRPr="008C6718" w14:paraId="27C4218A" w14:textId="77777777" w:rsidTr="009E0E78">
        <w:trPr>
          <w:trHeight w:hRule="exact" w:val="227"/>
        </w:trPr>
        <w:tc>
          <w:tcPr>
            <w:tcW w:w="7943" w:type="dxa"/>
            <w:tcBorders>
              <w:top w:val="nil"/>
              <w:left w:val="nil"/>
              <w:bottom w:val="nil"/>
              <w:right w:val="nil"/>
            </w:tcBorders>
            <w:shd w:val="clear" w:color="auto" w:fill="auto"/>
            <w:noWrap/>
            <w:vAlign w:val="center"/>
            <w:hideMark/>
          </w:tcPr>
          <w:p w14:paraId="4AA94A84" w14:textId="77777777" w:rsidR="008C6718" w:rsidRPr="008C6718" w:rsidRDefault="008C6718" w:rsidP="008C6718">
            <w:pPr>
              <w:spacing w:after="0" w:line="240" w:lineRule="auto"/>
              <w:rPr>
                <w:rFonts w:ascii="Calibri" w:eastAsia="Times New Roman" w:hAnsi="Calibri" w:cs="Calibri"/>
                <w:color w:val="000000"/>
                <w:sz w:val="16"/>
                <w:szCs w:val="16"/>
              </w:rPr>
            </w:pPr>
            <w:r w:rsidRPr="008C6718">
              <w:rPr>
                <w:rFonts w:ascii="Calibri" w:eastAsia="Times New Roman" w:hAnsi="Calibri" w:cs="Calibri"/>
                <w:color w:val="000000"/>
                <w:sz w:val="16"/>
                <w:szCs w:val="16"/>
              </w:rPr>
              <w:t>Créditos a Receber (a)</w:t>
            </w:r>
          </w:p>
        </w:tc>
        <w:tc>
          <w:tcPr>
            <w:tcW w:w="1134" w:type="dxa"/>
            <w:tcBorders>
              <w:top w:val="nil"/>
              <w:left w:val="nil"/>
              <w:bottom w:val="nil"/>
              <w:right w:val="nil"/>
            </w:tcBorders>
            <w:shd w:val="clear" w:color="auto" w:fill="auto"/>
            <w:noWrap/>
            <w:vAlign w:val="center"/>
            <w:hideMark/>
          </w:tcPr>
          <w:p w14:paraId="5B9C98D8" w14:textId="77777777" w:rsidR="008C6718" w:rsidRPr="008C6718" w:rsidRDefault="008C6718" w:rsidP="008C6718">
            <w:pPr>
              <w:spacing w:after="0" w:line="240" w:lineRule="auto"/>
              <w:jc w:val="right"/>
              <w:rPr>
                <w:rFonts w:ascii="Calibri" w:eastAsia="Times New Roman" w:hAnsi="Calibri" w:cs="Calibri"/>
                <w:color w:val="000000"/>
                <w:sz w:val="16"/>
                <w:szCs w:val="16"/>
              </w:rPr>
            </w:pPr>
            <w:r w:rsidRPr="008C6718">
              <w:rPr>
                <w:rFonts w:ascii="Calibri" w:eastAsia="Times New Roman" w:hAnsi="Calibri" w:cs="Calibri"/>
                <w:color w:val="000000"/>
                <w:sz w:val="16"/>
                <w:szCs w:val="16"/>
              </w:rPr>
              <w:t>34.307</w:t>
            </w:r>
          </w:p>
        </w:tc>
        <w:tc>
          <w:tcPr>
            <w:tcW w:w="1134" w:type="dxa"/>
            <w:tcBorders>
              <w:top w:val="nil"/>
              <w:left w:val="nil"/>
              <w:bottom w:val="nil"/>
              <w:right w:val="nil"/>
            </w:tcBorders>
            <w:shd w:val="clear" w:color="auto" w:fill="auto"/>
            <w:noWrap/>
            <w:vAlign w:val="center"/>
            <w:hideMark/>
          </w:tcPr>
          <w:p w14:paraId="21A09014" w14:textId="77777777" w:rsidR="008C6718" w:rsidRPr="008C6718" w:rsidRDefault="008C6718" w:rsidP="008C6718">
            <w:pPr>
              <w:spacing w:after="0" w:line="240" w:lineRule="auto"/>
              <w:jc w:val="right"/>
              <w:rPr>
                <w:rFonts w:ascii="Calibri" w:eastAsia="Times New Roman" w:hAnsi="Calibri" w:cs="Calibri"/>
                <w:color w:val="000000"/>
                <w:sz w:val="16"/>
                <w:szCs w:val="16"/>
              </w:rPr>
            </w:pPr>
            <w:r w:rsidRPr="008C6718">
              <w:rPr>
                <w:rFonts w:ascii="Calibri" w:eastAsia="Times New Roman" w:hAnsi="Calibri" w:cs="Calibri"/>
                <w:color w:val="000000"/>
                <w:sz w:val="16"/>
                <w:szCs w:val="16"/>
              </w:rPr>
              <w:t>34.307</w:t>
            </w:r>
          </w:p>
        </w:tc>
      </w:tr>
      <w:tr w:rsidR="008C6718" w:rsidRPr="008C6718" w14:paraId="1F6EC279" w14:textId="77777777" w:rsidTr="009E0E78">
        <w:trPr>
          <w:trHeight w:hRule="exact" w:val="227"/>
        </w:trPr>
        <w:tc>
          <w:tcPr>
            <w:tcW w:w="7943" w:type="dxa"/>
            <w:tcBorders>
              <w:top w:val="nil"/>
              <w:left w:val="nil"/>
              <w:bottom w:val="nil"/>
              <w:right w:val="nil"/>
            </w:tcBorders>
            <w:shd w:val="clear" w:color="auto" w:fill="auto"/>
            <w:noWrap/>
            <w:vAlign w:val="center"/>
            <w:hideMark/>
          </w:tcPr>
          <w:p w14:paraId="2A476F8B" w14:textId="17B584EB" w:rsidR="008C6718" w:rsidRPr="008C6718" w:rsidRDefault="000A25FF" w:rsidP="008C671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Crédito de </w:t>
            </w:r>
            <w:r w:rsidR="003C1940">
              <w:rPr>
                <w:rFonts w:ascii="Calibri" w:eastAsia="Times New Roman" w:hAnsi="Calibri" w:cs="Calibri"/>
                <w:color w:val="000000"/>
                <w:sz w:val="16"/>
                <w:szCs w:val="16"/>
              </w:rPr>
              <w:t>Salário Maternidade a Compensar do INSS</w:t>
            </w:r>
            <w:r w:rsidR="00027578">
              <w:rPr>
                <w:rFonts w:ascii="Calibri" w:eastAsia="Times New Roman" w:hAnsi="Calibri" w:cs="Calibri"/>
                <w:color w:val="000000"/>
                <w:sz w:val="16"/>
                <w:szCs w:val="16"/>
              </w:rPr>
              <w:t xml:space="preserve"> a </w:t>
            </w:r>
            <w:r w:rsidR="003D555D">
              <w:rPr>
                <w:rFonts w:ascii="Calibri" w:eastAsia="Times New Roman" w:hAnsi="Calibri" w:cs="Calibri"/>
                <w:color w:val="000000"/>
                <w:sz w:val="16"/>
                <w:szCs w:val="16"/>
              </w:rPr>
              <w:t>R</w:t>
            </w:r>
            <w:r w:rsidR="00027578">
              <w:rPr>
                <w:rFonts w:ascii="Calibri" w:eastAsia="Times New Roman" w:hAnsi="Calibri" w:cs="Calibri"/>
                <w:color w:val="000000"/>
                <w:sz w:val="16"/>
                <w:szCs w:val="16"/>
              </w:rPr>
              <w:t>ecolher</w:t>
            </w:r>
          </w:p>
        </w:tc>
        <w:tc>
          <w:tcPr>
            <w:tcW w:w="1134" w:type="dxa"/>
            <w:tcBorders>
              <w:top w:val="nil"/>
              <w:left w:val="nil"/>
              <w:bottom w:val="nil"/>
              <w:right w:val="nil"/>
            </w:tcBorders>
            <w:shd w:val="clear" w:color="auto" w:fill="auto"/>
            <w:noWrap/>
            <w:vAlign w:val="center"/>
            <w:hideMark/>
          </w:tcPr>
          <w:p w14:paraId="118EFB1F" w14:textId="77777777" w:rsidR="008C6718" w:rsidRPr="008C6718" w:rsidRDefault="008C6718" w:rsidP="008C6718">
            <w:pPr>
              <w:spacing w:after="0" w:line="240" w:lineRule="auto"/>
              <w:jc w:val="right"/>
              <w:rPr>
                <w:rFonts w:ascii="Calibri" w:eastAsia="Times New Roman" w:hAnsi="Calibri" w:cs="Calibri"/>
                <w:color w:val="000000"/>
                <w:sz w:val="16"/>
                <w:szCs w:val="16"/>
              </w:rPr>
            </w:pPr>
            <w:r w:rsidRPr="008C6718">
              <w:rPr>
                <w:rFonts w:ascii="Calibri" w:eastAsia="Times New Roman" w:hAnsi="Calibri" w:cs="Calibri"/>
                <w:color w:val="000000"/>
                <w:sz w:val="16"/>
                <w:szCs w:val="16"/>
              </w:rPr>
              <w:t>59.136</w:t>
            </w:r>
          </w:p>
        </w:tc>
        <w:tc>
          <w:tcPr>
            <w:tcW w:w="1134" w:type="dxa"/>
            <w:tcBorders>
              <w:top w:val="nil"/>
              <w:left w:val="nil"/>
              <w:bottom w:val="nil"/>
              <w:right w:val="nil"/>
            </w:tcBorders>
            <w:shd w:val="clear" w:color="auto" w:fill="auto"/>
            <w:vAlign w:val="center"/>
            <w:hideMark/>
          </w:tcPr>
          <w:p w14:paraId="35447CA6" w14:textId="77777777" w:rsidR="008C6718" w:rsidRPr="008C6718" w:rsidRDefault="008C6718" w:rsidP="008C6718">
            <w:pPr>
              <w:spacing w:after="0" w:line="240" w:lineRule="auto"/>
              <w:jc w:val="right"/>
              <w:rPr>
                <w:rFonts w:ascii="Calibri" w:eastAsia="Times New Roman" w:hAnsi="Calibri" w:cs="Calibri"/>
                <w:color w:val="000000"/>
                <w:sz w:val="16"/>
                <w:szCs w:val="16"/>
              </w:rPr>
            </w:pPr>
            <w:r w:rsidRPr="008C6718">
              <w:rPr>
                <w:rFonts w:ascii="Calibri" w:eastAsia="Times New Roman" w:hAnsi="Calibri" w:cs="Calibri"/>
                <w:color w:val="000000"/>
                <w:sz w:val="16"/>
                <w:szCs w:val="16"/>
              </w:rPr>
              <w:t>74.325</w:t>
            </w:r>
          </w:p>
        </w:tc>
      </w:tr>
      <w:tr w:rsidR="008C6718" w:rsidRPr="008C6718" w14:paraId="65D3BCD2" w14:textId="77777777" w:rsidTr="009E0E78">
        <w:trPr>
          <w:trHeight w:hRule="exact" w:val="227"/>
        </w:trPr>
        <w:tc>
          <w:tcPr>
            <w:tcW w:w="7943" w:type="dxa"/>
            <w:tcBorders>
              <w:top w:val="single" w:sz="8" w:space="0" w:color="auto"/>
              <w:left w:val="nil"/>
              <w:bottom w:val="single" w:sz="8" w:space="0" w:color="auto"/>
              <w:right w:val="nil"/>
            </w:tcBorders>
            <w:shd w:val="clear" w:color="000000" w:fill="DEEAF6"/>
            <w:noWrap/>
            <w:vAlign w:val="center"/>
            <w:hideMark/>
          </w:tcPr>
          <w:p w14:paraId="77277172" w14:textId="77777777" w:rsidR="008C6718" w:rsidRPr="008C6718" w:rsidRDefault="008C6718" w:rsidP="008C6718">
            <w:pPr>
              <w:spacing w:after="0" w:line="240" w:lineRule="auto"/>
              <w:rPr>
                <w:rFonts w:ascii="Calibri" w:eastAsia="Times New Roman" w:hAnsi="Calibri" w:cs="Calibri"/>
                <w:b/>
                <w:bCs/>
                <w:color w:val="000000"/>
                <w:sz w:val="16"/>
                <w:szCs w:val="16"/>
              </w:rPr>
            </w:pPr>
            <w:r w:rsidRPr="008C6718">
              <w:rPr>
                <w:rFonts w:ascii="Calibri" w:eastAsia="Times New Roman" w:hAnsi="Calibri"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3F382C48" w14:textId="77777777" w:rsidR="008C6718" w:rsidRPr="008C6718" w:rsidRDefault="008C6718" w:rsidP="008C6718">
            <w:pPr>
              <w:spacing w:after="0" w:line="240" w:lineRule="auto"/>
              <w:jc w:val="right"/>
              <w:rPr>
                <w:rFonts w:ascii="Calibri" w:eastAsia="Times New Roman" w:hAnsi="Calibri" w:cs="Calibri"/>
                <w:b/>
                <w:bCs/>
                <w:color w:val="000000"/>
                <w:sz w:val="16"/>
                <w:szCs w:val="16"/>
              </w:rPr>
            </w:pPr>
            <w:r w:rsidRPr="008C6718">
              <w:rPr>
                <w:rFonts w:ascii="Calibri" w:eastAsia="Times New Roman" w:hAnsi="Calibri" w:cs="Calibri"/>
                <w:b/>
                <w:bCs/>
                <w:color w:val="000000"/>
                <w:sz w:val="16"/>
                <w:szCs w:val="16"/>
              </w:rPr>
              <w:t>93.443</w:t>
            </w:r>
          </w:p>
        </w:tc>
        <w:tc>
          <w:tcPr>
            <w:tcW w:w="1134" w:type="dxa"/>
            <w:tcBorders>
              <w:top w:val="single" w:sz="8" w:space="0" w:color="auto"/>
              <w:left w:val="nil"/>
              <w:bottom w:val="single" w:sz="8" w:space="0" w:color="auto"/>
              <w:right w:val="nil"/>
            </w:tcBorders>
            <w:shd w:val="clear" w:color="000000" w:fill="DEEAF6"/>
            <w:noWrap/>
            <w:vAlign w:val="center"/>
            <w:hideMark/>
          </w:tcPr>
          <w:p w14:paraId="6907A863" w14:textId="77777777" w:rsidR="008C6718" w:rsidRPr="008C6718" w:rsidRDefault="008C6718" w:rsidP="008C6718">
            <w:pPr>
              <w:spacing w:after="0" w:line="240" w:lineRule="auto"/>
              <w:jc w:val="right"/>
              <w:rPr>
                <w:rFonts w:ascii="Calibri" w:eastAsia="Times New Roman" w:hAnsi="Calibri" w:cs="Calibri"/>
                <w:b/>
                <w:bCs/>
                <w:color w:val="000000"/>
                <w:sz w:val="16"/>
                <w:szCs w:val="16"/>
              </w:rPr>
            </w:pPr>
            <w:r w:rsidRPr="008C6718">
              <w:rPr>
                <w:rFonts w:ascii="Calibri" w:eastAsia="Times New Roman" w:hAnsi="Calibri" w:cs="Calibri"/>
                <w:b/>
                <w:bCs/>
                <w:color w:val="000000"/>
                <w:sz w:val="16"/>
                <w:szCs w:val="16"/>
              </w:rPr>
              <w:t>108.632</w:t>
            </w:r>
          </w:p>
        </w:tc>
      </w:tr>
    </w:tbl>
    <w:p w14:paraId="1CAEF8AE" w14:textId="46804AAE" w:rsidR="00E71553" w:rsidRPr="00B36334" w:rsidRDefault="00501338" w:rsidP="00627139">
      <w:pPr>
        <w:spacing w:before="120" w:after="0" w:line="240" w:lineRule="auto"/>
        <w:jc w:val="both"/>
        <w:rPr>
          <w:rFonts w:cstheme="minorHAnsi"/>
          <w:b/>
          <w:sz w:val="20"/>
          <w:szCs w:val="20"/>
        </w:rPr>
      </w:pPr>
      <w:r w:rsidRPr="00B36334">
        <w:rPr>
          <w:rFonts w:cstheme="minorHAnsi"/>
          <w:b/>
          <w:sz w:val="20"/>
          <w:szCs w:val="20"/>
        </w:rPr>
        <w:t>a</w:t>
      </w:r>
      <w:r w:rsidR="00E71553" w:rsidRPr="00B36334">
        <w:rPr>
          <w:rFonts w:cstheme="minorHAnsi"/>
          <w:b/>
          <w:sz w:val="20"/>
          <w:szCs w:val="20"/>
        </w:rPr>
        <w:t>)</w:t>
      </w:r>
      <w:r w:rsidR="00E71553" w:rsidRPr="00B36334">
        <w:rPr>
          <w:rFonts w:cstheme="minorHAnsi"/>
          <w:sz w:val="20"/>
          <w:szCs w:val="20"/>
        </w:rPr>
        <w:t xml:space="preserve"> </w:t>
      </w:r>
      <w:r w:rsidR="00E71553" w:rsidRPr="00B36334">
        <w:rPr>
          <w:rFonts w:cstheme="minorHAnsi"/>
          <w:b/>
          <w:sz w:val="20"/>
          <w:szCs w:val="20"/>
        </w:rPr>
        <w:t>Créditos a Receber</w:t>
      </w:r>
    </w:p>
    <w:p w14:paraId="0F9BE168" w14:textId="70981615" w:rsidR="00D85639" w:rsidRDefault="00E71553" w:rsidP="00645DFB">
      <w:pPr>
        <w:spacing w:before="120" w:line="240" w:lineRule="auto"/>
        <w:jc w:val="both"/>
        <w:rPr>
          <w:rFonts w:cstheme="minorHAnsi"/>
          <w:sz w:val="20"/>
          <w:szCs w:val="20"/>
        </w:rPr>
      </w:pPr>
      <w:r w:rsidRPr="00B36334">
        <w:rPr>
          <w:rFonts w:cstheme="minorHAnsi"/>
          <w:sz w:val="20"/>
          <w:szCs w:val="20"/>
        </w:rPr>
        <w:t>Os créditos a receber referem-se às multas compensatórias</w:t>
      </w:r>
      <w:r w:rsidR="00173772">
        <w:rPr>
          <w:rFonts w:cstheme="minorHAnsi"/>
          <w:sz w:val="20"/>
          <w:szCs w:val="20"/>
        </w:rPr>
        <w:t>,</w:t>
      </w:r>
      <w:r w:rsidRPr="00B36334">
        <w:rPr>
          <w:rFonts w:cstheme="minorHAnsi"/>
          <w:sz w:val="20"/>
          <w:szCs w:val="20"/>
        </w:rPr>
        <w:t xml:space="preserve"> previstas em contratos</w:t>
      </w:r>
      <w:r w:rsidR="006050AC">
        <w:rPr>
          <w:rFonts w:cstheme="minorHAnsi"/>
          <w:sz w:val="20"/>
          <w:szCs w:val="20"/>
        </w:rPr>
        <w:t xml:space="preserve"> de fornecimento</w:t>
      </w:r>
      <w:r w:rsidR="00173772">
        <w:rPr>
          <w:rFonts w:cstheme="minorHAnsi"/>
          <w:sz w:val="20"/>
          <w:szCs w:val="20"/>
        </w:rPr>
        <w:t>,</w:t>
      </w:r>
      <w:r w:rsidRPr="00B36334">
        <w:rPr>
          <w:rFonts w:cstheme="minorHAnsi"/>
          <w:sz w:val="20"/>
          <w:szCs w:val="20"/>
        </w:rPr>
        <w:t xml:space="preserve"> </w:t>
      </w:r>
      <w:r w:rsidR="00591D6C">
        <w:rPr>
          <w:rFonts w:cstheme="minorHAnsi"/>
          <w:sz w:val="20"/>
          <w:szCs w:val="20"/>
        </w:rPr>
        <w:t xml:space="preserve">aplicadas </w:t>
      </w:r>
      <w:r w:rsidR="006050AC">
        <w:rPr>
          <w:rFonts w:cstheme="minorHAnsi"/>
          <w:sz w:val="20"/>
          <w:szCs w:val="20"/>
        </w:rPr>
        <w:t xml:space="preserve">pela </w:t>
      </w:r>
      <w:r w:rsidRPr="00B36334">
        <w:rPr>
          <w:rFonts w:cstheme="minorHAnsi"/>
          <w:sz w:val="20"/>
          <w:szCs w:val="20"/>
        </w:rPr>
        <w:t>Infra S.A. por meio de processos administrativos, em decisões originárias das Diretoria</w:t>
      </w:r>
      <w:r w:rsidR="00AC5B4D">
        <w:rPr>
          <w:rFonts w:cstheme="minorHAnsi"/>
          <w:sz w:val="20"/>
          <w:szCs w:val="20"/>
        </w:rPr>
        <w:t>s</w:t>
      </w:r>
      <w:r w:rsidRPr="00B36334">
        <w:rPr>
          <w:rFonts w:cstheme="minorHAnsi"/>
          <w:sz w:val="20"/>
          <w:szCs w:val="20"/>
        </w:rPr>
        <w:t>.</w:t>
      </w:r>
    </w:p>
    <w:p w14:paraId="73FD07CE" w14:textId="030919FB" w:rsidR="00173772" w:rsidRDefault="00173772" w:rsidP="00645DFB">
      <w:pPr>
        <w:spacing w:before="120" w:line="240" w:lineRule="auto"/>
        <w:jc w:val="both"/>
        <w:rPr>
          <w:rFonts w:cstheme="minorHAnsi"/>
          <w:sz w:val="20"/>
          <w:szCs w:val="20"/>
        </w:rPr>
      </w:pPr>
      <w:r>
        <w:rPr>
          <w:rFonts w:cstheme="minorHAnsi"/>
          <w:sz w:val="20"/>
          <w:szCs w:val="20"/>
        </w:rPr>
        <w:lastRenderedPageBreak/>
        <w:t xml:space="preserve">Considerando a </w:t>
      </w:r>
      <w:r w:rsidR="00C45459" w:rsidRPr="00B36334">
        <w:rPr>
          <w:rFonts w:cstheme="minorHAnsi"/>
          <w:sz w:val="20"/>
          <w:szCs w:val="20"/>
        </w:rPr>
        <w:t>judicialização dos processos</w:t>
      </w:r>
      <w:r w:rsidR="000D16F2">
        <w:rPr>
          <w:rFonts w:cstheme="minorHAnsi"/>
          <w:sz w:val="20"/>
          <w:szCs w:val="20"/>
        </w:rPr>
        <w:t xml:space="preserve">, tais valores </w:t>
      </w:r>
      <w:r w:rsidR="000D16F2" w:rsidRPr="00B36334">
        <w:rPr>
          <w:rFonts w:cstheme="minorHAnsi"/>
          <w:sz w:val="20"/>
          <w:szCs w:val="20"/>
        </w:rPr>
        <w:t>passaram a ser tratados como ativos contingenciais</w:t>
      </w:r>
      <w:r w:rsidR="00B92E7B">
        <w:rPr>
          <w:rFonts w:cstheme="minorHAnsi"/>
          <w:sz w:val="20"/>
          <w:szCs w:val="20"/>
        </w:rPr>
        <w:t xml:space="preserve">, por isso </w:t>
      </w:r>
      <w:r w:rsidR="006C7304">
        <w:rPr>
          <w:rFonts w:cstheme="minorHAnsi"/>
          <w:sz w:val="20"/>
          <w:szCs w:val="20"/>
        </w:rPr>
        <w:t xml:space="preserve">foi realizada </w:t>
      </w:r>
      <w:r w:rsidR="00F25C44">
        <w:rPr>
          <w:rFonts w:cstheme="minorHAnsi"/>
          <w:sz w:val="20"/>
          <w:szCs w:val="20"/>
        </w:rPr>
        <w:t xml:space="preserve">a </w:t>
      </w:r>
      <w:r w:rsidR="00F25C44" w:rsidRPr="00B36334">
        <w:rPr>
          <w:rFonts w:cstheme="minorHAnsi"/>
          <w:sz w:val="20"/>
          <w:szCs w:val="20"/>
        </w:rPr>
        <w:t>avaliação para ajustes para perdas com crédito de liquidação duvidosa</w:t>
      </w:r>
      <w:r w:rsidR="00AE3C44">
        <w:rPr>
          <w:rFonts w:cstheme="minorHAnsi"/>
          <w:sz w:val="20"/>
          <w:szCs w:val="20"/>
        </w:rPr>
        <w:t xml:space="preserve">. </w:t>
      </w:r>
    </w:p>
    <w:p w14:paraId="724CA7D2" w14:textId="5E6CDC67" w:rsidR="00CA6B5B" w:rsidRPr="00B36334" w:rsidRDefault="001C60FB" w:rsidP="00645DFB">
      <w:pPr>
        <w:spacing w:before="120" w:line="240" w:lineRule="auto"/>
        <w:jc w:val="both"/>
        <w:rPr>
          <w:rFonts w:cstheme="minorHAnsi"/>
          <w:sz w:val="20"/>
          <w:szCs w:val="20"/>
        </w:rPr>
      </w:pPr>
      <w:r>
        <w:rPr>
          <w:rFonts w:cstheme="minorHAnsi"/>
          <w:sz w:val="20"/>
          <w:szCs w:val="20"/>
        </w:rPr>
        <w:t xml:space="preserve">Os processos </w:t>
      </w:r>
      <w:r w:rsidR="00CA6B5B">
        <w:rPr>
          <w:rFonts w:cstheme="minorHAnsi"/>
          <w:sz w:val="20"/>
          <w:szCs w:val="20"/>
        </w:rPr>
        <w:t xml:space="preserve">foram </w:t>
      </w:r>
      <w:r w:rsidR="00CA6B5B" w:rsidRPr="00B36334">
        <w:rPr>
          <w:rFonts w:cstheme="minorHAnsi"/>
          <w:sz w:val="20"/>
          <w:szCs w:val="20"/>
        </w:rPr>
        <w:t xml:space="preserve">classificados pela Procuradoria Jurídica como </w:t>
      </w:r>
      <w:r w:rsidR="001C553C">
        <w:rPr>
          <w:rFonts w:cstheme="minorHAnsi"/>
          <w:sz w:val="20"/>
          <w:szCs w:val="20"/>
        </w:rPr>
        <w:t xml:space="preserve">êxito </w:t>
      </w:r>
      <w:r w:rsidR="00CA6B5B" w:rsidRPr="00B36334">
        <w:rPr>
          <w:rFonts w:cstheme="minorHAnsi"/>
          <w:sz w:val="20"/>
          <w:szCs w:val="20"/>
        </w:rPr>
        <w:t xml:space="preserve">possível. </w:t>
      </w:r>
    </w:p>
    <w:tbl>
      <w:tblPr>
        <w:tblW w:w="5000" w:type="pct"/>
        <w:tblCellMar>
          <w:left w:w="70" w:type="dxa"/>
          <w:right w:w="70" w:type="dxa"/>
        </w:tblCellMar>
        <w:tblLook w:val="04A0" w:firstRow="1" w:lastRow="0" w:firstColumn="1" w:lastColumn="0" w:noHBand="0" w:noVBand="1"/>
      </w:tblPr>
      <w:tblGrid>
        <w:gridCol w:w="4271"/>
        <w:gridCol w:w="1149"/>
        <w:gridCol w:w="1765"/>
        <w:gridCol w:w="2131"/>
        <w:gridCol w:w="314"/>
        <w:gridCol w:w="837"/>
      </w:tblGrid>
      <w:tr w:rsidR="00703D25" w:rsidRPr="000128B2" w14:paraId="114FC79C" w14:textId="77777777" w:rsidTr="00E861F3">
        <w:trPr>
          <w:trHeight w:hRule="exact" w:val="227"/>
        </w:trPr>
        <w:tc>
          <w:tcPr>
            <w:tcW w:w="2040" w:type="pct"/>
            <w:vMerge w:val="restart"/>
            <w:tcBorders>
              <w:top w:val="nil"/>
              <w:left w:val="nil"/>
              <w:bottom w:val="single" w:sz="8" w:space="0" w:color="000000"/>
              <w:right w:val="nil"/>
            </w:tcBorders>
            <w:shd w:val="clear" w:color="auto" w:fill="DEEAF6" w:themeFill="accent1" w:themeFillTint="33"/>
            <w:noWrap/>
            <w:vAlign w:val="center"/>
            <w:hideMark/>
          </w:tcPr>
          <w:p w14:paraId="78DCA0C6" w14:textId="0E9C754B" w:rsidR="00703D25" w:rsidRPr="000128B2" w:rsidRDefault="00233560" w:rsidP="00C349A8">
            <w:pPr>
              <w:spacing w:after="0"/>
              <w:rPr>
                <w:rFonts w:cstheme="minorHAnsi"/>
                <w:b/>
                <w:bCs/>
                <w:sz w:val="16"/>
                <w:szCs w:val="16"/>
              </w:rPr>
            </w:pPr>
            <w:r w:rsidRPr="000128B2">
              <w:rPr>
                <w:rFonts w:cstheme="minorHAnsi"/>
                <w:b/>
                <w:bCs/>
                <w:sz w:val="16"/>
                <w:szCs w:val="16"/>
              </w:rPr>
              <w:t xml:space="preserve">Outros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w:t>
            </w:r>
          </w:p>
        </w:tc>
        <w:tc>
          <w:tcPr>
            <w:tcW w:w="549" w:type="pct"/>
            <w:vMerge w:val="restart"/>
            <w:tcBorders>
              <w:top w:val="nil"/>
              <w:left w:val="nil"/>
              <w:bottom w:val="single" w:sz="8" w:space="0" w:color="000000"/>
              <w:right w:val="nil"/>
            </w:tcBorders>
            <w:shd w:val="clear" w:color="auto" w:fill="DEEAF6" w:themeFill="accent1" w:themeFillTint="33"/>
            <w:noWrap/>
            <w:vAlign w:val="center"/>
            <w:hideMark/>
          </w:tcPr>
          <w:p w14:paraId="4310B6DA" w14:textId="11879DBE" w:rsidR="00703D25" w:rsidRPr="000128B2" w:rsidRDefault="00233560" w:rsidP="00F936AE">
            <w:pPr>
              <w:spacing w:after="0"/>
              <w:jc w:val="center"/>
              <w:rPr>
                <w:rFonts w:cstheme="minorHAnsi"/>
                <w:b/>
                <w:bCs/>
                <w:sz w:val="16"/>
                <w:szCs w:val="16"/>
              </w:rPr>
            </w:pPr>
            <w:r w:rsidRPr="000128B2">
              <w:rPr>
                <w:rFonts w:cstheme="minorHAnsi"/>
                <w:b/>
                <w:bCs/>
                <w:sz w:val="16"/>
                <w:szCs w:val="16"/>
              </w:rPr>
              <w:t>Contrato</w:t>
            </w:r>
          </w:p>
        </w:tc>
        <w:tc>
          <w:tcPr>
            <w:tcW w:w="843" w:type="pct"/>
            <w:vMerge w:val="restart"/>
            <w:tcBorders>
              <w:top w:val="nil"/>
              <w:left w:val="nil"/>
              <w:bottom w:val="single" w:sz="8" w:space="0" w:color="000000"/>
              <w:right w:val="nil"/>
            </w:tcBorders>
            <w:shd w:val="clear" w:color="auto" w:fill="DEEAF6" w:themeFill="accent1" w:themeFillTint="33"/>
            <w:vAlign w:val="center"/>
            <w:hideMark/>
          </w:tcPr>
          <w:p w14:paraId="7343AAD3" w14:textId="0C261530" w:rsidR="00703D25" w:rsidRPr="000128B2" w:rsidRDefault="00233560" w:rsidP="00F936AE">
            <w:pPr>
              <w:spacing w:after="0"/>
              <w:jc w:val="center"/>
              <w:rPr>
                <w:rFonts w:cstheme="minorHAnsi"/>
                <w:b/>
                <w:bCs/>
                <w:sz w:val="16"/>
                <w:szCs w:val="16"/>
              </w:rPr>
            </w:pPr>
            <w:r w:rsidRPr="000128B2">
              <w:rPr>
                <w:rFonts w:cstheme="minorHAnsi"/>
                <w:b/>
                <w:bCs/>
                <w:sz w:val="16"/>
                <w:szCs w:val="16"/>
              </w:rPr>
              <w:t xml:space="preserve">Processo </w:t>
            </w:r>
            <w:r w:rsidR="00056518">
              <w:rPr>
                <w:rFonts w:cstheme="minorHAnsi"/>
                <w:b/>
                <w:bCs/>
                <w:sz w:val="16"/>
                <w:szCs w:val="16"/>
              </w:rPr>
              <w:t>A</w:t>
            </w:r>
            <w:r w:rsidRPr="000128B2">
              <w:rPr>
                <w:rFonts w:cstheme="minorHAnsi"/>
                <w:b/>
                <w:bCs/>
                <w:sz w:val="16"/>
                <w:szCs w:val="16"/>
              </w:rPr>
              <w:t>dministrativo</w:t>
            </w:r>
          </w:p>
        </w:tc>
        <w:tc>
          <w:tcPr>
            <w:tcW w:w="1018" w:type="pct"/>
            <w:vMerge w:val="restart"/>
            <w:tcBorders>
              <w:top w:val="nil"/>
              <w:left w:val="nil"/>
              <w:bottom w:val="single" w:sz="8" w:space="0" w:color="000000"/>
              <w:right w:val="nil"/>
            </w:tcBorders>
            <w:shd w:val="clear" w:color="auto" w:fill="DEEAF6" w:themeFill="accent1" w:themeFillTint="33"/>
            <w:vAlign w:val="center"/>
            <w:hideMark/>
          </w:tcPr>
          <w:p w14:paraId="05FD547F" w14:textId="361C8587" w:rsidR="00703D25" w:rsidRPr="000128B2" w:rsidRDefault="00233560" w:rsidP="00F936AE">
            <w:pPr>
              <w:spacing w:after="0"/>
              <w:jc w:val="center"/>
              <w:rPr>
                <w:rFonts w:cstheme="minorHAnsi"/>
                <w:b/>
                <w:bCs/>
                <w:sz w:val="16"/>
                <w:szCs w:val="16"/>
              </w:rPr>
            </w:pPr>
            <w:r w:rsidRPr="000128B2">
              <w:rPr>
                <w:rFonts w:cstheme="minorHAnsi"/>
                <w:b/>
                <w:bCs/>
                <w:sz w:val="16"/>
                <w:szCs w:val="16"/>
              </w:rPr>
              <w:t xml:space="preserve">Processo </w:t>
            </w:r>
            <w:r w:rsidR="00056518">
              <w:rPr>
                <w:rFonts w:cstheme="minorHAnsi"/>
                <w:b/>
                <w:bCs/>
                <w:sz w:val="16"/>
                <w:szCs w:val="16"/>
              </w:rPr>
              <w:t>J</w:t>
            </w:r>
            <w:r w:rsidRPr="000128B2">
              <w:rPr>
                <w:rFonts w:cstheme="minorHAnsi"/>
                <w:b/>
                <w:bCs/>
                <w:sz w:val="16"/>
                <w:szCs w:val="16"/>
              </w:rPr>
              <w:t>udicial</w:t>
            </w:r>
          </w:p>
        </w:tc>
        <w:tc>
          <w:tcPr>
            <w:tcW w:w="550" w:type="pct"/>
            <w:gridSpan w:val="2"/>
            <w:vMerge w:val="restart"/>
            <w:tcBorders>
              <w:top w:val="nil"/>
              <w:left w:val="nil"/>
              <w:bottom w:val="single" w:sz="8" w:space="0" w:color="000000"/>
              <w:right w:val="nil"/>
            </w:tcBorders>
            <w:shd w:val="clear" w:color="auto" w:fill="DEEAF6" w:themeFill="accent1" w:themeFillTint="33"/>
            <w:noWrap/>
            <w:vAlign w:val="center"/>
            <w:hideMark/>
          </w:tcPr>
          <w:p w14:paraId="629F38B8" w14:textId="5D51A7ED" w:rsidR="00703D25" w:rsidRPr="000128B2" w:rsidRDefault="00233560" w:rsidP="00F936AE">
            <w:pPr>
              <w:spacing w:after="0"/>
              <w:jc w:val="center"/>
              <w:rPr>
                <w:rFonts w:cstheme="minorHAnsi"/>
                <w:b/>
                <w:bCs/>
                <w:sz w:val="16"/>
                <w:szCs w:val="16"/>
              </w:rPr>
            </w:pPr>
            <w:r w:rsidRPr="000128B2">
              <w:rPr>
                <w:rFonts w:cstheme="minorHAnsi"/>
                <w:b/>
                <w:bCs/>
                <w:sz w:val="16"/>
                <w:szCs w:val="16"/>
              </w:rPr>
              <w:t>Valor</w:t>
            </w:r>
          </w:p>
        </w:tc>
      </w:tr>
      <w:tr w:rsidR="00703D25" w:rsidRPr="000128B2" w14:paraId="3110A8C3" w14:textId="77777777" w:rsidTr="00E861F3">
        <w:trPr>
          <w:trHeight w:hRule="exact" w:val="227"/>
        </w:trPr>
        <w:tc>
          <w:tcPr>
            <w:tcW w:w="2040" w:type="pct"/>
            <w:vMerge/>
            <w:tcBorders>
              <w:top w:val="nil"/>
              <w:left w:val="nil"/>
              <w:bottom w:val="single" w:sz="8" w:space="0" w:color="000000"/>
              <w:right w:val="nil"/>
            </w:tcBorders>
            <w:shd w:val="clear" w:color="auto" w:fill="DEEAF6" w:themeFill="accent1" w:themeFillTint="33"/>
            <w:vAlign w:val="center"/>
            <w:hideMark/>
          </w:tcPr>
          <w:p w14:paraId="3CA95A34" w14:textId="77777777" w:rsidR="00703D25" w:rsidRPr="000128B2" w:rsidRDefault="00703D25" w:rsidP="00C349A8">
            <w:pPr>
              <w:spacing w:after="0"/>
              <w:rPr>
                <w:rFonts w:cstheme="minorHAnsi"/>
                <w:b/>
                <w:bCs/>
                <w:sz w:val="16"/>
                <w:szCs w:val="16"/>
              </w:rPr>
            </w:pPr>
          </w:p>
        </w:tc>
        <w:tc>
          <w:tcPr>
            <w:tcW w:w="549" w:type="pct"/>
            <w:vMerge/>
            <w:tcBorders>
              <w:top w:val="nil"/>
              <w:left w:val="nil"/>
              <w:bottom w:val="single" w:sz="8" w:space="0" w:color="000000"/>
              <w:right w:val="nil"/>
            </w:tcBorders>
            <w:shd w:val="clear" w:color="auto" w:fill="DEEAF6" w:themeFill="accent1" w:themeFillTint="33"/>
            <w:vAlign w:val="center"/>
            <w:hideMark/>
          </w:tcPr>
          <w:p w14:paraId="47F64F03" w14:textId="77777777" w:rsidR="00703D25" w:rsidRPr="000128B2" w:rsidRDefault="00703D25" w:rsidP="00C349A8">
            <w:pPr>
              <w:spacing w:after="0"/>
              <w:rPr>
                <w:rFonts w:cstheme="minorHAnsi"/>
                <w:b/>
                <w:bCs/>
                <w:sz w:val="16"/>
                <w:szCs w:val="16"/>
              </w:rPr>
            </w:pPr>
          </w:p>
        </w:tc>
        <w:tc>
          <w:tcPr>
            <w:tcW w:w="843" w:type="pct"/>
            <w:vMerge/>
            <w:tcBorders>
              <w:top w:val="nil"/>
              <w:left w:val="nil"/>
              <w:bottom w:val="single" w:sz="8" w:space="0" w:color="000000"/>
              <w:right w:val="nil"/>
            </w:tcBorders>
            <w:shd w:val="clear" w:color="auto" w:fill="DEEAF6" w:themeFill="accent1" w:themeFillTint="33"/>
            <w:vAlign w:val="center"/>
            <w:hideMark/>
          </w:tcPr>
          <w:p w14:paraId="4F4202ED" w14:textId="77777777" w:rsidR="00703D25" w:rsidRPr="000128B2" w:rsidRDefault="00703D25" w:rsidP="00C349A8">
            <w:pPr>
              <w:spacing w:after="0"/>
              <w:rPr>
                <w:rFonts w:cstheme="minorHAnsi"/>
                <w:b/>
                <w:bCs/>
                <w:sz w:val="16"/>
                <w:szCs w:val="16"/>
              </w:rPr>
            </w:pPr>
          </w:p>
        </w:tc>
        <w:tc>
          <w:tcPr>
            <w:tcW w:w="1018" w:type="pct"/>
            <w:vMerge/>
            <w:tcBorders>
              <w:top w:val="nil"/>
              <w:left w:val="nil"/>
              <w:bottom w:val="single" w:sz="8" w:space="0" w:color="000000"/>
              <w:right w:val="nil"/>
            </w:tcBorders>
            <w:shd w:val="clear" w:color="auto" w:fill="DEEAF6" w:themeFill="accent1" w:themeFillTint="33"/>
            <w:vAlign w:val="center"/>
            <w:hideMark/>
          </w:tcPr>
          <w:p w14:paraId="327719F6" w14:textId="77777777" w:rsidR="00703D25" w:rsidRPr="000128B2" w:rsidRDefault="00703D25" w:rsidP="00C349A8">
            <w:pPr>
              <w:spacing w:after="0"/>
              <w:rPr>
                <w:rFonts w:cstheme="minorHAnsi"/>
                <w:b/>
                <w:bCs/>
                <w:sz w:val="16"/>
                <w:szCs w:val="16"/>
              </w:rPr>
            </w:pPr>
          </w:p>
        </w:tc>
        <w:tc>
          <w:tcPr>
            <w:tcW w:w="550" w:type="pct"/>
            <w:gridSpan w:val="2"/>
            <w:vMerge/>
            <w:tcBorders>
              <w:top w:val="nil"/>
              <w:left w:val="nil"/>
              <w:bottom w:val="single" w:sz="8" w:space="0" w:color="000000"/>
              <w:right w:val="nil"/>
            </w:tcBorders>
            <w:shd w:val="clear" w:color="auto" w:fill="DEEAF6" w:themeFill="accent1" w:themeFillTint="33"/>
            <w:vAlign w:val="center"/>
            <w:hideMark/>
          </w:tcPr>
          <w:p w14:paraId="1E2BC05F" w14:textId="77777777" w:rsidR="00703D25" w:rsidRPr="000128B2" w:rsidRDefault="00703D25" w:rsidP="00C349A8">
            <w:pPr>
              <w:spacing w:after="0"/>
              <w:rPr>
                <w:rFonts w:cstheme="minorHAnsi"/>
                <w:b/>
                <w:bCs/>
                <w:sz w:val="16"/>
                <w:szCs w:val="16"/>
              </w:rPr>
            </w:pPr>
          </w:p>
        </w:tc>
      </w:tr>
      <w:tr w:rsidR="00703D25" w:rsidRPr="000128B2" w14:paraId="7ED24200" w14:textId="77777777" w:rsidTr="00E861F3">
        <w:trPr>
          <w:trHeight w:hRule="exact" w:val="227"/>
        </w:trPr>
        <w:tc>
          <w:tcPr>
            <w:tcW w:w="2040" w:type="pct"/>
            <w:tcBorders>
              <w:top w:val="nil"/>
              <w:left w:val="nil"/>
              <w:bottom w:val="nil"/>
              <w:right w:val="nil"/>
            </w:tcBorders>
            <w:shd w:val="clear" w:color="auto" w:fill="auto"/>
            <w:noWrap/>
            <w:vAlign w:val="center"/>
            <w:hideMark/>
          </w:tcPr>
          <w:p w14:paraId="40376C9B" w14:textId="7BA9FA5C" w:rsidR="00703D25" w:rsidRPr="000128B2" w:rsidRDefault="00C41A56" w:rsidP="00C349A8">
            <w:pPr>
              <w:spacing w:after="0"/>
              <w:rPr>
                <w:rFonts w:cstheme="minorHAnsi"/>
                <w:sz w:val="16"/>
                <w:szCs w:val="16"/>
              </w:rPr>
            </w:pPr>
            <w:r w:rsidRPr="000128B2">
              <w:rPr>
                <w:rFonts w:cstheme="minorHAnsi"/>
                <w:sz w:val="16"/>
                <w:szCs w:val="16"/>
              </w:rPr>
              <w:t>A C CORREA CIA LTDA</w:t>
            </w:r>
          </w:p>
        </w:tc>
        <w:tc>
          <w:tcPr>
            <w:tcW w:w="549" w:type="pct"/>
            <w:tcBorders>
              <w:top w:val="nil"/>
              <w:left w:val="nil"/>
              <w:bottom w:val="nil"/>
              <w:right w:val="nil"/>
            </w:tcBorders>
            <w:shd w:val="clear" w:color="auto" w:fill="auto"/>
            <w:noWrap/>
            <w:vAlign w:val="center"/>
            <w:hideMark/>
          </w:tcPr>
          <w:p w14:paraId="294E45E2"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843" w:type="pct"/>
            <w:tcBorders>
              <w:top w:val="nil"/>
              <w:left w:val="nil"/>
              <w:bottom w:val="nil"/>
              <w:right w:val="nil"/>
            </w:tcBorders>
            <w:shd w:val="clear" w:color="auto" w:fill="auto"/>
            <w:vAlign w:val="center"/>
            <w:hideMark/>
          </w:tcPr>
          <w:p w14:paraId="3ADBC532" w14:textId="6E549F71"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1018" w:type="pct"/>
            <w:tcBorders>
              <w:top w:val="nil"/>
              <w:left w:val="nil"/>
              <w:bottom w:val="nil"/>
              <w:right w:val="nil"/>
            </w:tcBorders>
            <w:shd w:val="clear" w:color="auto" w:fill="auto"/>
            <w:vAlign w:val="center"/>
            <w:hideMark/>
          </w:tcPr>
          <w:p w14:paraId="1C28DDB1" w14:textId="79C773CB" w:rsidR="00703D25" w:rsidRPr="000128B2" w:rsidRDefault="001325A0" w:rsidP="003D555D">
            <w:pPr>
              <w:spacing w:after="0"/>
              <w:jc w:val="right"/>
              <w:rPr>
                <w:rFonts w:cstheme="minorHAnsi"/>
                <w:sz w:val="16"/>
                <w:szCs w:val="16"/>
              </w:rPr>
            </w:pPr>
            <w:r>
              <w:rPr>
                <w:rFonts w:cstheme="minorHAnsi"/>
                <w:sz w:val="16"/>
                <w:szCs w:val="16"/>
              </w:rPr>
              <w:t>-</w:t>
            </w:r>
          </w:p>
        </w:tc>
        <w:tc>
          <w:tcPr>
            <w:tcW w:w="550" w:type="pct"/>
            <w:gridSpan w:val="2"/>
            <w:tcBorders>
              <w:top w:val="nil"/>
              <w:left w:val="nil"/>
              <w:bottom w:val="nil"/>
              <w:right w:val="nil"/>
            </w:tcBorders>
            <w:shd w:val="clear" w:color="auto" w:fill="auto"/>
            <w:noWrap/>
            <w:vAlign w:val="center"/>
            <w:hideMark/>
          </w:tcPr>
          <w:p w14:paraId="66CD9090"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r>
      <w:tr w:rsidR="00703D25" w:rsidRPr="000128B2" w14:paraId="72605274" w14:textId="77777777" w:rsidTr="00E861F3">
        <w:trPr>
          <w:trHeight w:hRule="exact" w:val="227"/>
        </w:trPr>
        <w:tc>
          <w:tcPr>
            <w:tcW w:w="2040" w:type="pct"/>
            <w:tcBorders>
              <w:top w:val="nil"/>
              <w:left w:val="nil"/>
              <w:bottom w:val="nil"/>
              <w:right w:val="nil"/>
            </w:tcBorders>
            <w:shd w:val="clear" w:color="auto" w:fill="auto"/>
            <w:noWrap/>
            <w:vAlign w:val="center"/>
            <w:hideMark/>
          </w:tcPr>
          <w:p w14:paraId="633AE6DE" w14:textId="0605A59C" w:rsidR="00703D25" w:rsidRPr="000128B2" w:rsidRDefault="00C41A56" w:rsidP="00C349A8">
            <w:pPr>
              <w:spacing w:after="0"/>
              <w:rPr>
                <w:rFonts w:cstheme="minorHAnsi"/>
                <w:sz w:val="16"/>
                <w:szCs w:val="16"/>
              </w:rPr>
            </w:pPr>
            <w:r w:rsidRPr="000128B2">
              <w:rPr>
                <w:rFonts w:cstheme="minorHAnsi"/>
                <w:sz w:val="16"/>
                <w:szCs w:val="16"/>
              </w:rPr>
              <w:t>AZVI S.A DO BRASIL</w:t>
            </w:r>
          </w:p>
        </w:tc>
        <w:tc>
          <w:tcPr>
            <w:tcW w:w="549" w:type="pct"/>
            <w:tcBorders>
              <w:top w:val="nil"/>
              <w:left w:val="nil"/>
              <w:bottom w:val="nil"/>
              <w:right w:val="nil"/>
            </w:tcBorders>
            <w:shd w:val="clear" w:color="auto" w:fill="auto"/>
            <w:noWrap/>
            <w:vAlign w:val="center"/>
            <w:hideMark/>
          </w:tcPr>
          <w:p w14:paraId="65B7D000"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843" w:type="pct"/>
            <w:tcBorders>
              <w:top w:val="nil"/>
              <w:left w:val="nil"/>
              <w:bottom w:val="nil"/>
              <w:right w:val="nil"/>
            </w:tcBorders>
            <w:shd w:val="clear" w:color="auto" w:fill="auto"/>
            <w:vAlign w:val="center"/>
            <w:hideMark/>
          </w:tcPr>
          <w:p w14:paraId="57B38BC8" w14:textId="59716376"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1018" w:type="pct"/>
            <w:tcBorders>
              <w:top w:val="nil"/>
              <w:left w:val="nil"/>
              <w:bottom w:val="nil"/>
              <w:right w:val="nil"/>
            </w:tcBorders>
            <w:shd w:val="clear" w:color="auto" w:fill="auto"/>
            <w:vAlign w:val="center"/>
            <w:hideMark/>
          </w:tcPr>
          <w:p w14:paraId="1E065432" w14:textId="606D1BF9" w:rsidR="00703D25" w:rsidRPr="000128B2" w:rsidRDefault="002C5AC7" w:rsidP="003D555D">
            <w:pPr>
              <w:spacing w:after="0"/>
              <w:jc w:val="right"/>
              <w:rPr>
                <w:rFonts w:cstheme="minorHAnsi"/>
                <w:sz w:val="16"/>
                <w:szCs w:val="16"/>
              </w:rPr>
            </w:pPr>
            <w:r>
              <w:rPr>
                <w:rFonts w:cstheme="minorHAnsi"/>
                <w:sz w:val="16"/>
                <w:szCs w:val="16"/>
              </w:rPr>
              <w:t>-</w:t>
            </w:r>
          </w:p>
        </w:tc>
        <w:tc>
          <w:tcPr>
            <w:tcW w:w="550" w:type="pct"/>
            <w:gridSpan w:val="2"/>
            <w:tcBorders>
              <w:top w:val="nil"/>
              <w:left w:val="nil"/>
              <w:bottom w:val="nil"/>
              <w:right w:val="nil"/>
            </w:tcBorders>
            <w:shd w:val="clear" w:color="auto" w:fill="auto"/>
            <w:noWrap/>
            <w:vAlign w:val="center"/>
            <w:hideMark/>
          </w:tcPr>
          <w:p w14:paraId="73D8C226"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r>
      <w:tr w:rsidR="00703D25" w:rsidRPr="000128B2" w14:paraId="2DEA2D63" w14:textId="77777777" w:rsidTr="00E861F3">
        <w:trPr>
          <w:trHeight w:hRule="exact" w:val="227"/>
        </w:trPr>
        <w:tc>
          <w:tcPr>
            <w:tcW w:w="2040" w:type="pct"/>
            <w:tcBorders>
              <w:top w:val="nil"/>
              <w:left w:val="nil"/>
              <w:bottom w:val="nil"/>
              <w:right w:val="nil"/>
            </w:tcBorders>
            <w:shd w:val="clear" w:color="auto" w:fill="auto"/>
            <w:noWrap/>
            <w:vAlign w:val="center"/>
            <w:hideMark/>
          </w:tcPr>
          <w:p w14:paraId="74481988" w14:textId="4FC7929C" w:rsidR="00703D25" w:rsidRPr="000128B2" w:rsidRDefault="00C41A56" w:rsidP="00C349A8">
            <w:pPr>
              <w:spacing w:after="0"/>
              <w:rPr>
                <w:rFonts w:cstheme="minorHAnsi"/>
                <w:sz w:val="16"/>
                <w:szCs w:val="16"/>
              </w:rPr>
            </w:pPr>
            <w:r w:rsidRPr="000128B2">
              <w:rPr>
                <w:rFonts w:cstheme="minorHAnsi"/>
                <w:sz w:val="16"/>
                <w:szCs w:val="16"/>
              </w:rPr>
              <w:t>SPAVIAS ENGENHARIA LTDA</w:t>
            </w:r>
          </w:p>
        </w:tc>
        <w:tc>
          <w:tcPr>
            <w:tcW w:w="549" w:type="pct"/>
            <w:tcBorders>
              <w:top w:val="nil"/>
              <w:left w:val="nil"/>
              <w:bottom w:val="nil"/>
              <w:right w:val="nil"/>
            </w:tcBorders>
            <w:shd w:val="clear" w:color="auto" w:fill="auto"/>
            <w:noWrap/>
            <w:vAlign w:val="center"/>
            <w:hideMark/>
          </w:tcPr>
          <w:p w14:paraId="0D087E1B"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843" w:type="pct"/>
            <w:tcBorders>
              <w:top w:val="nil"/>
              <w:left w:val="nil"/>
              <w:bottom w:val="nil"/>
              <w:right w:val="nil"/>
            </w:tcBorders>
            <w:shd w:val="clear" w:color="auto" w:fill="auto"/>
            <w:vAlign w:val="center"/>
            <w:hideMark/>
          </w:tcPr>
          <w:p w14:paraId="19DA837D" w14:textId="4D2DB62A"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1018" w:type="pct"/>
            <w:tcBorders>
              <w:top w:val="nil"/>
              <w:left w:val="nil"/>
              <w:bottom w:val="nil"/>
              <w:right w:val="nil"/>
            </w:tcBorders>
            <w:shd w:val="clear" w:color="auto" w:fill="auto"/>
            <w:vAlign w:val="center"/>
            <w:hideMark/>
          </w:tcPr>
          <w:p w14:paraId="6EF3164B" w14:textId="54D6FDCA" w:rsidR="00703D25" w:rsidRPr="000128B2" w:rsidRDefault="002C5AC7" w:rsidP="003D555D">
            <w:pPr>
              <w:spacing w:after="0"/>
              <w:jc w:val="right"/>
              <w:rPr>
                <w:rFonts w:cstheme="minorHAnsi"/>
                <w:sz w:val="16"/>
                <w:szCs w:val="16"/>
              </w:rPr>
            </w:pPr>
            <w:r>
              <w:rPr>
                <w:rFonts w:cstheme="minorHAnsi"/>
                <w:sz w:val="16"/>
                <w:szCs w:val="16"/>
              </w:rPr>
              <w:t>-</w:t>
            </w:r>
          </w:p>
        </w:tc>
        <w:tc>
          <w:tcPr>
            <w:tcW w:w="550" w:type="pct"/>
            <w:gridSpan w:val="2"/>
            <w:tcBorders>
              <w:top w:val="nil"/>
              <w:left w:val="nil"/>
              <w:bottom w:val="nil"/>
              <w:right w:val="nil"/>
            </w:tcBorders>
            <w:shd w:val="clear" w:color="auto" w:fill="auto"/>
            <w:noWrap/>
            <w:vAlign w:val="center"/>
            <w:hideMark/>
          </w:tcPr>
          <w:p w14:paraId="7EAB2AD0"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r>
      <w:tr w:rsidR="00703D25" w:rsidRPr="000128B2" w14:paraId="3D08E502" w14:textId="77777777" w:rsidTr="00E861F3">
        <w:trPr>
          <w:trHeight w:hRule="exact" w:val="227"/>
        </w:trPr>
        <w:tc>
          <w:tcPr>
            <w:tcW w:w="2040" w:type="pct"/>
            <w:tcBorders>
              <w:top w:val="nil"/>
              <w:left w:val="nil"/>
              <w:bottom w:val="single" w:sz="8" w:space="0" w:color="auto"/>
              <w:right w:val="nil"/>
            </w:tcBorders>
            <w:shd w:val="clear" w:color="auto" w:fill="auto"/>
            <w:noWrap/>
            <w:vAlign w:val="center"/>
            <w:hideMark/>
          </w:tcPr>
          <w:p w14:paraId="0BDBF999" w14:textId="407B0619" w:rsidR="00703D25" w:rsidRPr="000128B2" w:rsidRDefault="00C41A56" w:rsidP="00C349A8">
            <w:pPr>
              <w:spacing w:after="0"/>
              <w:rPr>
                <w:rFonts w:cstheme="minorHAnsi"/>
                <w:sz w:val="16"/>
                <w:szCs w:val="16"/>
              </w:rPr>
            </w:pPr>
            <w:r w:rsidRPr="000128B2">
              <w:rPr>
                <w:rFonts w:cstheme="minorHAnsi"/>
                <w:sz w:val="16"/>
                <w:szCs w:val="16"/>
              </w:rPr>
              <w:t>ALTA ENGENHARIA DE INFRAESTRUTURA LTDA</w:t>
            </w:r>
          </w:p>
        </w:tc>
        <w:tc>
          <w:tcPr>
            <w:tcW w:w="549" w:type="pct"/>
            <w:tcBorders>
              <w:top w:val="nil"/>
              <w:left w:val="nil"/>
              <w:bottom w:val="single" w:sz="8" w:space="0" w:color="auto"/>
              <w:right w:val="nil"/>
            </w:tcBorders>
            <w:shd w:val="clear" w:color="auto" w:fill="auto"/>
            <w:noWrap/>
            <w:vAlign w:val="center"/>
            <w:hideMark/>
          </w:tcPr>
          <w:p w14:paraId="110312C4"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843" w:type="pct"/>
            <w:tcBorders>
              <w:top w:val="nil"/>
              <w:left w:val="nil"/>
              <w:bottom w:val="single" w:sz="8" w:space="0" w:color="auto"/>
              <w:right w:val="nil"/>
            </w:tcBorders>
            <w:shd w:val="clear" w:color="auto" w:fill="auto"/>
            <w:vAlign w:val="center"/>
            <w:hideMark/>
          </w:tcPr>
          <w:p w14:paraId="3DF394D0" w14:textId="69EA7195" w:rsidR="00703D25" w:rsidRPr="000128B2" w:rsidRDefault="00703D25" w:rsidP="00C349A8">
            <w:pPr>
              <w:spacing w:after="0"/>
              <w:jc w:val="right"/>
              <w:rPr>
                <w:rFonts w:cstheme="minorHAnsi"/>
                <w:sz w:val="16"/>
                <w:szCs w:val="16"/>
              </w:rPr>
            </w:pPr>
            <w:r w:rsidRPr="000128B2">
              <w:rPr>
                <w:rFonts w:cstheme="minorHAnsi"/>
                <w:sz w:val="16"/>
                <w:szCs w:val="16"/>
              </w:rPr>
              <w:t xml:space="preserve"> 51402.232530/2019-41</w:t>
            </w:r>
          </w:p>
        </w:tc>
        <w:tc>
          <w:tcPr>
            <w:tcW w:w="1018" w:type="pct"/>
            <w:tcBorders>
              <w:top w:val="nil"/>
              <w:left w:val="nil"/>
              <w:bottom w:val="single" w:sz="8" w:space="0" w:color="auto"/>
              <w:right w:val="nil"/>
            </w:tcBorders>
            <w:shd w:val="clear" w:color="auto" w:fill="auto"/>
            <w:vAlign w:val="center"/>
            <w:hideMark/>
          </w:tcPr>
          <w:p w14:paraId="44A0BE76" w14:textId="0A8DDA1F" w:rsidR="00703D25" w:rsidRPr="000128B2" w:rsidRDefault="002C5AC7" w:rsidP="003D555D">
            <w:pPr>
              <w:spacing w:after="0"/>
              <w:jc w:val="right"/>
              <w:rPr>
                <w:rFonts w:cstheme="minorHAnsi"/>
                <w:sz w:val="16"/>
                <w:szCs w:val="16"/>
              </w:rPr>
            </w:pPr>
            <w:r>
              <w:rPr>
                <w:rFonts w:cstheme="minorHAnsi"/>
                <w:sz w:val="16"/>
                <w:szCs w:val="16"/>
              </w:rPr>
              <w:t>-</w:t>
            </w:r>
          </w:p>
        </w:tc>
        <w:tc>
          <w:tcPr>
            <w:tcW w:w="550" w:type="pct"/>
            <w:gridSpan w:val="2"/>
            <w:tcBorders>
              <w:top w:val="nil"/>
              <w:left w:val="nil"/>
              <w:bottom w:val="single" w:sz="8" w:space="0" w:color="auto"/>
              <w:right w:val="nil"/>
            </w:tcBorders>
            <w:shd w:val="clear" w:color="auto" w:fill="auto"/>
            <w:noWrap/>
            <w:vAlign w:val="center"/>
            <w:hideMark/>
          </w:tcPr>
          <w:p w14:paraId="65B798F8" w14:textId="31CFFEEE" w:rsidR="00703D25" w:rsidRPr="000128B2" w:rsidRDefault="00703D25" w:rsidP="00C349A8">
            <w:pPr>
              <w:spacing w:after="0"/>
              <w:jc w:val="right"/>
              <w:rPr>
                <w:rFonts w:cstheme="minorHAnsi"/>
                <w:sz w:val="16"/>
                <w:szCs w:val="16"/>
              </w:rPr>
            </w:pPr>
            <w:r w:rsidRPr="000128B2">
              <w:rPr>
                <w:rFonts w:cstheme="minorHAnsi"/>
                <w:sz w:val="16"/>
                <w:szCs w:val="16"/>
              </w:rPr>
              <w:t>34.30</w:t>
            </w:r>
            <w:r w:rsidR="000B45F0">
              <w:rPr>
                <w:rFonts w:cstheme="minorHAnsi"/>
                <w:sz w:val="16"/>
                <w:szCs w:val="16"/>
              </w:rPr>
              <w:t>7</w:t>
            </w:r>
          </w:p>
        </w:tc>
      </w:tr>
      <w:tr w:rsidR="00703D25" w:rsidRPr="000128B2" w14:paraId="7CA4C80E" w14:textId="77777777" w:rsidTr="00E861F3">
        <w:trPr>
          <w:trHeight w:hRule="exact" w:val="227"/>
        </w:trPr>
        <w:tc>
          <w:tcPr>
            <w:tcW w:w="2040" w:type="pct"/>
            <w:tcBorders>
              <w:top w:val="nil"/>
              <w:left w:val="nil"/>
              <w:bottom w:val="single" w:sz="4" w:space="0" w:color="auto"/>
              <w:right w:val="nil"/>
            </w:tcBorders>
            <w:shd w:val="clear" w:color="auto" w:fill="DEEAF6" w:themeFill="accent1" w:themeFillTint="33"/>
            <w:noWrap/>
            <w:vAlign w:val="center"/>
            <w:hideMark/>
          </w:tcPr>
          <w:p w14:paraId="194658EB" w14:textId="2C2BF424" w:rsidR="00703D25" w:rsidRPr="000128B2" w:rsidRDefault="00233560" w:rsidP="00C349A8">
            <w:pPr>
              <w:spacing w:after="0"/>
              <w:rPr>
                <w:rFonts w:cstheme="minorHAnsi"/>
                <w:b/>
                <w:bCs/>
                <w:sz w:val="16"/>
                <w:szCs w:val="16"/>
              </w:rPr>
            </w:pPr>
            <w:r>
              <w:rPr>
                <w:rFonts w:cstheme="minorHAnsi"/>
                <w:b/>
                <w:bCs/>
                <w:sz w:val="16"/>
                <w:szCs w:val="16"/>
              </w:rPr>
              <w:t>T</w:t>
            </w:r>
            <w:r w:rsidRPr="000128B2">
              <w:rPr>
                <w:rFonts w:cstheme="minorHAnsi"/>
                <w:b/>
                <w:bCs/>
                <w:sz w:val="16"/>
                <w:szCs w:val="16"/>
              </w:rPr>
              <w:t xml:space="preserve">otal de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w:t>
            </w:r>
          </w:p>
        </w:tc>
        <w:tc>
          <w:tcPr>
            <w:tcW w:w="549" w:type="pct"/>
            <w:tcBorders>
              <w:top w:val="nil"/>
              <w:left w:val="nil"/>
              <w:bottom w:val="single" w:sz="4" w:space="0" w:color="auto"/>
              <w:right w:val="nil"/>
            </w:tcBorders>
            <w:shd w:val="clear" w:color="auto" w:fill="DEEAF6" w:themeFill="accent1" w:themeFillTint="33"/>
            <w:noWrap/>
            <w:vAlign w:val="center"/>
            <w:hideMark/>
          </w:tcPr>
          <w:p w14:paraId="3ACDE505"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843" w:type="pct"/>
            <w:tcBorders>
              <w:top w:val="single" w:sz="8" w:space="0" w:color="auto"/>
              <w:left w:val="nil"/>
              <w:bottom w:val="single" w:sz="4" w:space="0" w:color="auto"/>
              <w:right w:val="nil"/>
            </w:tcBorders>
            <w:shd w:val="clear" w:color="auto" w:fill="DEEAF6" w:themeFill="accent1" w:themeFillTint="33"/>
            <w:vAlign w:val="center"/>
            <w:hideMark/>
          </w:tcPr>
          <w:p w14:paraId="07D7CCC2"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018" w:type="pct"/>
            <w:tcBorders>
              <w:top w:val="nil"/>
              <w:left w:val="nil"/>
              <w:bottom w:val="single" w:sz="4" w:space="0" w:color="auto"/>
              <w:right w:val="nil"/>
            </w:tcBorders>
            <w:shd w:val="clear" w:color="auto" w:fill="DEEAF6" w:themeFill="accent1" w:themeFillTint="33"/>
            <w:vAlign w:val="center"/>
            <w:hideMark/>
          </w:tcPr>
          <w:p w14:paraId="7CD6DD14"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550" w:type="pct"/>
            <w:gridSpan w:val="2"/>
            <w:tcBorders>
              <w:top w:val="nil"/>
              <w:left w:val="nil"/>
              <w:bottom w:val="single" w:sz="4" w:space="0" w:color="auto"/>
              <w:right w:val="nil"/>
            </w:tcBorders>
            <w:shd w:val="clear" w:color="auto" w:fill="DEEAF6" w:themeFill="accent1" w:themeFillTint="33"/>
            <w:noWrap/>
            <w:vAlign w:val="center"/>
            <w:hideMark/>
          </w:tcPr>
          <w:p w14:paraId="59EC47B8" w14:textId="60365F63" w:rsidR="00703D25" w:rsidRPr="000128B2" w:rsidRDefault="00703D25" w:rsidP="00C349A8">
            <w:pPr>
              <w:spacing w:after="0"/>
              <w:jc w:val="right"/>
              <w:rPr>
                <w:rFonts w:cstheme="minorHAnsi"/>
                <w:b/>
                <w:bCs/>
                <w:sz w:val="16"/>
                <w:szCs w:val="16"/>
              </w:rPr>
            </w:pPr>
            <w:r w:rsidRPr="000128B2">
              <w:rPr>
                <w:rFonts w:cstheme="minorHAnsi"/>
                <w:b/>
                <w:bCs/>
                <w:sz w:val="16"/>
                <w:szCs w:val="16"/>
              </w:rPr>
              <w:t>12.417.12</w:t>
            </w:r>
            <w:r w:rsidR="003633A0">
              <w:rPr>
                <w:rFonts w:cstheme="minorHAnsi"/>
                <w:b/>
                <w:bCs/>
                <w:sz w:val="16"/>
                <w:szCs w:val="16"/>
              </w:rPr>
              <w:t>8</w:t>
            </w:r>
          </w:p>
        </w:tc>
      </w:tr>
      <w:tr w:rsidR="00703D25" w:rsidRPr="00033CFD" w14:paraId="0ADA2339" w14:textId="77777777" w:rsidTr="00E861F3">
        <w:trPr>
          <w:trHeight w:hRule="exact" w:val="227"/>
        </w:trPr>
        <w:tc>
          <w:tcPr>
            <w:tcW w:w="2040" w:type="pct"/>
            <w:tcBorders>
              <w:top w:val="single" w:sz="4" w:space="0" w:color="auto"/>
              <w:left w:val="nil"/>
              <w:right w:val="nil"/>
            </w:tcBorders>
            <w:shd w:val="clear" w:color="auto" w:fill="auto"/>
            <w:noWrap/>
            <w:vAlign w:val="center"/>
            <w:hideMark/>
          </w:tcPr>
          <w:p w14:paraId="589BADCE" w14:textId="0A14F352" w:rsidR="00703D25" w:rsidRPr="000128B2" w:rsidRDefault="00703D25" w:rsidP="00C349A8">
            <w:pPr>
              <w:spacing w:after="0"/>
              <w:rPr>
                <w:rFonts w:cstheme="minorHAnsi"/>
                <w:b/>
                <w:bCs/>
                <w:sz w:val="16"/>
                <w:szCs w:val="16"/>
              </w:rPr>
            </w:pPr>
          </w:p>
        </w:tc>
        <w:tc>
          <w:tcPr>
            <w:tcW w:w="549" w:type="pct"/>
            <w:tcBorders>
              <w:top w:val="single" w:sz="4" w:space="0" w:color="auto"/>
              <w:left w:val="nil"/>
              <w:right w:val="nil"/>
            </w:tcBorders>
            <w:shd w:val="clear" w:color="auto" w:fill="auto"/>
            <w:noWrap/>
            <w:vAlign w:val="center"/>
            <w:hideMark/>
          </w:tcPr>
          <w:p w14:paraId="6767A741" w14:textId="77777777" w:rsidR="00703D25" w:rsidRPr="000128B2" w:rsidRDefault="00703D25" w:rsidP="00C349A8">
            <w:pPr>
              <w:spacing w:after="0"/>
              <w:rPr>
                <w:rFonts w:cstheme="minorHAnsi"/>
                <w:b/>
                <w:bCs/>
                <w:sz w:val="16"/>
                <w:szCs w:val="16"/>
              </w:rPr>
            </w:pPr>
          </w:p>
        </w:tc>
        <w:tc>
          <w:tcPr>
            <w:tcW w:w="843" w:type="pct"/>
            <w:tcBorders>
              <w:top w:val="single" w:sz="4" w:space="0" w:color="auto"/>
              <w:left w:val="nil"/>
              <w:right w:val="nil"/>
            </w:tcBorders>
            <w:shd w:val="clear" w:color="auto" w:fill="auto"/>
            <w:vAlign w:val="center"/>
            <w:hideMark/>
          </w:tcPr>
          <w:p w14:paraId="0E884647" w14:textId="77777777" w:rsidR="00703D25" w:rsidRPr="000128B2" w:rsidRDefault="00703D25" w:rsidP="00033CFD">
            <w:pPr>
              <w:spacing w:after="0"/>
              <w:rPr>
                <w:rFonts w:cstheme="minorHAnsi"/>
                <w:b/>
                <w:bCs/>
                <w:sz w:val="16"/>
                <w:szCs w:val="16"/>
              </w:rPr>
            </w:pPr>
            <w:r w:rsidRPr="000128B2">
              <w:rPr>
                <w:rFonts w:cstheme="minorHAnsi"/>
                <w:b/>
                <w:bCs/>
                <w:sz w:val="16"/>
                <w:szCs w:val="16"/>
              </w:rPr>
              <w:t> </w:t>
            </w:r>
          </w:p>
        </w:tc>
        <w:tc>
          <w:tcPr>
            <w:tcW w:w="1018" w:type="pct"/>
            <w:tcBorders>
              <w:top w:val="single" w:sz="4" w:space="0" w:color="auto"/>
              <w:left w:val="nil"/>
              <w:right w:val="nil"/>
            </w:tcBorders>
            <w:shd w:val="clear" w:color="auto" w:fill="auto"/>
            <w:vAlign w:val="center"/>
            <w:hideMark/>
          </w:tcPr>
          <w:p w14:paraId="1CFCC738" w14:textId="77777777" w:rsidR="00703D25" w:rsidRPr="000128B2" w:rsidRDefault="00703D25" w:rsidP="00033CFD">
            <w:pPr>
              <w:spacing w:after="0"/>
              <w:rPr>
                <w:rFonts w:cstheme="minorHAnsi"/>
                <w:b/>
                <w:bCs/>
                <w:sz w:val="16"/>
                <w:szCs w:val="16"/>
              </w:rPr>
            </w:pPr>
          </w:p>
        </w:tc>
        <w:tc>
          <w:tcPr>
            <w:tcW w:w="550" w:type="pct"/>
            <w:gridSpan w:val="2"/>
            <w:tcBorders>
              <w:top w:val="single" w:sz="4" w:space="0" w:color="auto"/>
              <w:left w:val="nil"/>
              <w:right w:val="nil"/>
            </w:tcBorders>
            <w:shd w:val="clear" w:color="auto" w:fill="auto"/>
            <w:noWrap/>
            <w:vAlign w:val="center"/>
            <w:hideMark/>
          </w:tcPr>
          <w:p w14:paraId="28737661" w14:textId="03C3AB01" w:rsidR="00703D25" w:rsidRPr="000128B2" w:rsidRDefault="00703D25" w:rsidP="00033CFD">
            <w:pPr>
              <w:spacing w:after="0"/>
              <w:rPr>
                <w:rFonts w:cstheme="minorHAnsi"/>
                <w:b/>
                <w:bCs/>
                <w:sz w:val="16"/>
                <w:szCs w:val="16"/>
              </w:rPr>
            </w:pPr>
          </w:p>
        </w:tc>
      </w:tr>
      <w:tr w:rsidR="003A152C" w:rsidRPr="000128B2" w14:paraId="625A52FA" w14:textId="77777777" w:rsidTr="00E861F3">
        <w:trPr>
          <w:trHeight w:hRule="exact" w:val="227"/>
        </w:trPr>
        <w:tc>
          <w:tcPr>
            <w:tcW w:w="2040" w:type="pct"/>
            <w:tcBorders>
              <w:left w:val="nil"/>
              <w:bottom w:val="single" w:sz="4" w:space="0" w:color="auto"/>
              <w:right w:val="nil"/>
            </w:tcBorders>
            <w:shd w:val="clear" w:color="auto" w:fill="DEEAF6" w:themeFill="accent1" w:themeFillTint="33"/>
            <w:noWrap/>
            <w:vAlign w:val="center"/>
          </w:tcPr>
          <w:p w14:paraId="13D48AA5" w14:textId="3400B3EC" w:rsidR="003A152C" w:rsidRPr="000128B2" w:rsidRDefault="003A152C" w:rsidP="00B44F97">
            <w:pPr>
              <w:spacing w:after="0"/>
              <w:rPr>
                <w:rFonts w:cstheme="minorHAnsi"/>
                <w:b/>
                <w:bCs/>
                <w:sz w:val="16"/>
                <w:szCs w:val="16"/>
              </w:rPr>
            </w:pPr>
            <w:r w:rsidRPr="000128B2">
              <w:rPr>
                <w:rFonts w:cstheme="minorHAnsi"/>
                <w:b/>
                <w:bCs/>
                <w:sz w:val="16"/>
                <w:szCs w:val="16"/>
              </w:rPr>
              <w:t xml:space="preserve">Ajustes para Perdas com </w:t>
            </w:r>
            <w:r w:rsidR="00056518">
              <w:rPr>
                <w:rFonts w:cstheme="minorHAnsi"/>
                <w:b/>
                <w:bCs/>
                <w:sz w:val="16"/>
                <w:szCs w:val="16"/>
              </w:rPr>
              <w:t>C</w:t>
            </w:r>
            <w:r w:rsidRPr="000128B2">
              <w:rPr>
                <w:rFonts w:cstheme="minorHAnsi"/>
                <w:b/>
                <w:bCs/>
                <w:sz w:val="16"/>
                <w:szCs w:val="16"/>
              </w:rPr>
              <w:t xml:space="preserve">rédito de </w:t>
            </w:r>
            <w:r w:rsidR="00056518">
              <w:rPr>
                <w:rFonts w:cstheme="minorHAnsi"/>
                <w:b/>
                <w:bCs/>
                <w:sz w:val="16"/>
                <w:szCs w:val="16"/>
              </w:rPr>
              <w:t>L</w:t>
            </w:r>
            <w:r w:rsidRPr="000128B2">
              <w:rPr>
                <w:rFonts w:cstheme="minorHAnsi"/>
                <w:b/>
                <w:bCs/>
                <w:sz w:val="16"/>
                <w:szCs w:val="16"/>
              </w:rPr>
              <w:t xml:space="preserve">iquidação </w:t>
            </w:r>
            <w:r w:rsidR="00056518">
              <w:rPr>
                <w:rFonts w:cstheme="minorHAnsi"/>
                <w:b/>
                <w:bCs/>
                <w:sz w:val="16"/>
                <w:szCs w:val="16"/>
              </w:rPr>
              <w:t>D</w:t>
            </w:r>
            <w:r w:rsidRPr="000128B2">
              <w:rPr>
                <w:rFonts w:cstheme="minorHAnsi"/>
                <w:b/>
                <w:bCs/>
                <w:sz w:val="16"/>
                <w:szCs w:val="16"/>
              </w:rPr>
              <w:t>uvidosa</w:t>
            </w:r>
          </w:p>
        </w:tc>
        <w:tc>
          <w:tcPr>
            <w:tcW w:w="2560" w:type="pct"/>
            <w:gridSpan w:val="4"/>
            <w:tcBorders>
              <w:left w:val="nil"/>
              <w:bottom w:val="single" w:sz="4" w:space="0" w:color="auto"/>
              <w:right w:val="nil"/>
            </w:tcBorders>
            <w:shd w:val="clear" w:color="auto" w:fill="DEEAF6" w:themeFill="accent1" w:themeFillTint="33"/>
            <w:noWrap/>
            <w:vAlign w:val="center"/>
          </w:tcPr>
          <w:p w14:paraId="5BD78A52" w14:textId="77777777" w:rsidR="003A152C" w:rsidRPr="000128B2" w:rsidRDefault="003A152C" w:rsidP="00B44F97">
            <w:pPr>
              <w:spacing w:after="0"/>
              <w:jc w:val="center"/>
              <w:rPr>
                <w:rFonts w:cstheme="minorHAnsi"/>
                <w:b/>
                <w:bCs/>
                <w:sz w:val="16"/>
                <w:szCs w:val="16"/>
              </w:rPr>
            </w:pPr>
          </w:p>
        </w:tc>
        <w:tc>
          <w:tcPr>
            <w:tcW w:w="400" w:type="pct"/>
            <w:tcBorders>
              <w:top w:val="nil"/>
              <w:left w:val="nil"/>
              <w:bottom w:val="single" w:sz="4" w:space="0" w:color="auto"/>
              <w:right w:val="nil"/>
            </w:tcBorders>
            <w:shd w:val="clear" w:color="auto" w:fill="DEEAF6" w:themeFill="accent1" w:themeFillTint="33"/>
            <w:noWrap/>
            <w:vAlign w:val="center"/>
          </w:tcPr>
          <w:p w14:paraId="76E25656" w14:textId="56D7DEC8" w:rsidR="003A152C" w:rsidRPr="000128B2" w:rsidRDefault="003A152C" w:rsidP="00B44F97">
            <w:pPr>
              <w:spacing w:after="0"/>
              <w:jc w:val="right"/>
              <w:rPr>
                <w:rFonts w:cstheme="minorHAnsi"/>
                <w:b/>
                <w:bCs/>
                <w:sz w:val="16"/>
                <w:szCs w:val="16"/>
              </w:rPr>
            </w:pPr>
          </w:p>
        </w:tc>
      </w:tr>
      <w:tr w:rsidR="00703D25" w:rsidRPr="000128B2" w14:paraId="222AEC59" w14:textId="77777777" w:rsidTr="00E861F3">
        <w:trPr>
          <w:trHeight w:hRule="exact" w:val="227"/>
        </w:trPr>
        <w:tc>
          <w:tcPr>
            <w:tcW w:w="2040" w:type="pct"/>
            <w:tcBorders>
              <w:top w:val="single" w:sz="4" w:space="0" w:color="auto"/>
              <w:left w:val="nil"/>
              <w:bottom w:val="nil"/>
              <w:right w:val="nil"/>
            </w:tcBorders>
            <w:shd w:val="clear" w:color="auto" w:fill="auto"/>
            <w:noWrap/>
            <w:vAlign w:val="center"/>
            <w:hideMark/>
          </w:tcPr>
          <w:p w14:paraId="6D85FEC5"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 C CORREA CIA LTDA</w:t>
            </w:r>
          </w:p>
        </w:tc>
        <w:tc>
          <w:tcPr>
            <w:tcW w:w="549" w:type="pct"/>
            <w:tcBorders>
              <w:top w:val="single" w:sz="4" w:space="0" w:color="auto"/>
              <w:left w:val="nil"/>
              <w:bottom w:val="nil"/>
              <w:right w:val="nil"/>
            </w:tcBorders>
            <w:shd w:val="clear" w:color="auto" w:fill="auto"/>
            <w:noWrap/>
            <w:vAlign w:val="center"/>
            <w:hideMark/>
          </w:tcPr>
          <w:p w14:paraId="488BCD31"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843" w:type="pct"/>
            <w:tcBorders>
              <w:top w:val="single" w:sz="4" w:space="0" w:color="auto"/>
              <w:left w:val="nil"/>
              <w:bottom w:val="nil"/>
              <w:right w:val="nil"/>
            </w:tcBorders>
            <w:shd w:val="clear" w:color="auto" w:fill="auto"/>
            <w:vAlign w:val="center"/>
            <w:hideMark/>
          </w:tcPr>
          <w:p w14:paraId="364BB3EF" w14:textId="77777777"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1018" w:type="pct"/>
            <w:tcBorders>
              <w:top w:val="single" w:sz="4" w:space="0" w:color="auto"/>
              <w:left w:val="nil"/>
              <w:bottom w:val="nil"/>
              <w:right w:val="nil"/>
            </w:tcBorders>
            <w:shd w:val="clear" w:color="auto" w:fill="auto"/>
            <w:vAlign w:val="center"/>
            <w:hideMark/>
          </w:tcPr>
          <w:p w14:paraId="11429737" w14:textId="77777777" w:rsidR="00703D25" w:rsidRPr="000128B2" w:rsidRDefault="00703D25" w:rsidP="007679B3">
            <w:pPr>
              <w:spacing w:after="0"/>
              <w:rPr>
                <w:rFonts w:cstheme="minorHAnsi"/>
                <w:sz w:val="16"/>
                <w:szCs w:val="16"/>
              </w:rPr>
            </w:pPr>
            <w:r w:rsidRPr="000128B2">
              <w:rPr>
                <w:rFonts w:cstheme="minorHAnsi"/>
                <w:sz w:val="16"/>
                <w:szCs w:val="16"/>
              </w:rPr>
              <w:t>1009877-63.2020.4.01.3400</w:t>
            </w:r>
          </w:p>
        </w:tc>
        <w:tc>
          <w:tcPr>
            <w:tcW w:w="550" w:type="pct"/>
            <w:gridSpan w:val="2"/>
            <w:tcBorders>
              <w:top w:val="nil"/>
              <w:left w:val="nil"/>
              <w:bottom w:val="nil"/>
              <w:right w:val="nil"/>
            </w:tcBorders>
            <w:shd w:val="clear" w:color="auto" w:fill="auto"/>
            <w:noWrap/>
            <w:vAlign w:val="center"/>
            <w:hideMark/>
          </w:tcPr>
          <w:p w14:paraId="42AFE615"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r>
      <w:tr w:rsidR="00703D25" w:rsidRPr="000128B2" w14:paraId="2FDC6C6C" w14:textId="77777777" w:rsidTr="00E861F3">
        <w:trPr>
          <w:trHeight w:hRule="exact" w:val="227"/>
        </w:trPr>
        <w:tc>
          <w:tcPr>
            <w:tcW w:w="2040" w:type="pct"/>
            <w:tcBorders>
              <w:top w:val="nil"/>
              <w:left w:val="nil"/>
              <w:bottom w:val="nil"/>
              <w:right w:val="nil"/>
            </w:tcBorders>
            <w:shd w:val="clear" w:color="auto" w:fill="auto"/>
            <w:noWrap/>
            <w:vAlign w:val="center"/>
            <w:hideMark/>
          </w:tcPr>
          <w:p w14:paraId="63B9C74E"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AZVI S.A DO BRASIL</w:t>
            </w:r>
          </w:p>
        </w:tc>
        <w:tc>
          <w:tcPr>
            <w:tcW w:w="549" w:type="pct"/>
            <w:tcBorders>
              <w:top w:val="nil"/>
              <w:left w:val="nil"/>
              <w:bottom w:val="nil"/>
              <w:right w:val="nil"/>
            </w:tcBorders>
            <w:shd w:val="clear" w:color="auto" w:fill="auto"/>
            <w:noWrap/>
            <w:vAlign w:val="center"/>
            <w:hideMark/>
          </w:tcPr>
          <w:p w14:paraId="691FE548"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843" w:type="pct"/>
            <w:tcBorders>
              <w:top w:val="nil"/>
              <w:left w:val="nil"/>
              <w:bottom w:val="nil"/>
              <w:right w:val="nil"/>
            </w:tcBorders>
            <w:shd w:val="clear" w:color="auto" w:fill="auto"/>
            <w:vAlign w:val="center"/>
            <w:hideMark/>
          </w:tcPr>
          <w:p w14:paraId="07ABF538" w14:textId="77777777"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1018" w:type="pct"/>
            <w:tcBorders>
              <w:top w:val="nil"/>
              <w:left w:val="nil"/>
              <w:bottom w:val="nil"/>
              <w:right w:val="nil"/>
            </w:tcBorders>
            <w:shd w:val="clear" w:color="auto" w:fill="auto"/>
            <w:vAlign w:val="center"/>
            <w:hideMark/>
          </w:tcPr>
          <w:p w14:paraId="6AEB14B2" w14:textId="77777777" w:rsidR="00703D25" w:rsidRPr="000128B2" w:rsidRDefault="00703D25" w:rsidP="00FA5C67">
            <w:pPr>
              <w:spacing w:after="0"/>
              <w:rPr>
                <w:rFonts w:cstheme="minorHAnsi"/>
                <w:sz w:val="16"/>
                <w:szCs w:val="16"/>
              </w:rPr>
            </w:pPr>
            <w:r w:rsidRPr="000128B2">
              <w:rPr>
                <w:rFonts w:cstheme="minorHAnsi"/>
                <w:sz w:val="16"/>
                <w:szCs w:val="16"/>
              </w:rPr>
              <w:t>1026732-20.2020.4.01.3400</w:t>
            </w:r>
          </w:p>
        </w:tc>
        <w:tc>
          <w:tcPr>
            <w:tcW w:w="550" w:type="pct"/>
            <w:gridSpan w:val="2"/>
            <w:tcBorders>
              <w:top w:val="nil"/>
              <w:left w:val="nil"/>
              <w:bottom w:val="nil"/>
              <w:right w:val="nil"/>
            </w:tcBorders>
            <w:shd w:val="clear" w:color="auto" w:fill="auto"/>
            <w:noWrap/>
            <w:vAlign w:val="center"/>
            <w:hideMark/>
          </w:tcPr>
          <w:p w14:paraId="5785E913"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r>
      <w:tr w:rsidR="00703D25" w:rsidRPr="000128B2" w14:paraId="43316936" w14:textId="77777777" w:rsidTr="00E861F3">
        <w:trPr>
          <w:trHeight w:hRule="exact" w:val="227"/>
        </w:trPr>
        <w:tc>
          <w:tcPr>
            <w:tcW w:w="2040" w:type="pct"/>
            <w:tcBorders>
              <w:top w:val="nil"/>
              <w:left w:val="nil"/>
              <w:bottom w:val="single" w:sz="8" w:space="0" w:color="auto"/>
              <w:right w:val="nil"/>
            </w:tcBorders>
            <w:shd w:val="clear" w:color="auto" w:fill="auto"/>
            <w:noWrap/>
            <w:vAlign w:val="center"/>
            <w:hideMark/>
          </w:tcPr>
          <w:p w14:paraId="363834BD"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SPAVIAS ENGENHARIA LTDA</w:t>
            </w:r>
          </w:p>
        </w:tc>
        <w:tc>
          <w:tcPr>
            <w:tcW w:w="549" w:type="pct"/>
            <w:tcBorders>
              <w:top w:val="nil"/>
              <w:left w:val="nil"/>
              <w:bottom w:val="single" w:sz="8" w:space="0" w:color="auto"/>
              <w:right w:val="nil"/>
            </w:tcBorders>
            <w:shd w:val="clear" w:color="auto" w:fill="auto"/>
            <w:noWrap/>
            <w:vAlign w:val="center"/>
            <w:hideMark/>
          </w:tcPr>
          <w:p w14:paraId="254C17C5"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843" w:type="pct"/>
            <w:tcBorders>
              <w:top w:val="nil"/>
              <w:left w:val="nil"/>
              <w:bottom w:val="single" w:sz="8" w:space="0" w:color="auto"/>
              <w:right w:val="nil"/>
            </w:tcBorders>
            <w:shd w:val="clear" w:color="auto" w:fill="auto"/>
            <w:vAlign w:val="center"/>
            <w:hideMark/>
          </w:tcPr>
          <w:p w14:paraId="7338A3A0" w14:textId="66DF72C2" w:rsidR="00703D25" w:rsidRPr="000128B2" w:rsidRDefault="00703D25" w:rsidP="00C349A8">
            <w:pPr>
              <w:spacing w:after="0"/>
              <w:jc w:val="right"/>
              <w:rPr>
                <w:rFonts w:cstheme="minorHAnsi"/>
                <w:sz w:val="16"/>
                <w:szCs w:val="16"/>
              </w:rPr>
            </w:pPr>
            <w:r w:rsidRPr="000128B2">
              <w:rPr>
                <w:rFonts w:cstheme="minorHAnsi"/>
                <w:sz w:val="16"/>
                <w:szCs w:val="16"/>
              </w:rPr>
              <w:t>51402.198131/2018-63</w:t>
            </w:r>
          </w:p>
        </w:tc>
        <w:tc>
          <w:tcPr>
            <w:tcW w:w="1018" w:type="pct"/>
            <w:tcBorders>
              <w:top w:val="nil"/>
              <w:left w:val="nil"/>
              <w:bottom w:val="single" w:sz="8" w:space="0" w:color="auto"/>
              <w:right w:val="nil"/>
            </w:tcBorders>
            <w:shd w:val="clear" w:color="auto" w:fill="auto"/>
            <w:vAlign w:val="center"/>
            <w:hideMark/>
          </w:tcPr>
          <w:p w14:paraId="5EEA20C4" w14:textId="77777777" w:rsidR="00703D25" w:rsidRPr="000128B2" w:rsidRDefault="00703D25" w:rsidP="008332A1">
            <w:pPr>
              <w:spacing w:after="0"/>
              <w:rPr>
                <w:rFonts w:cstheme="minorHAnsi"/>
                <w:sz w:val="16"/>
                <w:szCs w:val="16"/>
              </w:rPr>
            </w:pPr>
            <w:r w:rsidRPr="000128B2">
              <w:rPr>
                <w:rFonts w:cstheme="minorHAnsi"/>
                <w:sz w:val="16"/>
                <w:szCs w:val="16"/>
              </w:rPr>
              <w:t>1041194-16.2019.4.01.3400</w:t>
            </w:r>
          </w:p>
        </w:tc>
        <w:tc>
          <w:tcPr>
            <w:tcW w:w="550" w:type="pct"/>
            <w:gridSpan w:val="2"/>
            <w:tcBorders>
              <w:top w:val="nil"/>
              <w:left w:val="nil"/>
              <w:bottom w:val="single" w:sz="8" w:space="0" w:color="auto"/>
              <w:right w:val="nil"/>
            </w:tcBorders>
            <w:shd w:val="clear" w:color="auto" w:fill="auto"/>
            <w:noWrap/>
            <w:vAlign w:val="center"/>
            <w:hideMark/>
          </w:tcPr>
          <w:p w14:paraId="56F7F1EB"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r>
      <w:tr w:rsidR="00033CFD" w:rsidRPr="000128B2" w14:paraId="640DF52A" w14:textId="77777777" w:rsidTr="00E861F3">
        <w:trPr>
          <w:trHeight w:hRule="exact" w:val="227"/>
        </w:trPr>
        <w:tc>
          <w:tcPr>
            <w:tcW w:w="2040" w:type="pct"/>
            <w:tcBorders>
              <w:top w:val="nil"/>
              <w:left w:val="nil"/>
              <w:bottom w:val="single" w:sz="8" w:space="0" w:color="auto"/>
              <w:right w:val="nil"/>
            </w:tcBorders>
            <w:shd w:val="clear" w:color="auto" w:fill="DEEAF6" w:themeFill="accent1" w:themeFillTint="33"/>
            <w:noWrap/>
            <w:vAlign w:val="center"/>
          </w:tcPr>
          <w:p w14:paraId="1C7FC3B5" w14:textId="49FB941B" w:rsidR="00033CFD" w:rsidRPr="000128B2" w:rsidRDefault="004F7A1E" w:rsidP="00C349A8">
            <w:pPr>
              <w:spacing w:after="0"/>
              <w:rPr>
                <w:rFonts w:cstheme="minorHAnsi"/>
                <w:b/>
                <w:bCs/>
                <w:sz w:val="16"/>
                <w:szCs w:val="16"/>
              </w:rPr>
            </w:pPr>
            <w:r>
              <w:rPr>
                <w:rFonts w:cstheme="minorHAnsi"/>
                <w:b/>
                <w:bCs/>
                <w:sz w:val="16"/>
                <w:szCs w:val="16"/>
              </w:rPr>
              <w:t xml:space="preserve">Total </w:t>
            </w:r>
            <w:r w:rsidR="00056518">
              <w:rPr>
                <w:rFonts w:cstheme="minorHAnsi"/>
                <w:b/>
                <w:bCs/>
                <w:sz w:val="16"/>
                <w:szCs w:val="16"/>
              </w:rPr>
              <w:t>A</w:t>
            </w:r>
            <w:r w:rsidR="001115FE">
              <w:rPr>
                <w:rFonts w:cstheme="minorHAnsi"/>
                <w:b/>
                <w:bCs/>
                <w:sz w:val="16"/>
                <w:szCs w:val="16"/>
              </w:rPr>
              <w:t xml:space="preserve">justes para </w:t>
            </w:r>
            <w:r w:rsidR="00056518">
              <w:rPr>
                <w:rFonts w:cstheme="minorHAnsi"/>
                <w:b/>
                <w:bCs/>
                <w:sz w:val="16"/>
                <w:szCs w:val="16"/>
              </w:rPr>
              <w:t>P</w:t>
            </w:r>
            <w:r w:rsidR="001115FE">
              <w:rPr>
                <w:rFonts w:cstheme="minorHAnsi"/>
                <w:b/>
                <w:bCs/>
                <w:sz w:val="16"/>
                <w:szCs w:val="16"/>
              </w:rPr>
              <w:t>erdas</w:t>
            </w:r>
          </w:p>
        </w:tc>
        <w:tc>
          <w:tcPr>
            <w:tcW w:w="2410" w:type="pct"/>
            <w:gridSpan w:val="3"/>
            <w:tcBorders>
              <w:top w:val="single" w:sz="8" w:space="0" w:color="auto"/>
              <w:left w:val="nil"/>
              <w:bottom w:val="single" w:sz="8" w:space="0" w:color="auto"/>
              <w:right w:val="nil"/>
            </w:tcBorders>
            <w:shd w:val="clear" w:color="auto" w:fill="DEEAF6" w:themeFill="accent1" w:themeFillTint="33"/>
            <w:noWrap/>
            <w:vAlign w:val="center"/>
          </w:tcPr>
          <w:p w14:paraId="6C83C74D" w14:textId="77777777" w:rsidR="00033CFD" w:rsidRPr="000128B2" w:rsidRDefault="00033CFD" w:rsidP="00C349A8">
            <w:pPr>
              <w:spacing w:after="0"/>
              <w:jc w:val="center"/>
              <w:rPr>
                <w:rFonts w:cstheme="minorHAnsi"/>
                <w:b/>
                <w:bCs/>
                <w:sz w:val="16"/>
                <w:szCs w:val="16"/>
              </w:rPr>
            </w:pPr>
          </w:p>
        </w:tc>
        <w:tc>
          <w:tcPr>
            <w:tcW w:w="550" w:type="pct"/>
            <w:gridSpan w:val="2"/>
            <w:tcBorders>
              <w:top w:val="nil"/>
              <w:left w:val="nil"/>
              <w:bottom w:val="single" w:sz="8" w:space="0" w:color="auto"/>
              <w:right w:val="nil"/>
            </w:tcBorders>
            <w:shd w:val="clear" w:color="auto" w:fill="DEEAF6" w:themeFill="accent1" w:themeFillTint="33"/>
            <w:noWrap/>
            <w:vAlign w:val="center"/>
          </w:tcPr>
          <w:p w14:paraId="1681B8EE" w14:textId="0483EF54" w:rsidR="00033CFD" w:rsidRPr="000128B2" w:rsidRDefault="00627534" w:rsidP="00C349A8">
            <w:pPr>
              <w:spacing w:after="0"/>
              <w:jc w:val="right"/>
              <w:rPr>
                <w:rFonts w:cstheme="minorHAnsi"/>
                <w:b/>
                <w:bCs/>
                <w:sz w:val="16"/>
                <w:szCs w:val="16"/>
              </w:rPr>
            </w:pPr>
            <w:r w:rsidRPr="000128B2">
              <w:rPr>
                <w:rFonts w:cstheme="minorHAnsi"/>
                <w:b/>
                <w:bCs/>
                <w:sz w:val="16"/>
                <w:szCs w:val="16"/>
              </w:rPr>
              <w:t>(12.382.821)</w:t>
            </w:r>
          </w:p>
        </w:tc>
      </w:tr>
      <w:tr w:rsidR="00703D25" w:rsidRPr="000128B2" w14:paraId="11AF91CE" w14:textId="77777777" w:rsidTr="00E861F3">
        <w:trPr>
          <w:trHeight w:hRule="exact" w:val="227"/>
        </w:trPr>
        <w:tc>
          <w:tcPr>
            <w:tcW w:w="2040" w:type="pct"/>
            <w:tcBorders>
              <w:top w:val="nil"/>
              <w:left w:val="nil"/>
              <w:bottom w:val="single" w:sz="8" w:space="0" w:color="auto"/>
              <w:right w:val="nil"/>
            </w:tcBorders>
            <w:shd w:val="clear" w:color="auto" w:fill="DEEAF6" w:themeFill="accent1" w:themeFillTint="33"/>
            <w:noWrap/>
            <w:vAlign w:val="center"/>
            <w:hideMark/>
          </w:tcPr>
          <w:p w14:paraId="599E1422" w14:textId="662BC4D7" w:rsidR="00703D25" w:rsidRPr="000128B2" w:rsidRDefault="00233560" w:rsidP="00C349A8">
            <w:pPr>
              <w:spacing w:after="0"/>
              <w:rPr>
                <w:rFonts w:cstheme="minorHAnsi"/>
                <w:b/>
                <w:bCs/>
                <w:sz w:val="16"/>
                <w:szCs w:val="16"/>
              </w:rPr>
            </w:pPr>
            <w:r w:rsidRPr="000128B2">
              <w:rPr>
                <w:rFonts w:cstheme="minorHAnsi"/>
                <w:b/>
                <w:bCs/>
                <w:sz w:val="16"/>
                <w:szCs w:val="16"/>
              </w:rPr>
              <w:t xml:space="preserve">Total </w:t>
            </w:r>
            <w:r w:rsidR="00056518">
              <w:rPr>
                <w:rFonts w:cstheme="minorHAnsi"/>
                <w:b/>
                <w:bCs/>
                <w:sz w:val="16"/>
                <w:szCs w:val="16"/>
              </w:rPr>
              <w:t>L</w:t>
            </w:r>
            <w:r w:rsidRPr="000128B2">
              <w:rPr>
                <w:rFonts w:cstheme="minorHAnsi"/>
                <w:b/>
                <w:bCs/>
                <w:sz w:val="16"/>
                <w:szCs w:val="16"/>
              </w:rPr>
              <w:t xml:space="preserve">íquido dos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 em 3</w:t>
            </w:r>
            <w:r w:rsidR="00183011">
              <w:rPr>
                <w:rFonts w:cstheme="minorHAnsi"/>
                <w:b/>
                <w:bCs/>
                <w:sz w:val="16"/>
                <w:szCs w:val="16"/>
              </w:rPr>
              <w:t>1</w:t>
            </w:r>
            <w:r w:rsidRPr="000128B2">
              <w:rPr>
                <w:rFonts w:cstheme="minorHAnsi"/>
                <w:b/>
                <w:bCs/>
                <w:sz w:val="16"/>
                <w:szCs w:val="16"/>
              </w:rPr>
              <w:t>/</w:t>
            </w:r>
            <w:r w:rsidR="00375D5C">
              <w:rPr>
                <w:rFonts w:cstheme="minorHAnsi"/>
                <w:b/>
                <w:bCs/>
                <w:sz w:val="16"/>
                <w:szCs w:val="16"/>
              </w:rPr>
              <w:t>03</w:t>
            </w:r>
            <w:r w:rsidRPr="000128B2">
              <w:rPr>
                <w:rFonts w:cstheme="minorHAnsi"/>
                <w:b/>
                <w:bCs/>
                <w:sz w:val="16"/>
                <w:szCs w:val="16"/>
              </w:rPr>
              <w:t>/202</w:t>
            </w:r>
            <w:r w:rsidR="00375D5C">
              <w:rPr>
                <w:rFonts w:cstheme="minorHAnsi"/>
                <w:b/>
                <w:bCs/>
                <w:sz w:val="16"/>
                <w:szCs w:val="16"/>
              </w:rPr>
              <w:t>4</w:t>
            </w:r>
          </w:p>
        </w:tc>
        <w:tc>
          <w:tcPr>
            <w:tcW w:w="2410"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07747A7" w14:textId="60EE734E" w:rsidR="00703D25" w:rsidRPr="000128B2" w:rsidRDefault="00703D25" w:rsidP="00C349A8">
            <w:pPr>
              <w:spacing w:after="0"/>
              <w:jc w:val="center"/>
              <w:rPr>
                <w:rFonts w:cstheme="minorHAnsi"/>
                <w:b/>
                <w:bCs/>
                <w:sz w:val="16"/>
                <w:szCs w:val="16"/>
              </w:rPr>
            </w:pPr>
            <w:r w:rsidRPr="000128B2">
              <w:rPr>
                <w:rFonts w:cstheme="minorHAnsi"/>
                <w:b/>
                <w:bCs/>
                <w:sz w:val="16"/>
                <w:szCs w:val="16"/>
              </w:rPr>
              <w:t> </w:t>
            </w:r>
          </w:p>
        </w:tc>
        <w:tc>
          <w:tcPr>
            <w:tcW w:w="550" w:type="pct"/>
            <w:gridSpan w:val="2"/>
            <w:tcBorders>
              <w:top w:val="nil"/>
              <w:left w:val="nil"/>
              <w:bottom w:val="single" w:sz="8" w:space="0" w:color="auto"/>
              <w:right w:val="nil"/>
            </w:tcBorders>
            <w:shd w:val="clear" w:color="auto" w:fill="DEEAF6" w:themeFill="accent1" w:themeFillTint="33"/>
            <w:noWrap/>
            <w:vAlign w:val="center"/>
            <w:hideMark/>
          </w:tcPr>
          <w:p w14:paraId="1B048958" w14:textId="4CDA845F" w:rsidR="00703D25" w:rsidRPr="000128B2" w:rsidRDefault="00703D25" w:rsidP="00C349A8">
            <w:pPr>
              <w:spacing w:after="0"/>
              <w:jc w:val="right"/>
              <w:rPr>
                <w:rFonts w:cstheme="minorHAnsi"/>
                <w:b/>
                <w:bCs/>
                <w:sz w:val="16"/>
                <w:szCs w:val="16"/>
              </w:rPr>
            </w:pPr>
            <w:r w:rsidRPr="000128B2">
              <w:rPr>
                <w:rFonts w:cstheme="minorHAnsi"/>
                <w:b/>
                <w:bCs/>
                <w:sz w:val="16"/>
                <w:szCs w:val="16"/>
              </w:rPr>
              <w:t>34.30</w:t>
            </w:r>
            <w:r w:rsidR="008A639A">
              <w:rPr>
                <w:rFonts w:cstheme="minorHAnsi"/>
                <w:b/>
                <w:bCs/>
                <w:sz w:val="16"/>
                <w:szCs w:val="16"/>
              </w:rPr>
              <w:t>7</w:t>
            </w:r>
          </w:p>
        </w:tc>
      </w:tr>
    </w:tbl>
    <w:p w14:paraId="4D935642" w14:textId="77777777" w:rsidR="00685981" w:rsidRDefault="00685981" w:rsidP="00B36334">
      <w:pPr>
        <w:spacing w:after="0"/>
      </w:pPr>
    </w:p>
    <w:p w14:paraId="294E1B15" w14:textId="0C3CBE87" w:rsidR="00C761F9" w:rsidRPr="00B36334" w:rsidRDefault="00C761F9" w:rsidP="00B36334">
      <w:pPr>
        <w:pStyle w:val="Ttulo1"/>
      </w:pPr>
      <w:bookmarkStart w:id="39" w:name="_Toc184926675"/>
      <w:r w:rsidRPr="00B36334">
        <w:t>9</w:t>
      </w:r>
      <w:r w:rsidR="00D02DF0" w:rsidRPr="00B36334">
        <w:t xml:space="preserve"> </w:t>
      </w:r>
      <w:r w:rsidR="004B6C8A" w:rsidRPr="00B36334">
        <w:t>–</w:t>
      </w:r>
      <w:r w:rsidRPr="00B36334">
        <w:t xml:space="preserve"> Depósitos Judiciais</w:t>
      </w:r>
      <w:bookmarkEnd w:id="39"/>
    </w:p>
    <w:p w14:paraId="79BF5A4E" w14:textId="4942C26A" w:rsidR="00E832AC" w:rsidRPr="00B36334" w:rsidRDefault="00702CA1" w:rsidP="00B36334">
      <w:pPr>
        <w:spacing w:before="120"/>
        <w:rPr>
          <w:sz w:val="20"/>
        </w:rPr>
      </w:pPr>
      <w:r w:rsidRPr="00B36334">
        <w:rPr>
          <w:sz w:val="20"/>
        </w:rPr>
        <w:t>A movimentação</w:t>
      </w:r>
      <w:r w:rsidR="00651204" w:rsidRPr="00B36334">
        <w:rPr>
          <w:sz w:val="20"/>
        </w:rPr>
        <w:t xml:space="preserve"> de depósitos judiciais </w:t>
      </w:r>
      <w:r w:rsidR="00861D96" w:rsidRPr="00B36334">
        <w:rPr>
          <w:sz w:val="20"/>
        </w:rPr>
        <w:t>o</w:t>
      </w:r>
      <w:r w:rsidR="0013668D" w:rsidRPr="00B36334">
        <w:rPr>
          <w:sz w:val="20"/>
        </w:rPr>
        <w:t>correu conforme demonstrado abaixo:</w:t>
      </w:r>
    </w:p>
    <w:tbl>
      <w:tblPr>
        <w:tblW w:w="5000" w:type="pct"/>
        <w:tblCellMar>
          <w:left w:w="70" w:type="dxa"/>
          <w:right w:w="70" w:type="dxa"/>
        </w:tblCellMar>
        <w:tblLook w:val="04A0" w:firstRow="1" w:lastRow="0" w:firstColumn="1" w:lastColumn="0" w:noHBand="0" w:noVBand="1"/>
      </w:tblPr>
      <w:tblGrid>
        <w:gridCol w:w="4450"/>
        <w:gridCol w:w="1116"/>
        <w:gridCol w:w="961"/>
        <w:gridCol w:w="1300"/>
        <w:gridCol w:w="1526"/>
        <w:gridCol w:w="1114"/>
      </w:tblGrid>
      <w:tr w:rsidR="007D6F14" w:rsidRPr="00520855" w14:paraId="3094D5C6" w14:textId="77777777" w:rsidTr="007D6F14">
        <w:trPr>
          <w:trHeight w:val="227"/>
        </w:trPr>
        <w:tc>
          <w:tcPr>
            <w:tcW w:w="2126" w:type="pct"/>
            <w:tcBorders>
              <w:top w:val="nil"/>
              <w:left w:val="nil"/>
              <w:bottom w:val="single" w:sz="8" w:space="0" w:color="auto"/>
              <w:right w:val="nil"/>
            </w:tcBorders>
            <w:shd w:val="clear" w:color="000000" w:fill="DEEAF6"/>
            <w:noWrap/>
            <w:vAlign w:val="center"/>
            <w:hideMark/>
          </w:tcPr>
          <w:p w14:paraId="1FCD36B8" w14:textId="77777777" w:rsidR="007D6F14" w:rsidRPr="00520855" w:rsidRDefault="007D6F14" w:rsidP="00520855">
            <w:pPr>
              <w:spacing w:after="0" w:line="240" w:lineRule="auto"/>
              <w:jc w:val="center"/>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Ações</w:t>
            </w:r>
          </w:p>
        </w:tc>
        <w:tc>
          <w:tcPr>
            <w:tcW w:w="533" w:type="pct"/>
            <w:tcBorders>
              <w:top w:val="nil"/>
              <w:left w:val="nil"/>
              <w:bottom w:val="single" w:sz="8" w:space="0" w:color="auto"/>
              <w:right w:val="nil"/>
            </w:tcBorders>
            <w:shd w:val="clear" w:color="000000" w:fill="DEEAF6"/>
            <w:noWrap/>
            <w:vAlign w:val="center"/>
            <w:hideMark/>
          </w:tcPr>
          <w:p w14:paraId="1EB8F495"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31/12/2023</w:t>
            </w:r>
          </w:p>
        </w:tc>
        <w:tc>
          <w:tcPr>
            <w:tcW w:w="459" w:type="pct"/>
            <w:tcBorders>
              <w:top w:val="nil"/>
              <w:left w:val="nil"/>
              <w:bottom w:val="single" w:sz="8" w:space="0" w:color="auto"/>
              <w:right w:val="nil"/>
            </w:tcBorders>
            <w:shd w:val="clear" w:color="000000" w:fill="DEEAF6"/>
            <w:noWrap/>
            <w:vAlign w:val="center"/>
            <w:hideMark/>
          </w:tcPr>
          <w:p w14:paraId="388BB366"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Ingresso</w:t>
            </w:r>
          </w:p>
        </w:tc>
        <w:tc>
          <w:tcPr>
            <w:tcW w:w="621" w:type="pct"/>
            <w:tcBorders>
              <w:top w:val="nil"/>
              <w:left w:val="nil"/>
              <w:bottom w:val="single" w:sz="8" w:space="0" w:color="auto"/>
              <w:right w:val="nil"/>
            </w:tcBorders>
            <w:shd w:val="clear" w:color="000000" w:fill="DEEAF6"/>
            <w:noWrap/>
            <w:vAlign w:val="center"/>
            <w:hideMark/>
          </w:tcPr>
          <w:p w14:paraId="626E1D87"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Baixa Principal</w:t>
            </w:r>
          </w:p>
        </w:tc>
        <w:tc>
          <w:tcPr>
            <w:tcW w:w="729" w:type="pct"/>
            <w:tcBorders>
              <w:top w:val="nil"/>
              <w:left w:val="nil"/>
              <w:bottom w:val="single" w:sz="8" w:space="0" w:color="auto"/>
              <w:right w:val="nil"/>
            </w:tcBorders>
            <w:shd w:val="clear" w:color="000000" w:fill="DEEAF6"/>
            <w:noWrap/>
            <w:vAlign w:val="center"/>
            <w:hideMark/>
          </w:tcPr>
          <w:p w14:paraId="133B8705" w14:textId="6DB776F2" w:rsidR="007D6F14" w:rsidRDefault="007D6F14" w:rsidP="00BD2F5B">
            <w:pPr>
              <w:spacing w:after="0" w:line="240" w:lineRule="auto"/>
              <w:jc w:val="center"/>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Baixa Atualização</w:t>
            </w:r>
          </w:p>
          <w:p w14:paraId="356FBD34" w14:textId="7B5BFE66" w:rsidR="007D6F14" w:rsidRPr="00520855" w:rsidRDefault="007D6F14" w:rsidP="00BD2F5B">
            <w:pPr>
              <w:spacing w:after="0" w:line="240" w:lineRule="auto"/>
              <w:jc w:val="center"/>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Monetária</w:t>
            </w:r>
          </w:p>
        </w:tc>
        <w:tc>
          <w:tcPr>
            <w:tcW w:w="533" w:type="pct"/>
            <w:tcBorders>
              <w:top w:val="nil"/>
              <w:left w:val="nil"/>
              <w:bottom w:val="single" w:sz="8" w:space="0" w:color="auto"/>
              <w:right w:val="nil"/>
            </w:tcBorders>
            <w:shd w:val="clear" w:color="000000" w:fill="DEEAF6"/>
            <w:noWrap/>
            <w:vAlign w:val="center"/>
            <w:hideMark/>
          </w:tcPr>
          <w:p w14:paraId="769E439D"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31/03/2024</w:t>
            </w:r>
          </w:p>
        </w:tc>
      </w:tr>
      <w:tr w:rsidR="007D6F14" w:rsidRPr="00520855" w14:paraId="1280EB7B" w14:textId="77777777" w:rsidTr="007D6F14">
        <w:trPr>
          <w:trHeight w:val="227"/>
        </w:trPr>
        <w:tc>
          <w:tcPr>
            <w:tcW w:w="2126" w:type="pct"/>
            <w:tcBorders>
              <w:top w:val="nil"/>
              <w:left w:val="nil"/>
              <w:bottom w:val="nil"/>
              <w:right w:val="nil"/>
            </w:tcBorders>
            <w:shd w:val="clear" w:color="auto" w:fill="auto"/>
            <w:noWrap/>
            <w:vAlign w:val="center"/>
            <w:hideMark/>
          </w:tcPr>
          <w:p w14:paraId="58D9CA98" w14:textId="77777777" w:rsidR="007D6F14" w:rsidRPr="00520855" w:rsidRDefault="007D6F14" w:rsidP="00520855">
            <w:pPr>
              <w:spacing w:after="0" w:line="240" w:lineRule="auto"/>
              <w:rPr>
                <w:rFonts w:ascii="Calibri" w:eastAsia="Times New Roman" w:hAnsi="Calibri" w:cs="Calibri"/>
                <w:color w:val="000000"/>
                <w:sz w:val="16"/>
                <w:szCs w:val="16"/>
              </w:rPr>
            </w:pPr>
            <w:r w:rsidRPr="00520855">
              <w:rPr>
                <w:rFonts w:ascii="Calibri" w:eastAsia="Times New Roman" w:hAnsi="Calibri" w:cs="Calibri"/>
                <w:color w:val="000000"/>
                <w:sz w:val="16"/>
                <w:szCs w:val="16"/>
              </w:rPr>
              <w:t>Cíveis</w:t>
            </w:r>
          </w:p>
        </w:tc>
        <w:tc>
          <w:tcPr>
            <w:tcW w:w="533" w:type="pct"/>
            <w:tcBorders>
              <w:top w:val="nil"/>
              <w:left w:val="nil"/>
              <w:bottom w:val="nil"/>
              <w:right w:val="nil"/>
            </w:tcBorders>
            <w:shd w:val="clear" w:color="auto" w:fill="auto"/>
            <w:noWrap/>
            <w:vAlign w:val="center"/>
            <w:hideMark/>
          </w:tcPr>
          <w:p w14:paraId="363E15DE"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73.129.948</w:t>
            </w:r>
          </w:p>
        </w:tc>
        <w:tc>
          <w:tcPr>
            <w:tcW w:w="459" w:type="pct"/>
            <w:tcBorders>
              <w:top w:val="nil"/>
              <w:left w:val="nil"/>
              <w:bottom w:val="nil"/>
              <w:right w:val="nil"/>
            </w:tcBorders>
            <w:shd w:val="clear" w:color="auto" w:fill="auto"/>
            <w:noWrap/>
            <w:vAlign w:val="center"/>
            <w:hideMark/>
          </w:tcPr>
          <w:p w14:paraId="06D9A7AA"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50.790 </w:t>
            </w:r>
          </w:p>
        </w:tc>
        <w:tc>
          <w:tcPr>
            <w:tcW w:w="621" w:type="pct"/>
            <w:tcBorders>
              <w:top w:val="nil"/>
              <w:left w:val="nil"/>
              <w:bottom w:val="nil"/>
              <w:right w:val="nil"/>
            </w:tcBorders>
            <w:shd w:val="clear" w:color="auto" w:fill="auto"/>
            <w:noWrap/>
            <w:vAlign w:val="center"/>
            <w:hideMark/>
          </w:tcPr>
          <w:p w14:paraId="6701D935"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 - </w:t>
            </w:r>
          </w:p>
        </w:tc>
        <w:tc>
          <w:tcPr>
            <w:tcW w:w="729" w:type="pct"/>
            <w:tcBorders>
              <w:top w:val="nil"/>
              <w:left w:val="nil"/>
              <w:bottom w:val="nil"/>
              <w:right w:val="nil"/>
            </w:tcBorders>
            <w:shd w:val="clear" w:color="auto" w:fill="auto"/>
            <w:noWrap/>
            <w:vAlign w:val="center"/>
            <w:hideMark/>
          </w:tcPr>
          <w:p w14:paraId="4CF6A5C9"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 - </w:t>
            </w:r>
          </w:p>
        </w:tc>
        <w:tc>
          <w:tcPr>
            <w:tcW w:w="533" w:type="pct"/>
            <w:tcBorders>
              <w:top w:val="nil"/>
              <w:left w:val="nil"/>
              <w:bottom w:val="nil"/>
              <w:right w:val="nil"/>
            </w:tcBorders>
            <w:shd w:val="clear" w:color="auto" w:fill="auto"/>
            <w:noWrap/>
            <w:vAlign w:val="center"/>
            <w:hideMark/>
          </w:tcPr>
          <w:p w14:paraId="7E796768" w14:textId="1C703D87" w:rsidR="007D6F14" w:rsidRPr="00520855" w:rsidRDefault="005B6CD4" w:rsidP="00520855">
            <w:pPr>
              <w:spacing w:after="0" w:line="240" w:lineRule="auto"/>
              <w:jc w:val="right"/>
              <w:rPr>
                <w:rFonts w:ascii="Calibri" w:eastAsia="Times New Roman" w:hAnsi="Calibri" w:cs="Calibri"/>
                <w:color w:val="000000"/>
                <w:sz w:val="16"/>
                <w:szCs w:val="16"/>
              </w:rPr>
            </w:pPr>
            <w:r w:rsidRPr="005B6CD4">
              <w:rPr>
                <w:rFonts w:ascii="Calibri" w:eastAsia="Times New Roman" w:hAnsi="Calibri" w:cs="Calibri"/>
                <w:color w:val="000000"/>
                <w:sz w:val="16"/>
                <w:szCs w:val="16"/>
              </w:rPr>
              <w:t>73</w:t>
            </w:r>
            <w:r>
              <w:rPr>
                <w:rFonts w:ascii="Calibri" w:eastAsia="Times New Roman" w:hAnsi="Calibri" w:cs="Calibri"/>
                <w:color w:val="000000"/>
                <w:sz w:val="16"/>
                <w:szCs w:val="16"/>
              </w:rPr>
              <w:t>.</w:t>
            </w:r>
            <w:r w:rsidRPr="005B6CD4">
              <w:rPr>
                <w:rFonts w:ascii="Calibri" w:eastAsia="Times New Roman" w:hAnsi="Calibri" w:cs="Calibri"/>
                <w:color w:val="000000"/>
                <w:sz w:val="16"/>
                <w:szCs w:val="16"/>
              </w:rPr>
              <w:t>180</w:t>
            </w:r>
            <w:r>
              <w:rPr>
                <w:rFonts w:ascii="Calibri" w:eastAsia="Times New Roman" w:hAnsi="Calibri" w:cs="Calibri"/>
                <w:color w:val="000000"/>
                <w:sz w:val="16"/>
                <w:szCs w:val="16"/>
              </w:rPr>
              <w:t>.</w:t>
            </w:r>
            <w:r w:rsidRPr="005B6CD4">
              <w:rPr>
                <w:rFonts w:ascii="Calibri" w:eastAsia="Times New Roman" w:hAnsi="Calibri" w:cs="Calibri"/>
                <w:color w:val="000000"/>
                <w:sz w:val="16"/>
                <w:szCs w:val="16"/>
              </w:rPr>
              <w:t>738</w:t>
            </w:r>
          </w:p>
        </w:tc>
      </w:tr>
      <w:tr w:rsidR="007D6F14" w:rsidRPr="00520855" w14:paraId="748A52A2" w14:textId="77777777" w:rsidTr="007D6F14">
        <w:trPr>
          <w:trHeight w:val="227"/>
        </w:trPr>
        <w:tc>
          <w:tcPr>
            <w:tcW w:w="2126" w:type="pct"/>
            <w:tcBorders>
              <w:top w:val="nil"/>
              <w:left w:val="nil"/>
              <w:bottom w:val="nil"/>
              <w:right w:val="nil"/>
            </w:tcBorders>
            <w:shd w:val="clear" w:color="auto" w:fill="auto"/>
            <w:noWrap/>
            <w:vAlign w:val="center"/>
            <w:hideMark/>
          </w:tcPr>
          <w:p w14:paraId="76D69A55" w14:textId="77777777" w:rsidR="007D6F14" w:rsidRPr="00520855" w:rsidRDefault="007D6F14" w:rsidP="00520855">
            <w:pPr>
              <w:spacing w:after="0" w:line="240" w:lineRule="auto"/>
              <w:rPr>
                <w:rFonts w:ascii="Calibri" w:eastAsia="Times New Roman" w:hAnsi="Calibri" w:cs="Calibri"/>
                <w:color w:val="000000"/>
                <w:sz w:val="16"/>
                <w:szCs w:val="16"/>
              </w:rPr>
            </w:pPr>
            <w:r w:rsidRPr="00520855">
              <w:rPr>
                <w:rFonts w:ascii="Calibri" w:eastAsia="Times New Roman" w:hAnsi="Calibri" w:cs="Calibri"/>
                <w:color w:val="000000"/>
                <w:sz w:val="16"/>
                <w:szCs w:val="16"/>
              </w:rPr>
              <w:t>Trabalhistas</w:t>
            </w:r>
          </w:p>
        </w:tc>
        <w:tc>
          <w:tcPr>
            <w:tcW w:w="533" w:type="pct"/>
            <w:tcBorders>
              <w:top w:val="nil"/>
              <w:left w:val="nil"/>
              <w:bottom w:val="nil"/>
              <w:right w:val="nil"/>
            </w:tcBorders>
            <w:shd w:val="clear" w:color="auto" w:fill="auto"/>
            <w:noWrap/>
            <w:vAlign w:val="center"/>
            <w:hideMark/>
          </w:tcPr>
          <w:p w14:paraId="21EBA81D"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35.573.162</w:t>
            </w:r>
          </w:p>
        </w:tc>
        <w:tc>
          <w:tcPr>
            <w:tcW w:w="459" w:type="pct"/>
            <w:tcBorders>
              <w:top w:val="nil"/>
              <w:left w:val="nil"/>
              <w:bottom w:val="nil"/>
              <w:right w:val="nil"/>
            </w:tcBorders>
            <w:shd w:val="clear" w:color="auto" w:fill="auto"/>
            <w:noWrap/>
            <w:vAlign w:val="center"/>
            <w:hideMark/>
          </w:tcPr>
          <w:p w14:paraId="689D367A"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37.995 </w:t>
            </w:r>
          </w:p>
        </w:tc>
        <w:tc>
          <w:tcPr>
            <w:tcW w:w="621" w:type="pct"/>
            <w:tcBorders>
              <w:top w:val="nil"/>
              <w:left w:val="nil"/>
              <w:bottom w:val="nil"/>
              <w:right w:val="nil"/>
            </w:tcBorders>
            <w:shd w:val="clear" w:color="auto" w:fill="auto"/>
            <w:noWrap/>
            <w:vAlign w:val="center"/>
            <w:hideMark/>
          </w:tcPr>
          <w:p w14:paraId="723FCD45"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(128.704)</w:t>
            </w:r>
          </w:p>
        </w:tc>
        <w:tc>
          <w:tcPr>
            <w:tcW w:w="729" w:type="pct"/>
            <w:tcBorders>
              <w:top w:val="nil"/>
              <w:left w:val="nil"/>
              <w:bottom w:val="nil"/>
              <w:right w:val="nil"/>
            </w:tcBorders>
            <w:shd w:val="clear" w:color="auto" w:fill="auto"/>
            <w:noWrap/>
            <w:vAlign w:val="center"/>
            <w:hideMark/>
          </w:tcPr>
          <w:p w14:paraId="14B2BFF0"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(12.540)</w:t>
            </w:r>
          </w:p>
        </w:tc>
        <w:tc>
          <w:tcPr>
            <w:tcW w:w="533" w:type="pct"/>
            <w:tcBorders>
              <w:top w:val="nil"/>
              <w:left w:val="nil"/>
              <w:bottom w:val="nil"/>
              <w:right w:val="nil"/>
            </w:tcBorders>
            <w:shd w:val="clear" w:color="auto" w:fill="auto"/>
            <w:noWrap/>
            <w:vAlign w:val="center"/>
            <w:hideMark/>
          </w:tcPr>
          <w:p w14:paraId="6E84B7C1" w14:textId="4A137941" w:rsidR="007D6F14" w:rsidRPr="00520855" w:rsidRDefault="00262420" w:rsidP="00520855">
            <w:pPr>
              <w:spacing w:after="0" w:line="240" w:lineRule="auto"/>
              <w:jc w:val="right"/>
              <w:rPr>
                <w:rFonts w:ascii="Calibri" w:eastAsia="Times New Roman" w:hAnsi="Calibri" w:cs="Calibri"/>
                <w:color w:val="000000"/>
                <w:sz w:val="16"/>
                <w:szCs w:val="16"/>
              </w:rPr>
            </w:pPr>
            <w:r w:rsidRPr="00262420">
              <w:rPr>
                <w:rFonts w:ascii="Calibri" w:eastAsia="Times New Roman" w:hAnsi="Calibri" w:cs="Calibri"/>
                <w:color w:val="000000"/>
                <w:sz w:val="16"/>
                <w:szCs w:val="16"/>
              </w:rPr>
              <w:t>35</w:t>
            </w:r>
            <w:r>
              <w:rPr>
                <w:rFonts w:ascii="Calibri" w:eastAsia="Times New Roman" w:hAnsi="Calibri" w:cs="Calibri"/>
                <w:color w:val="000000"/>
                <w:sz w:val="16"/>
                <w:szCs w:val="16"/>
              </w:rPr>
              <w:t>.</w:t>
            </w:r>
            <w:r w:rsidRPr="00262420">
              <w:rPr>
                <w:rFonts w:ascii="Calibri" w:eastAsia="Times New Roman" w:hAnsi="Calibri" w:cs="Calibri"/>
                <w:color w:val="000000"/>
                <w:sz w:val="16"/>
                <w:szCs w:val="16"/>
              </w:rPr>
              <w:t>469</w:t>
            </w:r>
            <w:r>
              <w:rPr>
                <w:rFonts w:ascii="Calibri" w:eastAsia="Times New Roman" w:hAnsi="Calibri" w:cs="Calibri"/>
                <w:color w:val="000000"/>
                <w:sz w:val="16"/>
                <w:szCs w:val="16"/>
              </w:rPr>
              <w:t>.</w:t>
            </w:r>
            <w:r w:rsidRPr="00262420">
              <w:rPr>
                <w:rFonts w:ascii="Calibri" w:eastAsia="Times New Roman" w:hAnsi="Calibri" w:cs="Calibri"/>
                <w:color w:val="000000"/>
                <w:sz w:val="16"/>
                <w:szCs w:val="16"/>
              </w:rPr>
              <w:t>914</w:t>
            </w:r>
          </w:p>
        </w:tc>
      </w:tr>
      <w:tr w:rsidR="007D6F14" w:rsidRPr="00520855" w14:paraId="73147009" w14:textId="77777777" w:rsidTr="007D6F14">
        <w:trPr>
          <w:trHeight w:val="227"/>
        </w:trPr>
        <w:tc>
          <w:tcPr>
            <w:tcW w:w="2126" w:type="pct"/>
            <w:tcBorders>
              <w:top w:val="nil"/>
              <w:left w:val="nil"/>
              <w:bottom w:val="nil"/>
              <w:right w:val="nil"/>
            </w:tcBorders>
            <w:shd w:val="clear" w:color="auto" w:fill="auto"/>
            <w:noWrap/>
            <w:vAlign w:val="center"/>
            <w:hideMark/>
          </w:tcPr>
          <w:p w14:paraId="799103DD" w14:textId="77777777" w:rsidR="007D6F14" w:rsidRPr="00520855" w:rsidRDefault="007D6F14" w:rsidP="00520855">
            <w:pPr>
              <w:spacing w:after="0" w:line="240" w:lineRule="auto"/>
              <w:rPr>
                <w:rFonts w:ascii="Calibri" w:eastAsia="Times New Roman" w:hAnsi="Calibri" w:cs="Calibri"/>
                <w:color w:val="000000"/>
                <w:sz w:val="16"/>
                <w:szCs w:val="16"/>
              </w:rPr>
            </w:pPr>
            <w:r w:rsidRPr="00520855">
              <w:rPr>
                <w:rFonts w:ascii="Calibri" w:eastAsia="Times New Roman" w:hAnsi="Calibri" w:cs="Calibri"/>
                <w:color w:val="000000"/>
                <w:sz w:val="16"/>
                <w:szCs w:val="16"/>
              </w:rPr>
              <w:t>Valores Apreendidos por Decisão Judicial</w:t>
            </w:r>
          </w:p>
        </w:tc>
        <w:tc>
          <w:tcPr>
            <w:tcW w:w="533" w:type="pct"/>
            <w:tcBorders>
              <w:top w:val="nil"/>
              <w:left w:val="nil"/>
              <w:bottom w:val="nil"/>
              <w:right w:val="nil"/>
            </w:tcBorders>
            <w:shd w:val="clear" w:color="auto" w:fill="auto"/>
            <w:noWrap/>
            <w:vAlign w:val="center"/>
            <w:hideMark/>
          </w:tcPr>
          <w:p w14:paraId="4B4E2E98"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76.512</w:t>
            </w:r>
          </w:p>
        </w:tc>
        <w:tc>
          <w:tcPr>
            <w:tcW w:w="459" w:type="pct"/>
            <w:tcBorders>
              <w:top w:val="nil"/>
              <w:left w:val="nil"/>
              <w:bottom w:val="nil"/>
              <w:right w:val="nil"/>
            </w:tcBorders>
            <w:shd w:val="clear" w:color="auto" w:fill="auto"/>
            <w:noWrap/>
            <w:vAlign w:val="center"/>
            <w:hideMark/>
          </w:tcPr>
          <w:p w14:paraId="115E5A0F"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 - </w:t>
            </w:r>
          </w:p>
        </w:tc>
        <w:tc>
          <w:tcPr>
            <w:tcW w:w="621" w:type="pct"/>
            <w:tcBorders>
              <w:top w:val="nil"/>
              <w:left w:val="nil"/>
              <w:bottom w:val="nil"/>
              <w:right w:val="nil"/>
            </w:tcBorders>
            <w:shd w:val="clear" w:color="auto" w:fill="auto"/>
            <w:noWrap/>
            <w:vAlign w:val="center"/>
            <w:hideMark/>
          </w:tcPr>
          <w:p w14:paraId="6BB1A6F2"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 - </w:t>
            </w:r>
          </w:p>
        </w:tc>
        <w:tc>
          <w:tcPr>
            <w:tcW w:w="729" w:type="pct"/>
            <w:tcBorders>
              <w:top w:val="nil"/>
              <w:left w:val="nil"/>
              <w:bottom w:val="nil"/>
              <w:right w:val="nil"/>
            </w:tcBorders>
            <w:shd w:val="clear" w:color="auto" w:fill="auto"/>
            <w:noWrap/>
            <w:vAlign w:val="center"/>
            <w:hideMark/>
          </w:tcPr>
          <w:p w14:paraId="195E8648"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 xml:space="preserve"> - </w:t>
            </w:r>
          </w:p>
        </w:tc>
        <w:tc>
          <w:tcPr>
            <w:tcW w:w="533" w:type="pct"/>
            <w:tcBorders>
              <w:top w:val="nil"/>
              <w:left w:val="nil"/>
              <w:bottom w:val="nil"/>
              <w:right w:val="nil"/>
            </w:tcBorders>
            <w:shd w:val="clear" w:color="auto" w:fill="auto"/>
            <w:noWrap/>
            <w:vAlign w:val="center"/>
            <w:hideMark/>
          </w:tcPr>
          <w:p w14:paraId="1DE4F194" w14:textId="77777777" w:rsidR="007D6F14" w:rsidRPr="00520855" w:rsidRDefault="007D6F14" w:rsidP="00520855">
            <w:pPr>
              <w:spacing w:after="0" w:line="240" w:lineRule="auto"/>
              <w:jc w:val="right"/>
              <w:rPr>
                <w:rFonts w:ascii="Calibri" w:eastAsia="Times New Roman" w:hAnsi="Calibri" w:cs="Calibri"/>
                <w:color w:val="000000"/>
                <w:sz w:val="16"/>
                <w:szCs w:val="16"/>
              </w:rPr>
            </w:pPr>
            <w:r w:rsidRPr="00520855">
              <w:rPr>
                <w:rFonts w:ascii="Calibri" w:eastAsia="Times New Roman" w:hAnsi="Calibri" w:cs="Calibri"/>
                <w:color w:val="000000"/>
                <w:sz w:val="16"/>
                <w:szCs w:val="16"/>
              </w:rPr>
              <w:t>76.512</w:t>
            </w:r>
          </w:p>
        </w:tc>
      </w:tr>
      <w:tr w:rsidR="007D6F14" w:rsidRPr="00520855" w14:paraId="560221AB" w14:textId="77777777" w:rsidTr="007D6F14">
        <w:trPr>
          <w:trHeight w:val="227"/>
        </w:trPr>
        <w:tc>
          <w:tcPr>
            <w:tcW w:w="2126" w:type="pct"/>
            <w:tcBorders>
              <w:top w:val="single" w:sz="8" w:space="0" w:color="auto"/>
              <w:left w:val="nil"/>
              <w:bottom w:val="single" w:sz="8" w:space="0" w:color="auto"/>
              <w:right w:val="nil"/>
            </w:tcBorders>
            <w:shd w:val="clear" w:color="000000" w:fill="DEEAF6"/>
            <w:noWrap/>
            <w:vAlign w:val="center"/>
            <w:hideMark/>
          </w:tcPr>
          <w:p w14:paraId="721B0F17" w14:textId="77777777" w:rsidR="007D6F14" w:rsidRPr="00520855" w:rsidRDefault="007D6F14" w:rsidP="00520855">
            <w:pPr>
              <w:spacing w:after="0" w:line="240" w:lineRule="auto"/>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Total</w:t>
            </w:r>
          </w:p>
        </w:tc>
        <w:tc>
          <w:tcPr>
            <w:tcW w:w="533" w:type="pct"/>
            <w:tcBorders>
              <w:top w:val="single" w:sz="8" w:space="0" w:color="auto"/>
              <w:left w:val="nil"/>
              <w:bottom w:val="single" w:sz="8" w:space="0" w:color="auto"/>
              <w:right w:val="nil"/>
            </w:tcBorders>
            <w:shd w:val="clear" w:color="000000" w:fill="DEEAF6"/>
            <w:noWrap/>
            <w:vAlign w:val="center"/>
            <w:hideMark/>
          </w:tcPr>
          <w:p w14:paraId="131ECF15"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108.779.622</w:t>
            </w:r>
          </w:p>
        </w:tc>
        <w:tc>
          <w:tcPr>
            <w:tcW w:w="459" w:type="pct"/>
            <w:tcBorders>
              <w:top w:val="single" w:sz="8" w:space="0" w:color="auto"/>
              <w:left w:val="nil"/>
              <w:bottom w:val="single" w:sz="8" w:space="0" w:color="auto"/>
              <w:right w:val="nil"/>
            </w:tcBorders>
            <w:shd w:val="clear" w:color="000000" w:fill="DEEAF6"/>
            <w:noWrap/>
            <w:vAlign w:val="center"/>
            <w:hideMark/>
          </w:tcPr>
          <w:p w14:paraId="1FFB177F" w14:textId="77777777"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88.785</w:t>
            </w:r>
          </w:p>
        </w:tc>
        <w:tc>
          <w:tcPr>
            <w:tcW w:w="621" w:type="pct"/>
            <w:tcBorders>
              <w:top w:val="single" w:sz="8" w:space="0" w:color="auto"/>
              <w:left w:val="nil"/>
              <w:bottom w:val="single" w:sz="8" w:space="0" w:color="auto"/>
              <w:right w:val="nil"/>
            </w:tcBorders>
            <w:shd w:val="clear" w:color="000000" w:fill="DEEAF6"/>
            <w:noWrap/>
            <w:vAlign w:val="center"/>
            <w:hideMark/>
          </w:tcPr>
          <w:p w14:paraId="7EC125D2" w14:textId="17B1F197" w:rsidR="007D6F14" w:rsidRPr="00520855" w:rsidRDefault="007D6F14" w:rsidP="00520855">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520855">
              <w:rPr>
                <w:rFonts w:ascii="Calibri" w:eastAsia="Times New Roman" w:hAnsi="Calibri" w:cs="Calibri"/>
                <w:b/>
                <w:bCs/>
                <w:color w:val="000000"/>
                <w:sz w:val="16"/>
                <w:szCs w:val="16"/>
              </w:rPr>
              <w:t>128.704</w:t>
            </w:r>
            <w:r>
              <w:rPr>
                <w:rFonts w:ascii="Calibri" w:eastAsia="Times New Roman" w:hAnsi="Calibri" w:cs="Calibri"/>
                <w:b/>
                <w:bCs/>
                <w:color w:val="000000"/>
                <w:sz w:val="16"/>
                <w:szCs w:val="16"/>
              </w:rPr>
              <w:t>)</w:t>
            </w:r>
          </w:p>
        </w:tc>
        <w:tc>
          <w:tcPr>
            <w:tcW w:w="729" w:type="pct"/>
            <w:tcBorders>
              <w:top w:val="single" w:sz="8" w:space="0" w:color="auto"/>
              <w:left w:val="nil"/>
              <w:bottom w:val="single" w:sz="8" w:space="0" w:color="auto"/>
              <w:right w:val="nil"/>
            </w:tcBorders>
            <w:shd w:val="clear" w:color="000000" w:fill="DEEAF6"/>
            <w:noWrap/>
            <w:vAlign w:val="center"/>
            <w:hideMark/>
          </w:tcPr>
          <w:p w14:paraId="52D4DC74" w14:textId="427C09E2" w:rsidR="007D6F14" w:rsidRPr="00520855" w:rsidRDefault="007D6F14" w:rsidP="00520855">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520855">
              <w:rPr>
                <w:rFonts w:ascii="Calibri" w:eastAsia="Times New Roman" w:hAnsi="Calibri" w:cs="Calibri"/>
                <w:b/>
                <w:bCs/>
                <w:color w:val="000000"/>
                <w:sz w:val="16"/>
                <w:szCs w:val="16"/>
              </w:rPr>
              <w:t>12.540</w:t>
            </w:r>
            <w:r>
              <w:rPr>
                <w:rFonts w:ascii="Calibri" w:eastAsia="Times New Roman" w:hAnsi="Calibri" w:cs="Calibri"/>
                <w:b/>
                <w:bCs/>
                <w:color w:val="000000"/>
                <w:sz w:val="16"/>
                <w:szCs w:val="16"/>
              </w:rPr>
              <w:t>)</w:t>
            </w:r>
          </w:p>
        </w:tc>
        <w:tc>
          <w:tcPr>
            <w:tcW w:w="533" w:type="pct"/>
            <w:tcBorders>
              <w:top w:val="single" w:sz="8" w:space="0" w:color="auto"/>
              <w:left w:val="nil"/>
              <w:bottom w:val="single" w:sz="8" w:space="0" w:color="auto"/>
              <w:right w:val="nil"/>
            </w:tcBorders>
            <w:shd w:val="clear" w:color="000000" w:fill="DEEAF6"/>
            <w:noWrap/>
            <w:vAlign w:val="center"/>
            <w:hideMark/>
          </w:tcPr>
          <w:p w14:paraId="468ACDB3" w14:textId="25BABEDA" w:rsidR="007D6F14" w:rsidRPr="00520855" w:rsidRDefault="007D6F14" w:rsidP="00520855">
            <w:pPr>
              <w:spacing w:after="0" w:line="240" w:lineRule="auto"/>
              <w:jc w:val="right"/>
              <w:rPr>
                <w:rFonts w:ascii="Calibri" w:eastAsia="Times New Roman" w:hAnsi="Calibri" w:cs="Calibri"/>
                <w:b/>
                <w:bCs/>
                <w:color w:val="000000"/>
                <w:sz w:val="16"/>
                <w:szCs w:val="16"/>
              </w:rPr>
            </w:pPr>
            <w:r w:rsidRPr="00520855">
              <w:rPr>
                <w:rFonts w:ascii="Calibri" w:eastAsia="Times New Roman" w:hAnsi="Calibri" w:cs="Calibri"/>
                <w:b/>
                <w:bCs/>
                <w:color w:val="000000"/>
                <w:sz w:val="16"/>
                <w:szCs w:val="16"/>
              </w:rPr>
              <w:t>108.727.16</w:t>
            </w:r>
            <w:r>
              <w:rPr>
                <w:rFonts w:ascii="Calibri" w:eastAsia="Times New Roman" w:hAnsi="Calibri" w:cs="Calibri"/>
                <w:b/>
                <w:bCs/>
                <w:color w:val="000000"/>
                <w:sz w:val="16"/>
                <w:szCs w:val="16"/>
              </w:rPr>
              <w:t>4</w:t>
            </w:r>
          </w:p>
        </w:tc>
      </w:tr>
    </w:tbl>
    <w:p w14:paraId="12AD2C4B" w14:textId="32DA7201" w:rsidR="000E2273" w:rsidRDefault="00C761F9" w:rsidP="00627139">
      <w:pPr>
        <w:spacing w:before="120" w:after="0"/>
        <w:jc w:val="both"/>
        <w:rPr>
          <w:rStyle w:val="dark-mode-color-black"/>
          <w:rFonts w:cstheme="minorHAnsi"/>
          <w:color w:val="000000"/>
          <w:sz w:val="20"/>
        </w:rPr>
      </w:pPr>
      <w:r w:rsidRPr="6F50AC3F">
        <w:rPr>
          <w:sz w:val="20"/>
          <w:szCs w:val="20"/>
        </w:rPr>
        <w:t xml:space="preserve">O montante de </w:t>
      </w:r>
      <w:r w:rsidRPr="0099399F">
        <w:rPr>
          <w:sz w:val="20"/>
          <w:szCs w:val="20"/>
        </w:rPr>
        <w:t xml:space="preserve">R$ </w:t>
      </w:r>
      <w:r w:rsidR="002F7358">
        <w:rPr>
          <w:sz w:val="20"/>
          <w:szCs w:val="20"/>
        </w:rPr>
        <w:t>108,</w:t>
      </w:r>
      <w:r w:rsidR="00725B72">
        <w:rPr>
          <w:sz w:val="20"/>
          <w:szCs w:val="20"/>
        </w:rPr>
        <w:t>73</w:t>
      </w:r>
      <w:r w:rsidRPr="0099399F">
        <w:rPr>
          <w:sz w:val="20"/>
          <w:szCs w:val="20"/>
        </w:rPr>
        <w:t xml:space="preserve"> milhões </w:t>
      </w:r>
      <w:r w:rsidRPr="6F50AC3F">
        <w:rPr>
          <w:sz w:val="20"/>
          <w:szCs w:val="20"/>
        </w:rPr>
        <w:t xml:space="preserve">compreende os valores depositados em juízo referentes a depósitos recursais, provenientes das ações trabalhistas e cíveis impetradas pelas partes autoras contra a Infra S.A. e as extintas empresas </w:t>
      </w:r>
      <w:r w:rsidR="00326AD4" w:rsidRPr="00326AD4">
        <w:rPr>
          <w:sz w:val="20"/>
          <w:szCs w:val="20"/>
        </w:rPr>
        <w:t>Rede Ferroviária Federal S.A. – RFFSA e Empresa Brasileira de Planejamento de Transportes –</w:t>
      </w:r>
      <w:r w:rsidRPr="6F50AC3F">
        <w:rPr>
          <w:sz w:val="20"/>
          <w:szCs w:val="20"/>
        </w:rPr>
        <w:t xml:space="preserve"> GEIPOT, atualizados monetariamente pela taxa JAM-FGTS (ações trabalhistas) ou pela taxa Selic (ações cíveis) até 31 de dezembro de 2018.</w:t>
      </w:r>
    </w:p>
    <w:p w14:paraId="2549A724" w14:textId="77777777" w:rsidR="00D17B8D" w:rsidRPr="00B36334" w:rsidRDefault="00D17B8D" w:rsidP="00B36334">
      <w:pPr>
        <w:spacing w:after="0"/>
        <w:jc w:val="both"/>
        <w:rPr>
          <w:rFonts w:cstheme="minorHAnsi"/>
          <w:color w:val="000000"/>
          <w:sz w:val="20"/>
        </w:rPr>
      </w:pPr>
    </w:p>
    <w:p w14:paraId="0293C1E5" w14:textId="67F8CE95" w:rsidR="00E71553" w:rsidRPr="00B36334" w:rsidRDefault="000E2273" w:rsidP="00B36334">
      <w:pPr>
        <w:pStyle w:val="Ttulo1"/>
      </w:pPr>
      <w:bookmarkStart w:id="40" w:name="_Toc184926676"/>
      <w:r w:rsidRPr="00B36334">
        <w:t>10</w:t>
      </w:r>
      <w:r w:rsidR="00D02DF0" w:rsidRPr="00B36334">
        <w:t xml:space="preserve"> </w:t>
      </w:r>
      <w:r w:rsidR="004B6C8A" w:rsidRPr="00B36334">
        <w:t>–</w:t>
      </w:r>
      <w:r w:rsidR="00C3407D" w:rsidRPr="00B36334">
        <w:t xml:space="preserve"> </w:t>
      </w:r>
      <w:r w:rsidR="00E71553" w:rsidRPr="00B36334">
        <w:t>Depósitos de Cauções</w:t>
      </w:r>
      <w:bookmarkEnd w:id="40"/>
    </w:p>
    <w:tbl>
      <w:tblPr>
        <w:tblW w:w="5000" w:type="pct"/>
        <w:tblCellMar>
          <w:left w:w="70" w:type="dxa"/>
          <w:right w:w="70" w:type="dxa"/>
        </w:tblCellMar>
        <w:tblLook w:val="04A0" w:firstRow="1" w:lastRow="0" w:firstColumn="1" w:lastColumn="0" w:noHBand="0" w:noVBand="1"/>
      </w:tblPr>
      <w:tblGrid>
        <w:gridCol w:w="4797"/>
        <w:gridCol w:w="1134"/>
        <w:gridCol w:w="1134"/>
        <w:gridCol w:w="1134"/>
        <w:gridCol w:w="1134"/>
        <w:gridCol w:w="1134"/>
      </w:tblGrid>
      <w:tr w:rsidR="00997B9C" w:rsidRPr="00A677C5" w14:paraId="5EDB6F83" w14:textId="77777777" w:rsidTr="00E861F3">
        <w:trPr>
          <w:trHeight w:hRule="exact" w:val="227"/>
        </w:trPr>
        <w:tc>
          <w:tcPr>
            <w:tcW w:w="4799" w:type="dxa"/>
            <w:tcBorders>
              <w:top w:val="nil"/>
              <w:left w:val="nil"/>
              <w:bottom w:val="single" w:sz="4" w:space="0" w:color="auto"/>
              <w:right w:val="nil"/>
            </w:tcBorders>
            <w:shd w:val="clear" w:color="auto" w:fill="DEEAF6" w:themeFill="accent1" w:themeFillTint="33"/>
            <w:vAlign w:val="center"/>
          </w:tcPr>
          <w:p w14:paraId="63044524" w14:textId="77777777" w:rsidR="00527FC9" w:rsidRPr="00A677C5" w:rsidRDefault="00527FC9" w:rsidP="004E663D">
            <w:pPr>
              <w:spacing w:after="0" w:line="240" w:lineRule="auto"/>
              <w:rPr>
                <w:rFonts w:ascii="Calibri" w:eastAsia="Times New Roman" w:hAnsi="Calibri" w:cs="Calibri"/>
                <w:b/>
                <w:bCs/>
                <w:color w:val="000000"/>
                <w:sz w:val="16"/>
                <w:szCs w:val="16"/>
              </w:rPr>
            </w:pPr>
          </w:p>
        </w:tc>
        <w:tc>
          <w:tcPr>
            <w:tcW w:w="1134" w:type="dxa"/>
            <w:tcBorders>
              <w:top w:val="nil"/>
              <w:left w:val="nil"/>
              <w:bottom w:val="single" w:sz="4" w:space="0" w:color="auto"/>
              <w:right w:val="nil"/>
            </w:tcBorders>
            <w:shd w:val="clear" w:color="auto" w:fill="DEEAF6" w:themeFill="accent1" w:themeFillTint="33"/>
            <w:noWrap/>
            <w:vAlign w:val="center"/>
            <w:hideMark/>
          </w:tcPr>
          <w:p w14:paraId="077784FE" w14:textId="39CCEDF9"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31/12/202</w:t>
            </w:r>
            <w:r w:rsidR="006971C7">
              <w:rPr>
                <w:rFonts w:ascii="Calibri" w:eastAsia="Times New Roman" w:hAnsi="Calibri" w:cs="Calibri"/>
                <w:b/>
                <w:bCs/>
                <w:color w:val="000000"/>
                <w:sz w:val="16"/>
                <w:szCs w:val="16"/>
              </w:rPr>
              <w:t>3</w:t>
            </w:r>
          </w:p>
        </w:tc>
        <w:tc>
          <w:tcPr>
            <w:tcW w:w="1134" w:type="dxa"/>
            <w:tcBorders>
              <w:top w:val="nil"/>
              <w:left w:val="nil"/>
              <w:bottom w:val="single" w:sz="4" w:space="0" w:color="auto"/>
              <w:right w:val="nil"/>
            </w:tcBorders>
            <w:shd w:val="clear" w:color="auto" w:fill="DEEAF6" w:themeFill="accent1" w:themeFillTint="33"/>
            <w:noWrap/>
            <w:vAlign w:val="center"/>
            <w:hideMark/>
          </w:tcPr>
          <w:p w14:paraId="0F35B6B4" w14:textId="3198DE01"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Ingressos</w:t>
            </w:r>
          </w:p>
        </w:tc>
        <w:tc>
          <w:tcPr>
            <w:tcW w:w="1134" w:type="dxa"/>
            <w:tcBorders>
              <w:top w:val="nil"/>
              <w:left w:val="nil"/>
              <w:bottom w:val="single" w:sz="4" w:space="0" w:color="auto"/>
              <w:right w:val="nil"/>
            </w:tcBorders>
            <w:shd w:val="clear" w:color="auto" w:fill="DEEAF6" w:themeFill="accent1" w:themeFillTint="33"/>
            <w:noWrap/>
            <w:vAlign w:val="center"/>
            <w:hideMark/>
          </w:tcPr>
          <w:p w14:paraId="1AAED43C" w14:textId="4B554F17"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Baixas</w:t>
            </w:r>
          </w:p>
        </w:tc>
        <w:tc>
          <w:tcPr>
            <w:tcW w:w="1134" w:type="dxa"/>
            <w:tcBorders>
              <w:top w:val="nil"/>
              <w:left w:val="nil"/>
              <w:bottom w:val="single" w:sz="4" w:space="0" w:color="auto"/>
              <w:right w:val="nil"/>
            </w:tcBorders>
            <w:shd w:val="clear" w:color="auto" w:fill="DEEAF6" w:themeFill="accent1" w:themeFillTint="33"/>
            <w:vAlign w:val="center"/>
          </w:tcPr>
          <w:p w14:paraId="6832ED76" w14:textId="48D89EEC" w:rsidR="00CA125A" w:rsidRDefault="00CA125A" w:rsidP="001360B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Atualização monetária</w:t>
            </w:r>
          </w:p>
        </w:tc>
        <w:tc>
          <w:tcPr>
            <w:tcW w:w="1134" w:type="dxa"/>
            <w:tcBorders>
              <w:top w:val="nil"/>
              <w:left w:val="nil"/>
              <w:bottom w:val="single" w:sz="4" w:space="0" w:color="auto"/>
              <w:right w:val="nil"/>
            </w:tcBorders>
            <w:shd w:val="clear" w:color="auto" w:fill="DEEAF6" w:themeFill="accent1" w:themeFillTint="33"/>
            <w:noWrap/>
            <w:vAlign w:val="center"/>
            <w:hideMark/>
          </w:tcPr>
          <w:p w14:paraId="4010C828" w14:textId="1541633D" w:rsidR="00527FC9" w:rsidRPr="00997B9C" w:rsidRDefault="00CA125A"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w:t>
            </w:r>
            <w:r w:rsidR="00934A26">
              <w:rPr>
                <w:rFonts w:ascii="Calibri" w:eastAsia="Times New Roman" w:hAnsi="Calibri" w:cs="Calibri"/>
                <w:b/>
                <w:bCs/>
                <w:color w:val="000000"/>
                <w:sz w:val="16"/>
                <w:szCs w:val="16"/>
              </w:rPr>
              <w:t>1</w:t>
            </w:r>
            <w:r w:rsidRPr="00997B9C">
              <w:rPr>
                <w:rFonts w:ascii="Calibri" w:eastAsia="Times New Roman" w:hAnsi="Calibri" w:cs="Calibri"/>
                <w:b/>
                <w:bCs/>
                <w:color w:val="000000"/>
                <w:sz w:val="16"/>
                <w:szCs w:val="16"/>
              </w:rPr>
              <w:t>/</w:t>
            </w:r>
            <w:r w:rsidR="006971C7">
              <w:rPr>
                <w:rFonts w:ascii="Calibri" w:eastAsia="Times New Roman" w:hAnsi="Calibri" w:cs="Calibri"/>
                <w:b/>
                <w:bCs/>
                <w:color w:val="000000"/>
                <w:sz w:val="16"/>
                <w:szCs w:val="16"/>
              </w:rPr>
              <w:t>03</w:t>
            </w:r>
            <w:r w:rsidR="00997B9C" w:rsidRPr="00997B9C">
              <w:rPr>
                <w:rFonts w:ascii="Calibri" w:eastAsia="Times New Roman" w:hAnsi="Calibri" w:cs="Calibri"/>
                <w:b/>
                <w:bCs/>
                <w:color w:val="000000"/>
                <w:sz w:val="16"/>
                <w:szCs w:val="16"/>
              </w:rPr>
              <w:t>/202</w:t>
            </w:r>
            <w:r w:rsidR="006971C7">
              <w:rPr>
                <w:rFonts w:ascii="Calibri" w:eastAsia="Times New Roman" w:hAnsi="Calibri" w:cs="Calibri"/>
                <w:b/>
                <w:bCs/>
                <w:color w:val="000000"/>
                <w:sz w:val="16"/>
                <w:szCs w:val="16"/>
              </w:rPr>
              <w:t>4</w:t>
            </w:r>
          </w:p>
        </w:tc>
      </w:tr>
      <w:tr w:rsidR="00D40B17" w:rsidRPr="00A677C5" w14:paraId="1E88C302" w14:textId="77777777" w:rsidTr="00E861F3">
        <w:trPr>
          <w:trHeight w:hRule="exact" w:val="227"/>
        </w:trPr>
        <w:tc>
          <w:tcPr>
            <w:tcW w:w="4799" w:type="dxa"/>
            <w:tcBorders>
              <w:top w:val="single" w:sz="4" w:space="0" w:color="auto"/>
              <w:left w:val="nil"/>
              <w:bottom w:val="single" w:sz="4" w:space="0" w:color="auto"/>
              <w:right w:val="nil"/>
            </w:tcBorders>
            <w:shd w:val="clear" w:color="auto" w:fill="auto"/>
            <w:vAlign w:val="center"/>
          </w:tcPr>
          <w:p w14:paraId="4AEF6CEC" w14:textId="10E887AA" w:rsidR="00527FC9" w:rsidRPr="00527FC9" w:rsidRDefault="00527FC9" w:rsidP="00527FC9">
            <w:pPr>
              <w:spacing w:after="0" w:line="240" w:lineRule="auto"/>
              <w:rPr>
                <w:rFonts w:ascii="Calibri" w:eastAsia="Times New Roman" w:hAnsi="Calibri" w:cs="Calibri"/>
                <w:color w:val="000000"/>
                <w:sz w:val="16"/>
                <w:szCs w:val="16"/>
              </w:rPr>
            </w:pPr>
            <w:r w:rsidRPr="00527FC9">
              <w:rPr>
                <w:rFonts w:ascii="Calibri" w:eastAsia="Times New Roman" w:hAnsi="Calibri" w:cs="Calibri"/>
                <w:color w:val="000000"/>
                <w:sz w:val="16"/>
                <w:szCs w:val="16"/>
              </w:rPr>
              <w:t xml:space="preserve">Depósitos </w:t>
            </w:r>
            <w:r>
              <w:rPr>
                <w:rFonts w:ascii="Calibri" w:eastAsia="Times New Roman" w:hAnsi="Calibri" w:cs="Calibri"/>
                <w:color w:val="000000"/>
                <w:sz w:val="16"/>
                <w:szCs w:val="16"/>
              </w:rPr>
              <w:t>d</w:t>
            </w:r>
            <w:r w:rsidRPr="00527FC9">
              <w:rPr>
                <w:rFonts w:ascii="Calibri" w:eastAsia="Times New Roman" w:hAnsi="Calibri" w:cs="Calibri"/>
                <w:color w:val="000000"/>
                <w:sz w:val="16"/>
                <w:szCs w:val="16"/>
              </w:rPr>
              <w:t xml:space="preserve">e </w:t>
            </w:r>
            <w:r>
              <w:rPr>
                <w:rFonts w:ascii="Calibri" w:eastAsia="Times New Roman" w:hAnsi="Calibri" w:cs="Calibri"/>
                <w:color w:val="000000"/>
                <w:sz w:val="16"/>
                <w:szCs w:val="16"/>
              </w:rPr>
              <w:t>c</w:t>
            </w:r>
            <w:r w:rsidRPr="00527FC9">
              <w:rPr>
                <w:rFonts w:ascii="Calibri" w:eastAsia="Times New Roman" w:hAnsi="Calibri" w:cs="Calibri"/>
                <w:color w:val="000000"/>
                <w:sz w:val="16"/>
                <w:szCs w:val="16"/>
              </w:rPr>
              <w:t>auções</w:t>
            </w:r>
          </w:p>
        </w:tc>
        <w:tc>
          <w:tcPr>
            <w:tcW w:w="1134" w:type="dxa"/>
            <w:tcBorders>
              <w:top w:val="single" w:sz="4" w:space="0" w:color="auto"/>
              <w:left w:val="nil"/>
              <w:bottom w:val="single" w:sz="4" w:space="0" w:color="auto"/>
              <w:right w:val="nil"/>
            </w:tcBorders>
            <w:shd w:val="clear" w:color="auto" w:fill="auto"/>
            <w:noWrap/>
            <w:vAlign w:val="center"/>
            <w:hideMark/>
          </w:tcPr>
          <w:p w14:paraId="2351CB49" w14:textId="1CD06985" w:rsidR="00527FC9" w:rsidRPr="00997B9C" w:rsidRDefault="006971C7" w:rsidP="00A677C5">
            <w:pPr>
              <w:spacing w:after="0" w:line="240" w:lineRule="auto"/>
              <w:jc w:val="right"/>
              <w:rPr>
                <w:rFonts w:ascii="Calibri" w:eastAsia="Times New Roman" w:hAnsi="Calibri" w:cs="Calibri"/>
                <w:color w:val="000000"/>
                <w:sz w:val="16"/>
                <w:szCs w:val="16"/>
              </w:rPr>
            </w:pPr>
            <w:r w:rsidRPr="00934A26">
              <w:rPr>
                <w:rFonts w:ascii="Calibri" w:eastAsia="Times New Roman" w:hAnsi="Calibri" w:cs="Calibri"/>
                <w:color w:val="000000"/>
                <w:sz w:val="16"/>
                <w:szCs w:val="16"/>
              </w:rPr>
              <w:t>480.583</w:t>
            </w:r>
          </w:p>
        </w:tc>
        <w:tc>
          <w:tcPr>
            <w:tcW w:w="1134" w:type="dxa"/>
            <w:tcBorders>
              <w:top w:val="single" w:sz="4" w:space="0" w:color="auto"/>
              <w:left w:val="nil"/>
              <w:bottom w:val="single" w:sz="4" w:space="0" w:color="auto"/>
              <w:right w:val="nil"/>
            </w:tcBorders>
            <w:shd w:val="clear" w:color="auto" w:fill="auto"/>
            <w:noWrap/>
            <w:vAlign w:val="center"/>
            <w:hideMark/>
          </w:tcPr>
          <w:p w14:paraId="13F06911" w14:textId="4BC0D347" w:rsidR="00527FC9" w:rsidRPr="00997B9C" w:rsidRDefault="00DD44B4"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single" w:sz="4" w:space="0" w:color="auto"/>
              <w:left w:val="nil"/>
              <w:bottom w:val="single" w:sz="4" w:space="0" w:color="auto"/>
              <w:right w:val="nil"/>
            </w:tcBorders>
            <w:shd w:val="clear" w:color="auto" w:fill="auto"/>
            <w:noWrap/>
            <w:vAlign w:val="center"/>
            <w:hideMark/>
          </w:tcPr>
          <w:p w14:paraId="08FB77D6" w14:textId="2BD271D1" w:rsidR="00527FC9" w:rsidRPr="00997B9C" w:rsidRDefault="00027FFB"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single" w:sz="4" w:space="0" w:color="auto"/>
              <w:left w:val="nil"/>
              <w:bottom w:val="single" w:sz="4" w:space="0" w:color="auto"/>
              <w:right w:val="nil"/>
            </w:tcBorders>
            <w:vAlign w:val="center"/>
          </w:tcPr>
          <w:p w14:paraId="4DEF1782" w14:textId="0BF59B1C" w:rsidR="00326537" w:rsidRPr="00326537" w:rsidRDefault="001E2E6D"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8</w:t>
            </w:r>
            <w:r w:rsidR="00D40603">
              <w:rPr>
                <w:rFonts w:ascii="Calibri" w:eastAsia="Times New Roman" w:hAnsi="Calibri" w:cs="Calibri"/>
                <w:color w:val="000000"/>
                <w:sz w:val="16"/>
                <w:szCs w:val="16"/>
              </w:rPr>
              <w:t>7</w:t>
            </w:r>
            <w:r w:rsidR="00E646D7">
              <w:rPr>
                <w:rFonts w:ascii="Calibri" w:eastAsia="Times New Roman" w:hAnsi="Calibri" w:cs="Calibri"/>
                <w:color w:val="000000"/>
                <w:sz w:val="16"/>
                <w:szCs w:val="16"/>
              </w:rPr>
              <w:t>0</w:t>
            </w:r>
          </w:p>
        </w:tc>
        <w:tc>
          <w:tcPr>
            <w:tcW w:w="1134" w:type="dxa"/>
            <w:tcBorders>
              <w:top w:val="single" w:sz="4" w:space="0" w:color="auto"/>
              <w:left w:val="nil"/>
              <w:bottom w:val="single" w:sz="4" w:space="0" w:color="auto"/>
              <w:right w:val="nil"/>
            </w:tcBorders>
            <w:shd w:val="clear" w:color="auto" w:fill="auto"/>
            <w:noWrap/>
            <w:vAlign w:val="center"/>
            <w:hideMark/>
          </w:tcPr>
          <w:p w14:paraId="32310B3C" w14:textId="4EEB71B5" w:rsidR="00527FC9" w:rsidRPr="00997B9C" w:rsidRDefault="00011357"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481.45</w:t>
            </w:r>
            <w:r w:rsidR="00E646D7">
              <w:rPr>
                <w:rFonts w:ascii="Calibri" w:eastAsia="Times New Roman" w:hAnsi="Calibri" w:cs="Calibri"/>
                <w:color w:val="000000"/>
                <w:sz w:val="16"/>
                <w:szCs w:val="16"/>
              </w:rPr>
              <w:t>3</w:t>
            </w:r>
          </w:p>
        </w:tc>
      </w:tr>
    </w:tbl>
    <w:p w14:paraId="6505E253" w14:textId="7B28215E" w:rsidR="0000506C" w:rsidRDefault="00E71553" w:rsidP="00627139">
      <w:pPr>
        <w:spacing w:before="120" w:after="0"/>
        <w:jc w:val="both"/>
        <w:rPr>
          <w:rFonts w:cstheme="minorHAnsi"/>
          <w:sz w:val="20"/>
        </w:rPr>
      </w:pPr>
      <w:r w:rsidRPr="00B36334">
        <w:rPr>
          <w:rFonts w:cstheme="minorHAnsi"/>
          <w:sz w:val="20"/>
        </w:rPr>
        <w:t>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w:t>
      </w:r>
      <w:r w:rsidR="007C320D">
        <w:rPr>
          <w:rFonts w:cstheme="minorHAnsi"/>
          <w:sz w:val="20"/>
        </w:rPr>
        <w:t>EF</w:t>
      </w:r>
      <w:r w:rsidRPr="00B36334">
        <w:rPr>
          <w:rFonts w:cstheme="minorHAnsi"/>
          <w:sz w:val="20"/>
        </w:rPr>
        <w:t xml:space="preserve">. </w:t>
      </w:r>
    </w:p>
    <w:p w14:paraId="6BB53819" w14:textId="77777777" w:rsidR="00444FD6" w:rsidRDefault="00444FD6" w:rsidP="00B04687">
      <w:pPr>
        <w:spacing w:after="0"/>
        <w:jc w:val="both"/>
        <w:rPr>
          <w:rFonts w:cstheme="minorHAnsi"/>
          <w:sz w:val="20"/>
        </w:rPr>
      </w:pPr>
    </w:p>
    <w:p w14:paraId="1D609BC2" w14:textId="66D99281" w:rsidR="00E71553" w:rsidRPr="00B36334" w:rsidRDefault="00184A8E" w:rsidP="00B36334">
      <w:pPr>
        <w:pStyle w:val="Ttulo1"/>
      </w:pPr>
      <w:bookmarkStart w:id="41" w:name="_Toc184926677"/>
      <w:r w:rsidRPr="00B36334">
        <w:t>11</w:t>
      </w:r>
      <w:r w:rsidR="00D02DF0" w:rsidRPr="00B36334">
        <w:t xml:space="preserve"> </w:t>
      </w:r>
      <w:r w:rsidR="004B6C8A" w:rsidRPr="00B36334">
        <w:t>–</w:t>
      </w:r>
      <w:r w:rsidR="00C3407D" w:rsidRPr="00B36334">
        <w:t xml:space="preserve"> </w:t>
      </w:r>
      <w:r w:rsidR="003E1EFD" w:rsidRPr="00B36334">
        <w:t>V</w:t>
      </w:r>
      <w:r w:rsidR="00E71553" w:rsidRPr="00B36334">
        <w:t>alores a Receber</w:t>
      </w:r>
      <w:bookmarkEnd w:id="41"/>
    </w:p>
    <w:tbl>
      <w:tblPr>
        <w:tblW w:w="5000" w:type="pct"/>
        <w:tblBorders>
          <w:bottom w:val="single" w:sz="4" w:space="0" w:color="auto"/>
          <w:insideH w:val="single" w:sz="8" w:space="0" w:color="auto"/>
        </w:tblBorders>
        <w:tblCellMar>
          <w:left w:w="70" w:type="dxa"/>
          <w:right w:w="70" w:type="dxa"/>
        </w:tblCellMar>
        <w:tblLook w:val="04A0" w:firstRow="1" w:lastRow="0" w:firstColumn="1" w:lastColumn="0" w:noHBand="0" w:noVBand="1"/>
      </w:tblPr>
      <w:tblGrid>
        <w:gridCol w:w="7029"/>
        <w:gridCol w:w="1146"/>
        <w:gridCol w:w="1146"/>
        <w:gridCol w:w="1146"/>
      </w:tblGrid>
      <w:tr w:rsidR="00F10FFB" w:rsidRPr="00F10FFB" w14:paraId="52B33D90" w14:textId="77777777" w:rsidTr="00DA3AFB">
        <w:trPr>
          <w:trHeight w:hRule="exact" w:val="227"/>
        </w:trPr>
        <w:tc>
          <w:tcPr>
            <w:tcW w:w="6957" w:type="dxa"/>
            <w:shd w:val="clear" w:color="000000" w:fill="DEEAF6"/>
            <w:vAlign w:val="center"/>
            <w:hideMark/>
          </w:tcPr>
          <w:p w14:paraId="3E967648" w14:textId="77777777" w:rsidR="00F10FFB" w:rsidRPr="00F10FFB" w:rsidRDefault="00F10FFB" w:rsidP="00F10FFB">
            <w:pPr>
              <w:spacing w:after="0" w:line="240" w:lineRule="auto"/>
              <w:jc w:val="right"/>
              <w:rPr>
                <w:rFonts w:ascii="Calibri" w:eastAsia="Times New Roman" w:hAnsi="Calibri" w:cs="Calibri"/>
                <w:color w:val="000000"/>
                <w:sz w:val="16"/>
                <w:szCs w:val="16"/>
              </w:rPr>
            </w:pPr>
            <w:r w:rsidRPr="00F10FFB">
              <w:rPr>
                <w:rFonts w:ascii="Calibri" w:eastAsia="Times New Roman" w:hAnsi="Calibri" w:cs="Calibri"/>
                <w:color w:val="000000"/>
                <w:sz w:val="16"/>
                <w:szCs w:val="16"/>
              </w:rPr>
              <w:t> </w:t>
            </w:r>
          </w:p>
        </w:tc>
        <w:tc>
          <w:tcPr>
            <w:tcW w:w="1134" w:type="dxa"/>
            <w:shd w:val="clear" w:color="000000" w:fill="DEEAF6"/>
            <w:noWrap/>
            <w:vAlign w:val="center"/>
            <w:hideMark/>
          </w:tcPr>
          <w:p w14:paraId="2D447C14" w14:textId="77777777" w:rsidR="00F10FFB" w:rsidRPr="00F10FFB" w:rsidRDefault="00F10FFB" w:rsidP="00F10FFB">
            <w:pPr>
              <w:spacing w:after="0" w:line="240" w:lineRule="auto"/>
              <w:jc w:val="right"/>
              <w:rPr>
                <w:rFonts w:ascii="Calibri" w:eastAsia="Times New Roman" w:hAnsi="Calibri" w:cs="Calibri"/>
                <w:b/>
                <w:bCs/>
                <w:color w:val="000000"/>
                <w:sz w:val="16"/>
                <w:szCs w:val="16"/>
              </w:rPr>
            </w:pPr>
            <w:r w:rsidRPr="00F10FFB">
              <w:rPr>
                <w:rFonts w:ascii="Calibri" w:eastAsia="Times New Roman" w:hAnsi="Calibri" w:cs="Calibri"/>
                <w:b/>
                <w:bCs/>
                <w:color w:val="000000"/>
                <w:sz w:val="16"/>
                <w:szCs w:val="16"/>
              </w:rPr>
              <w:t>31/12/2023</w:t>
            </w:r>
          </w:p>
        </w:tc>
        <w:tc>
          <w:tcPr>
            <w:tcW w:w="1134" w:type="dxa"/>
            <w:shd w:val="clear" w:color="000000" w:fill="DEEAF6"/>
            <w:noWrap/>
            <w:vAlign w:val="center"/>
            <w:hideMark/>
          </w:tcPr>
          <w:p w14:paraId="3758CF87" w14:textId="77777777" w:rsidR="00F10FFB" w:rsidRPr="00F10FFB" w:rsidRDefault="00F10FFB" w:rsidP="00F10FFB">
            <w:pPr>
              <w:spacing w:after="0" w:line="240" w:lineRule="auto"/>
              <w:jc w:val="right"/>
              <w:rPr>
                <w:rFonts w:ascii="Calibri" w:eastAsia="Times New Roman" w:hAnsi="Calibri" w:cs="Calibri"/>
                <w:b/>
                <w:bCs/>
                <w:color w:val="000000"/>
                <w:sz w:val="16"/>
                <w:szCs w:val="16"/>
              </w:rPr>
            </w:pPr>
            <w:r w:rsidRPr="00F10FFB">
              <w:rPr>
                <w:rFonts w:ascii="Calibri" w:eastAsia="Times New Roman" w:hAnsi="Calibri" w:cs="Calibri"/>
                <w:b/>
                <w:bCs/>
                <w:color w:val="000000"/>
                <w:sz w:val="16"/>
                <w:szCs w:val="16"/>
              </w:rPr>
              <w:t>Baixas</w:t>
            </w:r>
          </w:p>
        </w:tc>
        <w:tc>
          <w:tcPr>
            <w:tcW w:w="1134" w:type="dxa"/>
            <w:shd w:val="clear" w:color="000000" w:fill="DEEAF6"/>
            <w:noWrap/>
            <w:vAlign w:val="center"/>
            <w:hideMark/>
          </w:tcPr>
          <w:p w14:paraId="651E33B9" w14:textId="77777777" w:rsidR="00F10FFB" w:rsidRPr="00F10FFB" w:rsidRDefault="00F10FFB" w:rsidP="00F10FFB">
            <w:pPr>
              <w:spacing w:after="0" w:line="240" w:lineRule="auto"/>
              <w:jc w:val="right"/>
              <w:rPr>
                <w:rFonts w:ascii="Calibri" w:eastAsia="Times New Roman" w:hAnsi="Calibri" w:cs="Calibri"/>
                <w:b/>
                <w:bCs/>
                <w:color w:val="000000"/>
                <w:sz w:val="16"/>
                <w:szCs w:val="16"/>
              </w:rPr>
            </w:pPr>
            <w:r w:rsidRPr="00F10FFB">
              <w:rPr>
                <w:rFonts w:ascii="Calibri" w:eastAsia="Times New Roman" w:hAnsi="Calibri" w:cs="Calibri"/>
                <w:b/>
                <w:bCs/>
                <w:color w:val="000000"/>
                <w:sz w:val="16"/>
                <w:szCs w:val="16"/>
              </w:rPr>
              <w:t>31/03/2024</w:t>
            </w:r>
          </w:p>
        </w:tc>
      </w:tr>
      <w:tr w:rsidR="00F10FFB" w:rsidRPr="00F10FFB" w14:paraId="41CBC3C5" w14:textId="77777777" w:rsidTr="00DA3AFB">
        <w:trPr>
          <w:trHeight w:hRule="exact" w:val="227"/>
        </w:trPr>
        <w:tc>
          <w:tcPr>
            <w:tcW w:w="6957" w:type="dxa"/>
            <w:shd w:val="clear" w:color="auto" w:fill="auto"/>
            <w:vAlign w:val="center"/>
            <w:hideMark/>
          </w:tcPr>
          <w:p w14:paraId="414D92BB" w14:textId="77777777" w:rsidR="00F10FFB" w:rsidRPr="00F10FFB" w:rsidRDefault="00F10FFB" w:rsidP="00F10FFB">
            <w:pPr>
              <w:spacing w:after="0" w:line="240" w:lineRule="auto"/>
              <w:rPr>
                <w:rFonts w:ascii="Calibri" w:eastAsia="Times New Roman" w:hAnsi="Calibri" w:cs="Calibri"/>
                <w:color w:val="000000"/>
                <w:sz w:val="16"/>
                <w:szCs w:val="16"/>
              </w:rPr>
            </w:pPr>
            <w:r w:rsidRPr="00F10FFB">
              <w:rPr>
                <w:rFonts w:ascii="Calibri" w:eastAsia="Times New Roman" w:hAnsi="Calibri" w:cs="Calibri"/>
                <w:color w:val="000000"/>
                <w:sz w:val="16"/>
                <w:szCs w:val="16"/>
              </w:rPr>
              <w:t>Adiantamento GEIPOT</w:t>
            </w:r>
          </w:p>
        </w:tc>
        <w:tc>
          <w:tcPr>
            <w:tcW w:w="1134" w:type="dxa"/>
            <w:shd w:val="clear" w:color="auto" w:fill="auto"/>
            <w:noWrap/>
            <w:vAlign w:val="center"/>
            <w:hideMark/>
          </w:tcPr>
          <w:p w14:paraId="5802EC78" w14:textId="77777777" w:rsidR="00F10FFB" w:rsidRPr="00F10FFB" w:rsidRDefault="00F10FFB" w:rsidP="00F10FFB">
            <w:pPr>
              <w:spacing w:after="0" w:line="240" w:lineRule="auto"/>
              <w:jc w:val="right"/>
              <w:rPr>
                <w:rFonts w:ascii="Calibri" w:eastAsia="Times New Roman" w:hAnsi="Calibri" w:cs="Calibri"/>
                <w:color w:val="000000"/>
                <w:sz w:val="16"/>
                <w:szCs w:val="16"/>
              </w:rPr>
            </w:pPr>
            <w:r w:rsidRPr="00F10FFB">
              <w:rPr>
                <w:rFonts w:ascii="Calibri" w:eastAsia="Times New Roman" w:hAnsi="Calibri" w:cs="Calibri"/>
                <w:color w:val="000000"/>
                <w:sz w:val="16"/>
                <w:szCs w:val="16"/>
              </w:rPr>
              <w:t>16.141</w:t>
            </w:r>
          </w:p>
        </w:tc>
        <w:tc>
          <w:tcPr>
            <w:tcW w:w="1134" w:type="dxa"/>
            <w:shd w:val="clear" w:color="auto" w:fill="auto"/>
            <w:noWrap/>
            <w:vAlign w:val="center"/>
            <w:hideMark/>
          </w:tcPr>
          <w:p w14:paraId="03369DF3" w14:textId="77777777" w:rsidR="00F10FFB" w:rsidRPr="00F10FFB" w:rsidRDefault="00F10FFB" w:rsidP="00F10FFB">
            <w:pPr>
              <w:spacing w:after="0" w:line="240" w:lineRule="auto"/>
              <w:jc w:val="right"/>
              <w:rPr>
                <w:rFonts w:ascii="Calibri" w:eastAsia="Times New Roman" w:hAnsi="Calibri" w:cs="Calibri"/>
                <w:color w:val="000000"/>
                <w:sz w:val="16"/>
                <w:szCs w:val="16"/>
              </w:rPr>
            </w:pPr>
            <w:r w:rsidRPr="00F10FFB">
              <w:rPr>
                <w:rFonts w:ascii="Calibri" w:eastAsia="Times New Roman" w:hAnsi="Calibri" w:cs="Calibri"/>
                <w:color w:val="000000"/>
                <w:sz w:val="16"/>
                <w:szCs w:val="16"/>
              </w:rPr>
              <w:t>(2.375)</w:t>
            </w:r>
          </w:p>
        </w:tc>
        <w:tc>
          <w:tcPr>
            <w:tcW w:w="1134" w:type="dxa"/>
            <w:shd w:val="clear" w:color="auto" w:fill="auto"/>
            <w:noWrap/>
            <w:vAlign w:val="center"/>
            <w:hideMark/>
          </w:tcPr>
          <w:p w14:paraId="61562B66" w14:textId="77777777" w:rsidR="00F10FFB" w:rsidRPr="00F10FFB" w:rsidRDefault="00F10FFB" w:rsidP="00F10FFB">
            <w:pPr>
              <w:spacing w:after="0" w:line="240" w:lineRule="auto"/>
              <w:jc w:val="right"/>
              <w:rPr>
                <w:rFonts w:ascii="Calibri" w:eastAsia="Times New Roman" w:hAnsi="Calibri" w:cs="Calibri"/>
                <w:color w:val="000000"/>
                <w:sz w:val="16"/>
                <w:szCs w:val="16"/>
              </w:rPr>
            </w:pPr>
            <w:r w:rsidRPr="00F10FFB">
              <w:rPr>
                <w:rFonts w:ascii="Calibri" w:eastAsia="Times New Roman" w:hAnsi="Calibri" w:cs="Calibri"/>
                <w:color w:val="000000"/>
                <w:sz w:val="16"/>
                <w:szCs w:val="16"/>
              </w:rPr>
              <w:t>13.766</w:t>
            </w:r>
          </w:p>
        </w:tc>
      </w:tr>
    </w:tbl>
    <w:p w14:paraId="281BC72C" w14:textId="70A53B21" w:rsidR="006B43C9" w:rsidRDefault="00E71553" w:rsidP="00B04687">
      <w:pPr>
        <w:spacing w:before="120" w:after="0"/>
        <w:jc w:val="both"/>
        <w:rPr>
          <w:rFonts w:cstheme="minorHAnsi"/>
          <w:sz w:val="20"/>
        </w:rPr>
      </w:pPr>
      <w:r w:rsidRPr="00B36334">
        <w:rPr>
          <w:rFonts w:cstheme="minorHAnsi"/>
          <w:sz w:val="20"/>
        </w:rPr>
        <w:t xml:space="preserve">O saldo abrange adiantamentos com despesas médicas aos empregados da extinta </w:t>
      </w:r>
      <w:r w:rsidR="00DB6838" w:rsidRPr="00DB6838">
        <w:rPr>
          <w:rFonts w:cstheme="minorHAnsi"/>
          <w:sz w:val="20"/>
        </w:rPr>
        <w:t xml:space="preserve">Empresa Brasileira de Planejamento de Transportes – </w:t>
      </w:r>
      <w:r w:rsidRPr="00B36334">
        <w:rPr>
          <w:rFonts w:cstheme="minorHAnsi"/>
          <w:sz w:val="20"/>
        </w:rPr>
        <w:t xml:space="preserve">GEIPOT transferidos para a Infra S.A. </w:t>
      </w:r>
      <w:r w:rsidR="00DB6838" w:rsidRPr="00DB6838">
        <w:rPr>
          <w:rFonts w:cstheme="minorHAnsi"/>
          <w:sz w:val="20"/>
        </w:rPr>
        <w:t xml:space="preserve">Os </w:t>
      </w:r>
      <w:r w:rsidRPr="00B36334">
        <w:rPr>
          <w:rFonts w:cstheme="minorHAnsi"/>
          <w:sz w:val="20"/>
        </w:rPr>
        <w:t xml:space="preserve">descontos </w:t>
      </w:r>
      <w:r w:rsidR="00DB6838" w:rsidRPr="00DB6838">
        <w:rPr>
          <w:rFonts w:cstheme="minorHAnsi"/>
          <w:sz w:val="20"/>
        </w:rPr>
        <w:t>desses</w:t>
      </w:r>
      <w:r w:rsidRPr="00B36334">
        <w:rPr>
          <w:rFonts w:cstheme="minorHAnsi"/>
          <w:sz w:val="20"/>
        </w:rPr>
        <w:t xml:space="preserve"> valores </w:t>
      </w:r>
      <w:r w:rsidR="00DB6838" w:rsidRPr="00DB6838">
        <w:rPr>
          <w:rFonts w:cstheme="minorHAnsi"/>
          <w:sz w:val="20"/>
        </w:rPr>
        <w:t xml:space="preserve">são </w:t>
      </w:r>
      <w:r w:rsidRPr="00B36334">
        <w:rPr>
          <w:rFonts w:cstheme="minorHAnsi"/>
          <w:sz w:val="20"/>
        </w:rPr>
        <w:t>efetuados mensalmente na Folha de Pagamento dos colaboradores.</w:t>
      </w:r>
    </w:p>
    <w:p w14:paraId="1A32641F" w14:textId="77777777" w:rsidR="00E65230" w:rsidRPr="00E65230" w:rsidRDefault="00E65230" w:rsidP="00E65230">
      <w:pPr>
        <w:spacing w:after="0"/>
        <w:jc w:val="both"/>
        <w:rPr>
          <w:rFonts w:cstheme="minorHAnsi"/>
          <w:sz w:val="20"/>
        </w:rPr>
      </w:pPr>
    </w:p>
    <w:p w14:paraId="1DFA2C8E" w14:textId="532316F6" w:rsidR="00E71553" w:rsidRPr="00E65230" w:rsidRDefault="008D4CE9" w:rsidP="00E65230">
      <w:pPr>
        <w:pStyle w:val="Ttulo1"/>
      </w:pPr>
      <w:bookmarkStart w:id="42" w:name="_Toc184926678"/>
      <w:r w:rsidRPr="00E65230">
        <w:t>12</w:t>
      </w:r>
      <w:r w:rsidR="00E71553" w:rsidRPr="00E65230">
        <w:t xml:space="preserve"> – </w:t>
      </w:r>
      <w:r w:rsidR="000F53D5" w:rsidRPr="00E65230">
        <w:t>Investimentos</w:t>
      </w:r>
      <w:bookmarkEnd w:id="42"/>
    </w:p>
    <w:p w14:paraId="7B4FBB22" w14:textId="4EC67CB4" w:rsidR="000419DB" w:rsidRPr="00E65230" w:rsidRDefault="006B54E8" w:rsidP="00E65230">
      <w:pPr>
        <w:spacing w:before="120"/>
        <w:ind w:right="57"/>
        <w:jc w:val="both"/>
        <w:rPr>
          <w:rFonts w:cstheme="minorHAnsi"/>
          <w:sz w:val="20"/>
          <w:szCs w:val="20"/>
        </w:rPr>
      </w:pPr>
      <w:r w:rsidRPr="00E65230">
        <w:rPr>
          <w:rFonts w:cstheme="minorHAnsi"/>
          <w:bCs/>
          <w:sz w:val="20"/>
          <w:szCs w:val="20"/>
        </w:rPr>
        <w:t xml:space="preserve">Os investimentos </w:t>
      </w:r>
      <w:r w:rsidR="00B672AA" w:rsidRPr="00E65230">
        <w:rPr>
          <w:rFonts w:cstheme="minorHAnsi"/>
          <w:bCs/>
          <w:sz w:val="20"/>
          <w:szCs w:val="20"/>
        </w:rPr>
        <w:t xml:space="preserve">realizados no </w:t>
      </w:r>
      <w:r w:rsidR="00DA1A70">
        <w:rPr>
          <w:rFonts w:cstheme="minorHAnsi"/>
          <w:bCs/>
          <w:sz w:val="20"/>
          <w:szCs w:val="20"/>
        </w:rPr>
        <w:t>período</w:t>
      </w:r>
      <w:r w:rsidR="00B672AA" w:rsidRPr="00E65230">
        <w:rPr>
          <w:rFonts w:cstheme="minorHAnsi"/>
          <w:bCs/>
          <w:sz w:val="20"/>
          <w:szCs w:val="20"/>
        </w:rPr>
        <w:t xml:space="preserve"> </w:t>
      </w:r>
      <w:r w:rsidR="00652A46" w:rsidRPr="00E65230">
        <w:rPr>
          <w:rFonts w:cstheme="minorHAnsi"/>
          <w:bCs/>
          <w:sz w:val="20"/>
          <w:szCs w:val="20"/>
        </w:rPr>
        <w:t>foram movimentados conforme</w:t>
      </w:r>
      <w:r w:rsidR="00EA1A11" w:rsidRPr="00E65230">
        <w:rPr>
          <w:rFonts w:cstheme="minorHAnsi"/>
          <w:bCs/>
          <w:sz w:val="20"/>
          <w:szCs w:val="20"/>
        </w:rPr>
        <w:t xml:space="preserve"> quadro abaixo:</w:t>
      </w:r>
    </w:p>
    <w:tbl>
      <w:tblPr>
        <w:tblW w:w="5000" w:type="pct"/>
        <w:tblLayout w:type="fixed"/>
        <w:tblCellMar>
          <w:left w:w="70" w:type="dxa"/>
          <w:right w:w="70" w:type="dxa"/>
        </w:tblCellMar>
        <w:tblLook w:val="04A0" w:firstRow="1" w:lastRow="0" w:firstColumn="1" w:lastColumn="0" w:noHBand="0" w:noVBand="1"/>
      </w:tblPr>
      <w:tblGrid>
        <w:gridCol w:w="2472"/>
        <w:gridCol w:w="1000"/>
        <w:gridCol w:w="1000"/>
        <w:gridCol w:w="1000"/>
        <w:gridCol w:w="999"/>
        <w:gridCol w:w="999"/>
        <w:gridCol w:w="999"/>
        <w:gridCol w:w="999"/>
        <w:gridCol w:w="999"/>
      </w:tblGrid>
      <w:tr w:rsidR="000E0D62" w:rsidRPr="00007843" w14:paraId="422BA27A" w14:textId="77777777" w:rsidTr="00B04687">
        <w:trPr>
          <w:trHeight w:val="227"/>
        </w:trPr>
        <w:tc>
          <w:tcPr>
            <w:tcW w:w="2472" w:type="dxa"/>
            <w:tcBorders>
              <w:top w:val="nil"/>
              <w:left w:val="nil"/>
              <w:bottom w:val="single" w:sz="8" w:space="0" w:color="auto"/>
              <w:right w:val="nil"/>
            </w:tcBorders>
            <w:shd w:val="clear" w:color="auto" w:fill="DEEAF6" w:themeFill="accent1" w:themeFillTint="33"/>
            <w:noWrap/>
            <w:vAlign w:val="center"/>
            <w:hideMark/>
          </w:tcPr>
          <w:p w14:paraId="2EF1AD50" w14:textId="13EE6C5D" w:rsidR="00487AE3" w:rsidRPr="00741528" w:rsidRDefault="00487AE3" w:rsidP="000419DB">
            <w:pPr>
              <w:spacing w:after="0" w:line="240" w:lineRule="auto"/>
              <w:jc w:val="center"/>
              <w:rPr>
                <w:rFonts w:ascii="Calibri" w:eastAsia="Times New Roman" w:hAnsi="Calibri" w:cs="Calibri"/>
                <w:b/>
                <w:sz w:val="16"/>
                <w:szCs w:val="16"/>
              </w:rPr>
            </w:pPr>
            <w:r w:rsidRPr="00741528">
              <w:rPr>
                <w:rFonts w:ascii="Calibri" w:eastAsia="Times New Roman" w:hAnsi="Calibri" w:cs="Calibri"/>
                <w:b/>
                <w:sz w:val="16"/>
                <w:szCs w:val="16"/>
              </w:rPr>
              <w:lastRenderedPageBreak/>
              <w:t>Investidas</w:t>
            </w:r>
          </w:p>
        </w:tc>
        <w:tc>
          <w:tcPr>
            <w:tcW w:w="1000" w:type="dxa"/>
            <w:tcBorders>
              <w:top w:val="nil"/>
              <w:left w:val="nil"/>
              <w:bottom w:val="single" w:sz="8" w:space="0" w:color="auto"/>
              <w:right w:val="nil"/>
            </w:tcBorders>
            <w:shd w:val="clear" w:color="auto" w:fill="DEEAF6" w:themeFill="accent1" w:themeFillTint="33"/>
            <w:vAlign w:val="center"/>
            <w:hideMark/>
          </w:tcPr>
          <w:p w14:paraId="08929874" w14:textId="60B78B26"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31/12/2023</w:t>
            </w:r>
          </w:p>
        </w:tc>
        <w:tc>
          <w:tcPr>
            <w:tcW w:w="1000" w:type="dxa"/>
            <w:tcBorders>
              <w:top w:val="nil"/>
              <w:left w:val="nil"/>
              <w:bottom w:val="single" w:sz="8" w:space="0" w:color="auto"/>
              <w:right w:val="nil"/>
            </w:tcBorders>
            <w:shd w:val="clear" w:color="auto" w:fill="DEEAF6" w:themeFill="accent1" w:themeFillTint="33"/>
            <w:vAlign w:val="center"/>
            <w:hideMark/>
          </w:tcPr>
          <w:p w14:paraId="491FBC78" w14:textId="74BC2718"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Resultado MEP</w:t>
            </w:r>
          </w:p>
        </w:tc>
        <w:tc>
          <w:tcPr>
            <w:tcW w:w="1000" w:type="dxa"/>
            <w:tcBorders>
              <w:top w:val="nil"/>
              <w:left w:val="nil"/>
              <w:bottom w:val="single" w:sz="8" w:space="0" w:color="auto"/>
              <w:right w:val="nil"/>
            </w:tcBorders>
            <w:shd w:val="clear" w:color="auto" w:fill="DEEAF6" w:themeFill="accent1" w:themeFillTint="33"/>
            <w:vAlign w:val="center"/>
            <w:hideMark/>
          </w:tcPr>
          <w:p w14:paraId="229488CB" w14:textId="1F01278F"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31/03/2024</w:t>
            </w:r>
          </w:p>
        </w:tc>
        <w:tc>
          <w:tcPr>
            <w:tcW w:w="999" w:type="dxa"/>
            <w:tcBorders>
              <w:top w:val="nil"/>
              <w:left w:val="nil"/>
              <w:bottom w:val="single" w:sz="8" w:space="0" w:color="auto"/>
              <w:right w:val="nil"/>
            </w:tcBorders>
            <w:shd w:val="clear" w:color="auto" w:fill="DEEAF6" w:themeFill="accent1" w:themeFillTint="33"/>
            <w:vAlign w:val="center"/>
            <w:hideMark/>
          </w:tcPr>
          <w:p w14:paraId="3750A425" w14:textId="562AC0E6" w:rsidR="00487AE3" w:rsidRPr="00741528" w:rsidRDefault="00487AE3" w:rsidP="002511FB">
            <w:pPr>
              <w:spacing w:after="0" w:line="240" w:lineRule="auto"/>
              <w:jc w:val="right"/>
              <w:rPr>
                <w:rFonts w:ascii="Calibri" w:eastAsia="Times New Roman" w:hAnsi="Calibri" w:cs="Calibri"/>
                <w:b/>
                <w:sz w:val="16"/>
                <w:szCs w:val="16"/>
              </w:rPr>
            </w:pPr>
            <w:proofErr w:type="spellStart"/>
            <w:r w:rsidRPr="00741528">
              <w:rPr>
                <w:rFonts w:ascii="Calibri" w:eastAsia="Times New Roman" w:hAnsi="Calibri" w:cs="Calibri"/>
                <w:b/>
                <w:sz w:val="16"/>
                <w:szCs w:val="16"/>
              </w:rPr>
              <w:t>Qtd</w:t>
            </w:r>
            <w:proofErr w:type="spellEnd"/>
            <w:r w:rsidRPr="00741528">
              <w:rPr>
                <w:rFonts w:ascii="Calibri" w:eastAsia="Times New Roman" w:hAnsi="Calibri" w:cs="Calibri"/>
                <w:b/>
                <w:sz w:val="16"/>
                <w:szCs w:val="16"/>
              </w:rPr>
              <w:t>. de Ações PN</w:t>
            </w:r>
          </w:p>
        </w:tc>
        <w:tc>
          <w:tcPr>
            <w:tcW w:w="999" w:type="dxa"/>
            <w:tcBorders>
              <w:top w:val="nil"/>
              <w:left w:val="nil"/>
              <w:bottom w:val="single" w:sz="8" w:space="0" w:color="auto"/>
              <w:right w:val="nil"/>
            </w:tcBorders>
            <w:shd w:val="clear" w:color="auto" w:fill="DEEAF6" w:themeFill="accent1" w:themeFillTint="33"/>
            <w:vAlign w:val="center"/>
            <w:hideMark/>
          </w:tcPr>
          <w:p w14:paraId="2BB5F576" w14:textId="5C19325A"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Ações PN (%)</w:t>
            </w:r>
          </w:p>
        </w:tc>
        <w:tc>
          <w:tcPr>
            <w:tcW w:w="999" w:type="dxa"/>
            <w:tcBorders>
              <w:top w:val="nil"/>
              <w:left w:val="nil"/>
              <w:bottom w:val="single" w:sz="8" w:space="0" w:color="auto"/>
              <w:right w:val="nil"/>
            </w:tcBorders>
            <w:shd w:val="clear" w:color="auto" w:fill="DEEAF6" w:themeFill="accent1" w:themeFillTint="33"/>
            <w:vAlign w:val="center"/>
            <w:hideMark/>
          </w:tcPr>
          <w:p w14:paraId="7E96776C" w14:textId="5E65F843" w:rsidR="00487AE3" w:rsidRPr="00741528" w:rsidRDefault="00487AE3" w:rsidP="002511FB">
            <w:pPr>
              <w:spacing w:after="0" w:line="240" w:lineRule="auto"/>
              <w:jc w:val="right"/>
              <w:rPr>
                <w:rFonts w:ascii="Calibri" w:eastAsia="Times New Roman" w:hAnsi="Calibri" w:cs="Calibri"/>
                <w:b/>
                <w:sz w:val="16"/>
                <w:szCs w:val="16"/>
              </w:rPr>
            </w:pPr>
            <w:proofErr w:type="spellStart"/>
            <w:r w:rsidRPr="00741528">
              <w:rPr>
                <w:rFonts w:ascii="Calibri" w:eastAsia="Times New Roman" w:hAnsi="Calibri" w:cs="Calibri"/>
                <w:b/>
                <w:sz w:val="16"/>
                <w:szCs w:val="16"/>
              </w:rPr>
              <w:t>Qtd</w:t>
            </w:r>
            <w:proofErr w:type="spellEnd"/>
            <w:r w:rsidRPr="00741528">
              <w:rPr>
                <w:rFonts w:ascii="Calibri" w:eastAsia="Times New Roman" w:hAnsi="Calibri" w:cs="Calibri"/>
                <w:b/>
                <w:sz w:val="16"/>
                <w:szCs w:val="16"/>
              </w:rPr>
              <w:t>. de Ações ON</w:t>
            </w:r>
          </w:p>
        </w:tc>
        <w:tc>
          <w:tcPr>
            <w:tcW w:w="999" w:type="dxa"/>
            <w:tcBorders>
              <w:top w:val="nil"/>
              <w:left w:val="nil"/>
              <w:bottom w:val="single" w:sz="8" w:space="0" w:color="auto"/>
              <w:right w:val="nil"/>
            </w:tcBorders>
            <w:shd w:val="clear" w:color="auto" w:fill="DEEAF6" w:themeFill="accent1" w:themeFillTint="33"/>
            <w:vAlign w:val="center"/>
            <w:hideMark/>
          </w:tcPr>
          <w:p w14:paraId="6D7055FB" w14:textId="53D682F0"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Ações ON (%)</w:t>
            </w:r>
          </w:p>
        </w:tc>
        <w:tc>
          <w:tcPr>
            <w:tcW w:w="999" w:type="dxa"/>
            <w:tcBorders>
              <w:top w:val="nil"/>
              <w:left w:val="nil"/>
              <w:bottom w:val="single" w:sz="8" w:space="0" w:color="auto"/>
              <w:right w:val="nil"/>
            </w:tcBorders>
            <w:shd w:val="clear" w:color="auto" w:fill="DEEAF6" w:themeFill="accent1" w:themeFillTint="33"/>
            <w:vAlign w:val="center"/>
            <w:hideMark/>
          </w:tcPr>
          <w:p w14:paraId="099F5FD2" w14:textId="1A152AB9"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Ações Total (%)</w:t>
            </w:r>
          </w:p>
        </w:tc>
      </w:tr>
      <w:tr w:rsidR="000E0D62" w:rsidRPr="00007843" w14:paraId="5B187F29" w14:textId="77777777" w:rsidTr="00B04687">
        <w:trPr>
          <w:trHeight w:val="227"/>
        </w:trPr>
        <w:tc>
          <w:tcPr>
            <w:tcW w:w="2472" w:type="dxa"/>
            <w:tcBorders>
              <w:top w:val="nil"/>
              <w:left w:val="nil"/>
              <w:bottom w:val="nil"/>
              <w:right w:val="nil"/>
            </w:tcBorders>
            <w:shd w:val="clear" w:color="auto" w:fill="auto"/>
            <w:vAlign w:val="center"/>
            <w:hideMark/>
          </w:tcPr>
          <w:p w14:paraId="1F04FC16" w14:textId="768B9C83" w:rsidR="00487AE3" w:rsidRPr="00741528" w:rsidRDefault="00487AE3" w:rsidP="000419DB">
            <w:pPr>
              <w:spacing w:after="0" w:line="240" w:lineRule="auto"/>
              <w:rPr>
                <w:rFonts w:ascii="Calibri" w:eastAsia="Times New Roman" w:hAnsi="Calibri" w:cs="Calibri"/>
                <w:sz w:val="16"/>
                <w:szCs w:val="16"/>
              </w:rPr>
            </w:pPr>
            <w:r w:rsidRPr="00741528">
              <w:rPr>
                <w:rFonts w:ascii="Calibri" w:eastAsia="Times New Roman" w:hAnsi="Calibri" w:cs="Calibri"/>
                <w:sz w:val="16"/>
                <w:szCs w:val="16"/>
              </w:rPr>
              <w:t>Estrada de Ferro Paraná Oeste S.A.</w:t>
            </w:r>
          </w:p>
        </w:tc>
        <w:tc>
          <w:tcPr>
            <w:tcW w:w="1000" w:type="dxa"/>
            <w:tcBorders>
              <w:top w:val="nil"/>
              <w:left w:val="nil"/>
              <w:bottom w:val="nil"/>
              <w:right w:val="nil"/>
            </w:tcBorders>
            <w:shd w:val="clear" w:color="auto" w:fill="auto"/>
            <w:noWrap/>
            <w:vAlign w:val="center"/>
            <w:hideMark/>
          </w:tcPr>
          <w:p w14:paraId="1D47A2B3" w14:textId="35BB864D"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26.27</w:t>
            </w:r>
            <w:r w:rsidR="00DE191C">
              <w:rPr>
                <w:rFonts w:ascii="Calibri" w:eastAsia="Times New Roman" w:hAnsi="Calibri" w:cs="Calibri"/>
                <w:sz w:val="16"/>
                <w:szCs w:val="16"/>
              </w:rPr>
              <w:t>8</w:t>
            </w:r>
          </w:p>
        </w:tc>
        <w:tc>
          <w:tcPr>
            <w:tcW w:w="1000" w:type="dxa"/>
            <w:tcBorders>
              <w:top w:val="nil"/>
              <w:left w:val="nil"/>
              <w:bottom w:val="nil"/>
              <w:right w:val="nil"/>
            </w:tcBorders>
            <w:shd w:val="clear" w:color="auto" w:fill="auto"/>
            <w:noWrap/>
            <w:vAlign w:val="center"/>
            <w:hideMark/>
          </w:tcPr>
          <w:p w14:paraId="14C4E033" w14:textId="7219C8F9"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 xml:space="preserve">- </w:t>
            </w:r>
          </w:p>
        </w:tc>
        <w:tc>
          <w:tcPr>
            <w:tcW w:w="1000" w:type="dxa"/>
            <w:tcBorders>
              <w:top w:val="nil"/>
              <w:left w:val="nil"/>
              <w:bottom w:val="nil"/>
              <w:right w:val="nil"/>
            </w:tcBorders>
            <w:shd w:val="clear" w:color="auto" w:fill="auto"/>
            <w:noWrap/>
            <w:vAlign w:val="center"/>
            <w:hideMark/>
          </w:tcPr>
          <w:p w14:paraId="429F400E" w14:textId="35DED7A6"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26.27</w:t>
            </w:r>
            <w:r w:rsidR="00DE191C">
              <w:rPr>
                <w:rFonts w:ascii="Calibri" w:eastAsia="Times New Roman" w:hAnsi="Calibri" w:cs="Calibri"/>
                <w:sz w:val="16"/>
                <w:szCs w:val="16"/>
              </w:rPr>
              <w:t>8</w:t>
            </w:r>
          </w:p>
        </w:tc>
        <w:tc>
          <w:tcPr>
            <w:tcW w:w="999" w:type="dxa"/>
            <w:tcBorders>
              <w:top w:val="nil"/>
              <w:left w:val="nil"/>
              <w:bottom w:val="nil"/>
              <w:right w:val="nil"/>
            </w:tcBorders>
            <w:shd w:val="clear" w:color="auto" w:fill="auto"/>
            <w:noWrap/>
            <w:vAlign w:val="center"/>
            <w:hideMark/>
          </w:tcPr>
          <w:p w14:paraId="72693818" w14:textId="3C6BB275"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w:t>
            </w:r>
          </w:p>
        </w:tc>
        <w:tc>
          <w:tcPr>
            <w:tcW w:w="999" w:type="dxa"/>
            <w:tcBorders>
              <w:top w:val="nil"/>
              <w:left w:val="nil"/>
              <w:bottom w:val="nil"/>
              <w:right w:val="nil"/>
            </w:tcBorders>
            <w:shd w:val="clear" w:color="auto" w:fill="auto"/>
            <w:noWrap/>
            <w:vAlign w:val="center"/>
            <w:hideMark/>
          </w:tcPr>
          <w:p w14:paraId="4999D6D9" w14:textId="37386E32"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w:t>
            </w:r>
          </w:p>
        </w:tc>
        <w:tc>
          <w:tcPr>
            <w:tcW w:w="999" w:type="dxa"/>
            <w:tcBorders>
              <w:top w:val="nil"/>
              <w:left w:val="nil"/>
              <w:bottom w:val="nil"/>
              <w:right w:val="nil"/>
            </w:tcBorders>
            <w:shd w:val="clear" w:color="auto" w:fill="auto"/>
            <w:noWrap/>
            <w:vAlign w:val="center"/>
            <w:hideMark/>
          </w:tcPr>
          <w:p w14:paraId="2DD40C7D"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1.875.000</w:t>
            </w:r>
          </w:p>
        </w:tc>
        <w:tc>
          <w:tcPr>
            <w:tcW w:w="999" w:type="dxa"/>
            <w:tcBorders>
              <w:top w:val="nil"/>
              <w:left w:val="nil"/>
              <w:bottom w:val="nil"/>
              <w:right w:val="nil"/>
            </w:tcBorders>
            <w:shd w:val="clear" w:color="auto" w:fill="auto"/>
            <w:noWrap/>
            <w:vAlign w:val="center"/>
            <w:hideMark/>
          </w:tcPr>
          <w:p w14:paraId="3AEFE017"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0,008</w:t>
            </w:r>
          </w:p>
        </w:tc>
        <w:tc>
          <w:tcPr>
            <w:tcW w:w="999" w:type="dxa"/>
            <w:tcBorders>
              <w:top w:val="nil"/>
              <w:left w:val="nil"/>
              <w:bottom w:val="nil"/>
              <w:right w:val="nil"/>
            </w:tcBorders>
            <w:shd w:val="clear" w:color="auto" w:fill="auto"/>
            <w:vAlign w:val="center"/>
            <w:hideMark/>
          </w:tcPr>
          <w:p w14:paraId="1F74B38A"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0,0027</w:t>
            </w:r>
          </w:p>
        </w:tc>
      </w:tr>
      <w:tr w:rsidR="000E0D62" w:rsidRPr="00007843" w14:paraId="6A2A6435" w14:textId="77777777" w:rsidTr="00B04687">
        <w:trPr>
          <w:trHeight w:val="227"/>
        </w:trPr>
        <w:tc>
          <w:tcPr>
            <w:tcW w:w="2472" w:type="dxa"/>
            <w:tcBorders>
              <w:top w:val="nil"/>
              <w:left w:val="nil"/>
              <w:bottom w:val="single" w:sz="8" w:space="0" w:color="auto"/>
              <w:right w:val="nil"/>
            </w:tcBorders>
            <w:shd w:val="clear" w:color="auto" w:fill="auto"/>
            <w:vAlign w:val="center"/>
            <w:hideMark/>
          </w:tcPr>
          <w:p w14:paraId="55D3336A" w14:textId="56F77F07" w:rsidR="00487AE3" w:rsidRPr="00741528" w:rsidRDefault="00487AE3" w:rsidP="000419DB">
            <w:pPr>
              <w:spacing w:after="0" w:line="240" w:lineRule="auto"/>
              <w:rPr>
                <w:rFonts w:ascii="Calibri" w:eastAsia="Times New Roman" w:hAnsi="Calibri" w:cs="Calibri"/>
                <w:sz w:val="16"/>
                <w:szCs w:val="16"/>
              </w:rPr>
            </w:pPr>
            <w:r w:rsidRPr="00741528">
              <w:rPr>
                <w:rFonts w:ascii="Calibri" w:eastAsia="Times New Roman" w:hAnsi="Calibri" w:cs="Calibri"/>
                <w:sz w:val="16"/>
                <w:szCs w:val="16"/>
              </w:rPr>
              <w:t>Transnordestina Logística S.A.</w:t>
            </w:r>
          </w:p>
        </w:tc>
        <w:tc>
          <w:tcPr>
            <w:tcW w:w="1000" w:type="dxa"/>
            <w:tcBorders>
              <w:top w:val="nil"/>
              <w:left w:val="nil"/>
              <w:bottom w:val="single" w:sz="8" w:space="0" w:color="auto"/>
              <w:right w:val="nil"/>
            </w:tcBorders>
            <w:shd w:val="clear" w:color="auto" w:fill="auto"/>
            <w:noWrap/>
            <w:vAlign w:val="center"/>
            <w:hideMark/>
          </w:tcPr>
          <w:p w14:paraId="22685C73" w14:textId="2E12282B"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881.365.02</w:t>
            </w:r>
            <w:r w:rsidR="00DE191C">
              <w:rPr>
                <w:rFonts w:ascii="Calibri" w:eastAsia="Times New Roman" w:hAnsi="Calibri" w:cs="Calibri"/>
                <w:sz w:val="16"/>
                <w:szCs w:val="16"/>
              </w:rPr>
              <w:t>0</w:t>
            </w:r>
          </w:p>
        </w:tc>
        <w:tc>
          <w:tcPr>
            <w:tcW w:w="1000" w:type="dxa"/>
            <w:tcBorders>
              <w:top w:val="nil"/>
              <w:left w:val="nil"/>
              <w:bottom w:val="single" w:sz="8" w:space="0" w:color="auto"/>
              <w:right w:val="nil"/>
            </w:tcBorders>
            <w:shd w:val="clear" w:color="auto" w:fill="auto"/>
            <w:noWrap/>
            <w:vAlign w:val="center"/>
            <w:hideMark/>
          </w:tcPr>
          <w:p w14:paraId="1DF5B421" w14:textId="555AE730" w:rsidR="00487AE3" w:rsidRPr="00741528" w:rsidRDefault="00487AE3" w:rsidP="002511FB">
            <w:pPr>
              <w:spacing w:after="0" w:line="240" w:lineRule="auto"/>
              <w:jc w:val="right"/>
              <w:rPr>
                <w:rFonts w:ascii="Calibri" w:eastAsia="Times New Roman" w:hAnsi="Calibri" w:cs="Calibri"/>
                <w:sz w:val="16"/>
                <w:szCs w:val="16"/>
              </w:rPr>
            </w:pPr>
            <w:r w:rsidRPr="00E63580">
              <w:rPr>
                <w:rFonts w:ascii="Calibri" w:eastAsia="Times New Roman" w:hAnsi="Calibri" w:cs="Calibri"/>
                <w:sz w:val="16"/>
                <w:szCs w:val="16"/>
              </w:rPr>
              <w:t>(5.044.89</w:t>
            </w:r>
            <w:r w:rsidR="009E6C53" w:rsidRPr="00E63580">
              <w:rPr>
                <w:rFonts w:ascii="Calibri" w:eastAsia="Times New Roman" w:hAnsi="Calibri" w:cs="Calibri"/>
                <w:sz w:val="16"/>
                <w:szCs w:val="16"/>
              </w:rPr>
              <w:t>5</w:t>
            </w:r>
            <w:r w:rsidRPr="00E63580">
              <w:rPr>
                <w:rFonts w:ascii="Calibri" w:eastAsia="Times New Roman" w:hAnsi="Calibri" w:cs="Calibri"/>
                <w:sz w:val="16"/>
                <w:szCs w:val="16"/>
              </w:rPr>
              <w:t>)</w:t>
            </w:r>
          </w:p>
        </w:tc>
        <w:tc>
          <w:tcPr>
            <w:tcW w:w="1000" w:type="dxa"/>
            <w:tcBorders>
              <w:top w:val="nil"/>
              <w:left w:val="nil"/>
              <w:bottom w:val="single" w:sz="8" w:space="0" w:color="auto"/>
              <w:right w:val="nil"/>
            </w:tcBorders>
            <w:shd w:val="clear" w:color="auto" w:fill="auto"/>
            <w:noWrap/>
            <w:vAlign w:val="center"/>
            <w:hideMark/>
          </w:tcPr>
          <w:p w14:paraId="46A5EDF9" w14:textId="24DC89C7" w:rsidR="00487AE3" w:rsidRPr="00741528" w:rsidRDefault="00487AE3" w:rsidP="002511FB">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876.320.12</w:t>
            </w:r>
            <w:r w:rsidR="00B777CB">
              <w:rPr>
                <w:rFonts w:ascii="Calibri" w:eastAsia="Times New Roman" w:hAnsi="Calibri" w:cs="Calibri"/>
                <w:sz w:val="16"/>
                <w:szCs w:val="16"/>
              </w:rPr>
              <w:t>5</w:t>
            </w:r>
          </w:p>
        </w:tc>
        <w:tc>
          <w:tcPr>
            <w:tcW w:w="999" w:type="dxa"/>
            <w:tcBorders>
              <w:top w:val="nil"/>
              <w:left w:val="nil"/>
              <w:bottom w:val="single" w:sz="8" w:space="0" w:color="auto"/>
              <w:right w:val="nil"/>
            </w:tcBorders>
            <w:shd w:val="clear" w:color="auto" w:fill="auto"/>
            <w:noWrap/>
            <w:vAlign w:val="center"/>
            <w:hideMark/>
          </w:tcPr>
          <w:p w14:paraId="66A73834"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18.686.075</w:t>
            </w:r>
          </w:p>
        </w:tc>
        <w:tc>
          <w:tcPr>
            <w:tcW w:w="999" w:type="dxa"/>
            <w:tcBorders>
              <w:top w:val="nil"/>
              <w:left w:val="nil"/>
              <w:bottom w:val="single" w:sz="8" w:space="0" w:color="auto"/>
              <w:right w:val="nil"/>
            </w:tcBorders>
            <w:shd w:val="clear" w:color="auto" w:fill="auto"/>
            <w:noWrap/>
            <w:vAlign w:val="center"/>
            <w:hideMark/>
          </w:tcPr>
          <w:p w14:paraId="38241F6C"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67,58</w:t>
            </w:r>
          </w:p>
        </w:tc>
        <w:tc>
          <w:tcPr>
            <w:tcW w:w="999" w:type="dxa"/>
            <w:tcBorders>
              <w:top w:val="nil"/>
              <w:left w:val="nil"/>
              <w:bottom w:val="single" w:sz="8" w:space="0" w:color="auto"/>
              <w:right w:val="nil"/>
            </w:tcBorders>
            <w:shd w:val="clear" w:color="auto" w:fill="auto"/>
            <w:noWrap/>
            <w:vAlign w:val="center"/>
            <w:hideMark/>
          </w:tcPr>
          <w:p w14:paraId="5CD647BA"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1.722.716</w:t>
            </w:r>
          </w:p>
        </w:tc>
        <w:tc>
          <w:tcPr>
            <w:tcW w:w="999" w:type="dxa"/>
            <w:tcBorders>
              <w:top w:val="nil"/>
              <w:left w:val="nil"/>
              <w:bottom w:val="single" w:sz="8" w:space="0" w:color="auto"/>
              <w:right w:val="nil"/>
            </w:tcBorders>
            <w:shd w:val="clear" w:color="auto" w:fill="auto"/>
            <w:noWrap/>
            <w:vAlign w:val="center"/>
            <w:hideMark/>
          </w:tcPr>
          <w:p w14:paraId="238A8E14"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6,08</w:t>
            </w:r>
          </w:p>
        </w:tc>
        <w:tc>
          <w:tcPr>
            <w:tcW w:w="999" w:type="dxa"/>
            <w:tcBorders>
              <w:top w:val="nil"/>
              <w:left w:val="nil"/>
              <w:bottom w:val="single" w:sz="8" w:space="0" w:color="auto"/>
              <w:right w:val="nil"/>
            </w:tcBorders>
            <w:shd w:val="clear" w:color="auto" w:fill="auto"/>
            <w:vAlign w:val="center"/>
            <w:hideMark/>
          </w:tcPr>
          <w:p w14:paraId="15795123" w14:textId="77777777" w:rsidR="00487AE3" w:rsidRPr="00741528" w:rsidRDefault="00487AE3" w:rsidP="002511FB">
            <w:pPr>
              <w:spacing w:after="0" w:line="240" w:lineRule="auto"/>
              <w:jc w:val="right"/>
              <w:rPr>
                <w:rFonts w:ascii="Calibri" w:eastAsia="Times New Roman" w:hAnsi="Calibri" w:cs="Calibri"/>
                <w:sz w:val="16"/>
                <w:szCs w:val="16"/>
              </w:rPr>
            </w:pPr>
            <w:r w:rsidRPr="00741528">
              <w:rPr>
                <w:rFonts w:ascii="Calibri" w:eastAsia="Times New Roman" w:hAnsi="Calibri" w:cs="Calibri"/>
                <w:sz w:val="16"/>
                <w:szCs w:val="16"/>
              </w:rPr>
              <w:t>36,47</w:t>
            </w:r>
          </w:p>
        </w:tc>
      </w:tr>
      <w:tr w:rsidR="000E0D62" w:rsidRPr="00007843" w14:paraId="26A3BF5C" w14:textId="77777777" w:rsidTr="00B04687">
        <w:trPr>
          <w:trHeight w:val="227"/>
        </w:trPr>
        <w:tc>
          <w:tcPr>
            <w:tcW w:w="2472" w:type="dxa"/>
            <w:tcBorders>
              <w:top w:val="nil"/>
              <w:left w:val="nil"/>
              <w:bottom w:val="single" w:sz="8" w:space="0" w:color="auto"/>
              <w:right w:val="nil"/>
            </w:tcBorders>
            <w:shd w:val="clear" w:color="auto" w:fill="DEEAF6" w:themeFill="accent1" w:themeFillTint="33"/>
            <w:noWrap/>
            <w:vAlign w:val="center"/>
            <w:hideMark/>
          </w:tcPr>
          <w:p w14:paraId="775343CE" w14:textId="4F47D838" w:rsidR="00487AE3" w:rsidRPr="00741528" w:rsidRDefault="00487AE3" w:rsidP="000419DB">
            <w:pPr>
              <w:spacing w:after="0" w:line="240" w:lineRule="auto"/>
              <w:jc w:val="center"/>
              <w:rPr>
                <w:rFonts w:ascii="Calibri" w:eastAsia="Times New Roman" w:hAnsi="Calibri" w:cs="Calibri"/>
                <w:b/>
                <w:sz w:val="16"/>
                <w:szCs w:val="16"/>
              </w:rPr>
            </w:pPr>
            <w:r w:rsidRPr="00741528">
              <w:rPr>
                <w:rFonts w:ascii="Calibri" w:eastAsia="Times New Roman" w:hAnsi="Calibri" w:cs="Calibri"/>
                <w:b/>
                <w:sz w:val="16"/>
                <w:szCs w:val="16"/>
              </w:rPr>
              <w:t>Total</w:t>
            </w:r>
          </w:p>
        </w:tc>
        <w:tc>
          <w:tcPr>
            <w:tcW w:w="1000" w:type="dxa"/>
            <w:tcBorders>
              <w:top w:val="nil"/>
              <w:left w:val="nil"/>
              <w:bottom w:val="single" w:sz="8" w:space="0" w:color="auto"/>
              <w:right w:val="nil"/>
            </w:tcBorders>
            <w:shd w:val="clear" w:color="auto" w:fill="DEEAF6" w:themeFill="accent1" w:themeFillTint="33"/>
            <w:noWrap/>
            <w:vAlign w:val="center"/>
            <w:hideMark/>
          </w:tcPr>
          <w:p w14:paraId="505D2E05" w14:textId="06579478" w:rsidR="00487AE3" w:rsidRPr="00741528" w:rsidRDefault="00487AE3" w:rsidP="002511FB">
            <w:pPr>
              <w:spacing w:after="0" w:line="240" w:lineRule="auto"/>
              <w:jc w:val="right"/>
              <w:rPr>
                <w:rFonts w:ascii="Calibri" w:eastAsia="Times New Roman" w:hAnsi="Calibri" w:cs="Calibri"/>
                <w:b/>
                <w:sz w:val="16"/>
                <w:szCs w:val="16"/>
              </w:rPr>
            </w:pPr>
            <w:r w:rsidRPr="00741528">
              <w:rPr>
                <w:rFonts w:ascii="Calibri" w:eastAsia="Times New Roman" w:hAnsi="Calibri" w:cs="Calibri"/>
                <w:b/>
                <w:sz w:val="16"/>
                <w:szCs w:val="16"/>
              </w:rPr>
              <w:t>881.391</w:t>
            </w:r>
            <w:r w:rsidR="000E0D62">
              <w:rPr>
                <w:rFonts w:ascii="Calibri" w:eastAsia="Times New Roman" w:hAnsi="Calibri" w:cs="Calibri"/>
                <w:b/>
                <w:sz w:val="16"/>
                <w:szCs w:val="16"/>
              </w:rPr>
              <w:t>.2</w:t>
            </w:r>
            <w:r w:rsidR="00DE087F">
              <w:rPr>
                <w:rFonts w:ascii="Calibri" w:eastAsia="Times New Roman" w:hAnsi="Calibri" w:cs="Calibri"/>
                <w:b/>
                <w:sz w:val="16"/>
                <w:szCs w:val="16"/>
              </w:rPr>
              <w:t>9</w:t>
            </w:r>
            <w:r w:rsidR="001919E6">
              <w:rPr>
                <w:rFonts w:ascii="Calibri" w:eastAsia="Times New Roman" w:hAnsi="Calibri" w:cs="Calibri"/>
                <w:b/>
                <w:sz w:val="16"/>
                <w:szCs w:val="16"/>
              </w:rPr>
              <w:t>8</w:t>
            </w:r>
          </w:p>
        </w:tc>
        <w:tc>
          <w:tcPr>
            <w:tcW w:w="1000" w:type="dxa"/>
            <w:tcBorders>
              <w:top w:val="nil"/>
              <w:left w:val="nil"/>
              <w:bottom w:val="single" w:sz="8" w:space="0" w:color="auto"/>
              <w:right w:val="nil"/>
            </w:tcBorders>
            <w:shd w:val="clear" w:color="auto" w:fill="DEEAF6" w:themeFill="accent1" w:themeFillTint="33"/>
            <w:noWrap/>
            <w:vAlign w:val="center"/>
            <w:hideMark/>
          </w:tcPr>
          <w:p w14:paraId="2BF11A6D" w14:textId="68DFA5F1" w:rsidR="00487AE3" w:rsidRPr="00741528" w:rsidRDefault="004C7DF9" w:rsidP="002511FB">
            <w:pPr>
              <w:spacing w:after="0" w:line="240" w:lineRule="auto"/>
              <w:jc w:val="right"/>
              <w:rPr>
                <w:rFonts w:ascii="Calibri" w:eastAsia="Times New Roman" w:hAnsi="Calibri" w:cs="Calibri"/>
                <w:b/>
                <w:sz w:val="16"/>
                <w:szCs w:val="16"/>
              </w:rPr>
            </w:pPr>
            <w:r w:rsidRPr="00E63580">
              <w:rPr>
                <w:rFonts w:ascii="Calibri" w:eastAsia="Times New Roman" w:hAnsi="Calibri" w:cs="Calibri"/>
                <w:b/>
                <w:sz w:val="16"/>
                <w:szCs w:val="16"/>
              </w:rPr>
              <w:t>(5.044.89</w:t>
            </w:r>
            <w:r w:rsidR="009E6C53" w:rsidRPr="00E63580">
              <w:rPr>
                <w:rFonts w:ascii="Calibri" w:eastAsia="Times New Roman" w:hAnsi="Calibri" w:cs="Calibri"/>
                <w:b/>
                <w:sz w:val="16"/>
                <w:szCs w:val="16"/>
              </w:rPr>
              <w:t>5</w:t>
            </w:r>
            <w:r w:rsidRPr="00E63580">
              <w:rPr>
                <w:rFonts w:ascii="Calibri" w:eastAsia="Times New Roman" w:hAnsi="Calibri" w:cs="Calibri"/>
                <w:b/>
                <w:sz w:val="16"/>
                <w:szCs w:val="16"/>
              </w:rPr>
              <w:t>)</w:t>
            </w:r>
          </w:p>
        </w:tc>
        <w:tc>
          <w:tcPr>
            <w:tcW w:w="1000" w:type="dxa"/>
            <w:tcBorders>
              <w:top w:val="nil"/>
              <w:left w:val="nil"/>
              <w:bottom w:val="single" w:sz="8" w:space="0" w:color="auto"/>
              <w:right w:val="nil"/>
            </w:tcBorders>
            <w:shd w:val="clear" w:color="auto" w:fill="DEEAF6" w:themeFill="accent1" w:themeFillTint="33"/>
            <w:noWrap/>
            <w:vAlign w:val="center"/>
            <w:hideMark/>
          </w:tcPr>
          <w:p w14:paraId="2E316E61" w14:textId="500BE5F8" w:rsidR="00487AE3" w:rsidRPr="00261C79" w:rsidRDefault="00487AE3" w:rsidP="002511FB">
            <w:pPr>
              <w:spacing w:after="0" w:line="240" w:lineRule="auto"/>
              <w:jc w:val="right"/>
              <w:rPr>
                <w:rFonts w:ascii="Calibri" w:eastAsia="Times New Roman" w:hAnsi="Calibri" w:cs="Calibri"/>
                <w:b/>
                <w:sz w:val="16"/>
                <w:szCs w:val="16"/>
              </w:rPr>
            </w:pPr>
            <w:r>
              <w:rPr>
                <w:rFonts w:ascii="Calibri" w:eastAsia="Times New Roman" w:hAnsi="Calibri" w:cs="Calibri"/>
                <w:b/>
                <w:sz w:val="16"/>
                <w:szCs w:val="16"/>
              </w:rPr>
              <w:t>876.346.402</w:t>
            </w:r>
          </w:p>
        </w:tc>
        <w:tc>
          <w:tcPr>
            <w:tcW w:w="999" w:type="dxa"/>
            <w:tcBorders>
              <w:top w:val="nil"/>
              <w:left w:val="nil"/>
              <w:bottom w:val="single" w:sz="8" w:space="0" w:color="auto"/>
              <w:right w:val="nil"/>
            </w:tcBorders>
            <w:shd w:val="clear" w:color="auto" w:fill="DEEAF6" w:themeFill="accent1" w:themeFillTint="33"/>
            <w:noWrap/>
            <w:vAlign w:val="center"/>
            <w:hideMark/>
          </w:tcPr>
          <w:p w14:paraId="39645D46" w14:textId="77777777" w:rsidR="00487AE3" w:rsidRPr="00261C79" w:rsidRDefault="00487AE3" w:rsidP="002511FB">
            <w:pPr>
              <w:spacing w:after="0" w:line="240" w:lineRule="auto"/>
              <w:jc w:val="right"/>
              <w:rPr>
                <w:rFonts w:ascii="Calibri" w:eastAsia="Times New Roman" w:hAnsi="Calibri" w:cs="Calibri"/>
              </w:rPr>
            </w:pPr>
            <w:r w:rsidRPr="00261C79">
              <w:rPr>
                <w:rFonts w:ascii="Calibri" w:eastAsia="Times New Roman" w:hAnsi="Calibri" w:cs="Calibri"/>
              </w:rPr>
              <w:t> </w:t>
            </w:r>
          </w:p>
        </w:tc>
        <w:tc>
          <w:tcPr>
            <w:tcW w:w="999" w:type="dxa"/>
            <w:tcBorders>
              <w:top w:val="nil"/>
              <w:left w:val="nil"/>
              <w:bottom w:val="single" w:sz="8" w:space="0" w:color="auto"/>
              <w:right w:val="nil"/>
            </w:tcBorders>
            <w:shd w:val="clear" w:color="auto" w:fill="DEEAF6" w:themeFill="accent1" w:themeFillTint="33"/>
            <w:noWrap/>
            <w:vAlign w:val="center"/>
            <w:hideMark/>
          </w:tcPr>
          <w:p w14:paraId="5A5B1EB2" w14:textId="77777777" w:rsidR="00487AE3" w:rsidRPr="00261C79" w:rsidRDefault="00487AE3" w:rsidP="002511FB">
            <w:pPr>
              <w:spacing w:after="0" w:line="240" w:lineRule="auto"/>
              <w:jc w:val="right"/>
              <w:rPr>
                <w:rFonts w:ascii="Calibri" w:eastAsia="Times New Roman" w:hAnsi="Calibri" w:cs="Calibri"/>
              </w:rPr>
            </w:pPr>
            <w:r w:rsidRPr="00261C79">
              <w:rPr>
                <w:rFonts w:ascii="Calibri" w:eastAsia="Times New Roman" w:hAnsi="Calibri" w:cs="Calibri"/>
              </w:rPr>
              <w:t> </w:t>
            </w:r>
          </w:p>
        </w:tc>
        <w:tc>
          <w:tcPr>
            <w:tcW w:w="999" w:type="dxa"/>
            <w:tcBorders>
              <w:top w:val="nil"/>
              <w:left w:val="nil"/>
              <w:bottom w:val="single" w:sz="8" w:space="0" w:color="auto"/>
              <w:right w:val="nil"/>
            </w:tcBorders>
            <w:shd w:val="clear" w:color="auto" w:fill="DEEAF6" w:themeFill="accent1" w:themeFillTint="33"/>
            <w:noWrap/>
            <w:vAlign w:val="center"/>
            <w:hideMark/>
          </w:tcPr>
          <w:p w14:paraId="74B56B74" w14:textId="77777777" w:rsidR="00487AE3" w:rsidRPr="00261C79" w:rsidRDefault="00487AE3" w:rsidP="002511FB">
            <w:pPr>
              <w:spacing w:after="0" w:line="240" w:lineRule="auto"/>
              <w:jc w:val="right"/>
              <w:rPr>
                <w:rFonts w:ascii="Calibri" w:eastAsia="Times New Roman" w:hAnsi="Calibri" w:cs="Calibri"/>
              </w:rPr>
            </w:pPr>
            <w:r w:rsidRPr="00261C79">
              <w:rPr>
                <w:rFonts w:ascii="Calibri" w:eastAsia="Times New Roman" w:hAnsi="Calibri" w:cs="Calibri"/>
              </w:rPr>
              <w:t> </w:t>
            </w:r>
          </w:p>
        </w:tc>
        <w:tc>
          <w:tcPr>
            <w:tcW w:w="999" w:type="dxa"/>
            <w:tcBorders>
              <w:top w:val="nil"/>
              <w:left w:val="nil"/>
              <w:bottom w:val="single" w:sz="8" w:space="0" w:color="auto"/>
              <w:right w:val="nil"/>
            </w:tcBorders>
            <w:shd w:val="clear" w:color="auto" w:fill="DEEAF6" w:themeFill="accent1" w:themeFillTint="33"/>
            <w:noWrap/>
            <w:vAlign w:val="center"/>
            <w:hideMark/>
          </w:tcPr>
          <w:p w14:paraId="6EE82458" w14:textId="77777777" w:rsidR="00487AE3" w:rsidRPr="00261C79" w:rsidRDefault="00487AE3" w:rsidP="002511FB">
            <w:pPr>
              <w:spacing w:after="0" w:line="240" w:lineRule="auto"/>
              <w:jc w:val="right"/>
              <w:rPr>
                <w:rFonts w:ascii="Calibri" w:eastAsia="Times New Roman" w:hAnsi="Calibri" w:cs="Calibri"/>
              </w:rPr>
            </w:pPr>
            <w:r w:rsidRPr="00261C79">
              <w:rPr>
                <w:rFonts w:ascii="Calibri" w:eastAsia="Times New Roman" w:hAnsi="Calibri" w:cs="Calibri"/>
              </w:rPr>
              <w:t> </w:t>
            </w:r>
          </w:p>
        </w:tc>
        <w:tc>
          <w:tcPr>
            <w:tcW w:w="999" w:type="dxa"/>
            <w:tcBorders>
              <w:top w:val="nil"/>
              <w:left w:val="nil"/>
              <w:bottom w:val="single" w:sz="8" w:space="0" w:color="auto"/>
              <w:right w:val="nil"/>
            </w:tcBorders>
            <w:shd w:val="clear" w:color="auto" w:fill="DEEAF6" w:themeFill="accent1" w:themeFillTint="33"/>
            <w:vAlign w:val="center"/>
            <w:hideMark/>
          </w:tcPr>
          <w:p w14:paraId="5AC730B0" w14:textId="77777777" w:rsidR="00487AE3" w:rsidRPr="00261C79" w:rsidRDefault="00487AE3" w:rsidP="002511F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w:t>
            </w:r>
          </w:p>
        </w:tc>
      </w:tr>
    </w:tbl>
    <w:p w14:paraId="49F25C15" w14:textId="42E01513" w:rsidR="00E71553" w:rsidRPr="00E65230" w:rsidRDefault="00E71553" w:rsidP="00C000AF">
      <w:pPr>
        <w:numPr>
          <w:ilvl w:val="0"/>
          <w:numId w:val="1"/>
        </w:numPr>
        <w:spacing w:before="120"/>
        <w:ind w:left="284" w:right="57" w:hanging="284"/>
        <w:jc w:val="both"/>
        <w:rPr>
          <w:rFonts w:cstheme="minorHAnsi"/>
          <w:b/>
          <w:sz w:val="20"/>
          <w:szCs w:val="20"/>
        </w:rPr>
      </w:pPr>
      <w:r w:rsidRPr="00E65230">
        <w:rPr>
          <w:rFonts w:cstheme="minorHAnsi"/>
          <w:b/>
          <w:sz w:val="20"/>
          <w:szCs w:val="20"/>
        </w:rPr>
        <w:t>Estrada de Ferro Paraná-Oeste S</w:t>
      </w:r>
      <w:r w:rsidR="008631B7">
        <w:rPr>
          <w:rFonts w:cstheme="minorHAnsi"/>
          <w:b/>
          <w:sz w:val="20"/>
          <w:szCs w:val="20"/>
        </w:rPr>
        <w:t>.</w:t>
      </w:r>
      <w:r w:rsidRPr="00E65230">
        <w:rPr>
          <w:rFonts w:cstheme="minorHAnsi"/>
          <w:b/>
          <w:sz w:val="20"/>
          <w:szCs w:val="20"/>
        </w:rPr>
        <w:t>A</w:t>
      </w:r>
      <w:r w:rsidR="008631B7">
        <w:rPr>
          <w:rFonts w:cstheme="minorHAnsi"/>
          <w:b/>
          <w:sz w:val="20"/>
          <w:szCs w:val="20"/>
        </w:rPr>
        <w:t>.</w:t>
      </w:r>
      <w:r w:rsidRPr="00E65230">
        <w:rPr>
          <w:rFonts w:cstheme="minorHAnsi"/>
          <w:b/>
          <w:sz w:val="20"/>
          <w:szCs w:val="20"/>
        </w:rPr>
        <w:t xml:space="preserve"> </w:t>
      </w:r>
      <w:r w:rsidR="00685CEB" w:rsidRPr="000A7473">
        <w:rPr>
          <w:rFonts w:cstheme="minorHAnsi"/>
          <w:b/>
          <w:sz w:val="20"/>
          <w:szCs w:val="20"/>
        </w:rPr>
        <w:t>–</w:t>
      </w:r>
      <w:r w:rsidR="00685CEB" w:rsidRPr="00E65230">
        <w:rPr>
          <w:rFonts w:cstheme="minorHAnsi"/>
          <w:b/>
          <w:sz w:val="20"/>
          <w:szCs w:val="20"/>
        </w:rPr>
        <w:t xml:space="preserve"> </w:t>
      </w:r>
      <w:r w:rsidRPr="00E65230">
        <w:rPr>
          <w:rFonts w:cstheme="minorHAnsi"/>
          <w:b/>
          <w:sz w:val="20"/>
          <w:szCs w:val="20"/>
        </w:rPr>
        <w:t>FERROESTE</w:t>
      </w:r>
    </w:p>
    <w:p w14:paraId="71C36193" w14:textId="5F05855A" w:rsidR="00E71553" w:rsidRPr="00E94DA7" w:rsidRDefault="00E71553" w:rsidP="00645DFB">
      <w:pPr>
        <w:spacing w:before="120" w:line="240" w:lineRule="auto"/>
        <w:jc w:val="both"/>
        <w:rPr>
          <w:rFonts w:cstheme="minorHAnsi"/>
          <w:bCs/>
          <w:sz w:val="20"/>
          <w:szCs w:val="20"/>
        </w:rPr>
      </w:pPr>
      <w:r w:rsidRPr="00E94DA7">
        <w:rPr>
          <w:rFonts w:cstheme="minorHAnsi"/>
          <w:bCs/>
          <w:sz w:val="20"/>
          <w:szCs w:val="20"/>
        </w:rPr>
        <w:t>A Estrada de Ferro Paraná-Oeste S</w:t>
      </w:r>
      <w:r w:rsidR="008631B7" w:rsidRPr="00E94DA7">
        <w:rPr>
          <w:rFonts w:cstheme="minorHAnsi"/>
          <w:bCs/>
          <w:sz w:val="20"/>
          <w:szCs w:val="20"/>
        </w:rPr>
        <w:t>.</w:t>
      </w:r>
      <w:r w:rsidRPr="00E94DA7">
        <w:rPr>
          <w:rFonts w:cstheme="minorHAnsi"/>
          <w:bCs/>
          <w:sz w:val="20"/>
          <w:szCs w:val="20"/>
        </w:rPr>
        <w:t>A</w:t>
      </w:r>
      <w:r w:rsidR="008631B7" w:rsidRPr="00E94DA7">
        <w:rPr>
          <w:rFonts w:cstheme="minorHAnsi"/>
          <w:bCs/>
          <w:sz w:val="20"/>
          <w:szCs w:val="20"/>
        </w:rPr>
        <w:t>.</w:t>
      </w:r>
      <w:r w:rsidRPr="00E94DA7">
        <w:rPr>
          <w:rFonts w:cstheme="minorHAnsi"/>
          <w:bCs/>
          <w:sz w:val="20"/>
          <w:szCs w:val="20"/>
        </w:rPr>
        <w:t xml:space="preserve"> </w:t>
      </w:r>
      <w:r w:rsidR="00685CEB" w:rsidRPr="00E94DA7">
        <w:rPr>
          <w:rFonts w:cstheme="minorHAnsi"/>
          <w:bCs/>
          <w:sz w:val="20"/>
          <w:szCs w:val="20"/>
        </w:rPr>
        <w:t xml:space="preserve">– </w:t>
      </w:r>
      <w:r w:rsidRPr="00E94DA7">
        <w:rPr>
          <w:rFonts w:cstheme="minorHAnsi"/>
          <w:bCs/>
          <w:sz w:val="20"/>
          <w:szCs w:val="20"/>
        </w:rPr>
        <w:t xml:space="preserve">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6F833D56" w14:textId="2A598B1A" w:rsidR="00E71553" w:rsidRDefault="00E71553" w:rsidP="00645DFB">
      <w:pPr>
        <w:spacing w:after="0" w:line="240" w:lineRule="auto"/>
        <w:jc w:val="both"/>
        <w:rPr>
          <w:rFonts w:cstheme="minorHAnsi"/>
          <w:sz w:val="20"/>
          <w:szCs w:val="20"/>
        </w:rPr>
      </w:pPr>
      <w:r w:rsidRPr="00E65230">
        <w:rPr>
          <w:rFonts w:cstheme="minorHAnsi"/>
          <w:sz w:val="20"/>
          <w:szCs w:val="20"/>
        </w:rPr>
        <w:t>A Infra S.A. participa do capital social da FERROESTE com 1.875 lotes de 1.000 ações ordinárias. Esse investimento é avaliado pelo método de custo em função da participação da Infra S.A. não apresentar influência significativa, além dessa participação ser inferior a 20</w:t>
      </w:r>
      <w:r w:rsidR="00810CDE">
        <w:rPr>
          <w:rFonts w:cstheme="minorHAnsi"/>
          <w:sz w:val="20"/>
          <w:szCs w:val="20"/>
        </w:rPr>
        <w:t>,00</w:t>
      </w:r>
      <w:r w:rsidRPr="00E65230">
        <w:rPr>
          <w:rFonts w:cstheme="minorHAnsi"/>
          <w:sz w:val="20"/>
          <w:szCs w:val="20"/>
        </w:rPr>
        <w:t>% do Capital Social da investida.</w:t>
      </w:r>
    </w:p>
    <w:p w14:paraId="18D4ECAD" w14:textId="32864A20" w:rsidR="00E71553" w:rsidRPr="00E65230" w:rsidRDefault="00E71553" w:rsidP="00C000AF">
      <w:pPr>
        <w:numPr>
          <w:ilvl w:val="0"/>
          <w:numId w:val="1"/>
        </w:numPr>
        <w:spacing w:before="120"/>
        <w:ind w:left="284" w:right="57" w:hanging="284"/>
        <w:jc w:val="both"/>
        <w:rPr>
          <w:rFonts w:cstheme="minorHAnsi"/>
          <w:b/>
          <w:sz w:val="20"/>
          <w:szCs w:val="20"/>
        </w:rPr>
      </w:pPr>
      <w:r w:rsidRPr="00E65230">
        <w:rPr>
          <w:rFonts w:cstheme="minorHAnsi"/>
          <w:b/>
          <w:sz w:val="20"/>
          <w:szCs w:val="20"/>
        </w:rPr>
        <w:t>Transnordestina Logística S</w:t>
      </w:r>
      <w:r w:rsidR="008631B7">
        <w:rPr>
          <w:rFonts w:cstheme="minorHAnsi"/>
          <w:b/>
          <w:sz w:val="20"/>
          <w:szCs w:val="20"/>
        </w:rPr>
        <w:t>.</w:t>
      </w:r>
      <w:r w:rsidRPr="00E65230">
        <w:rPr>
          <w:rFonts w:cstheme="minorHAnsi"/>
          <w:b/>
          <w:sz w:val="20"/>
          <w:szCs w:val="20"/>
        </w:rPr>
        <w:t>A</w:t>
      </w:r>
      <w:r w:rsidR="008631B7">
        <w:rPr>
          <w:rFonts w:cstheme="minorHAnsi"/>
          <w:b/>
          <w:sz w:val="20"/>
          <w:szCs w:val="20"/>
        </w:rPr>
        <w:t>.</w:t>
      </w:r>
      <w:r w:rsidRPr="00E65230">
        <w:rPr>
          <w:rFonts w:cstheme="minorHAnsi"/>
          <w:b/>
          <w:sz w:val="20"/>
          <w:szCs w:val="20"/>
        </w:rPr>
        <w:t xml:space="preserve"> </w:t>
      </w:r>
      <w:r w:rsidR="00685CEB" w:rsidRPr="000A7473">
        <w:rPr>
          <w:rFonts w:cstheme="minorHAnsi"/>
          <w:b/>
          <w:sz w:val="20"/>
          <w:szCs w:val="20"/>
        </w:rPr>
        <w:t>–</w:t>
      </w:r>
      <w:r w:rsidR="00685CEB" w:rsidRPr="00E65230">
        <w:rPr>
          <w:rFonts w:cstheme="minorHAnsi"/>
          <w:b/>
          <w:sz w:val="20"/>
          <w:szCs w:val="20"/>
        </w:rPr>
        <w:t xml:space="preserve"> </w:t>
      </w:r>
      <w:r w:rsidRPr="00E65230">
        <w:rPr>
          <w:rFonts w:cstheme="minorHAnsi"/>
          <w:b/>
          <w:sz w:val="20"/>
          <w:szCs w:val="20"/>
        </w:rPr>
        <w:t>TLSA</w:t>
      </w:r>
    </w:p>
    <w:p w14:paraId="3B8879FF" w14:textId="13B901AF" w:rsidR="00E71553" w:rsidRPr="00E65230" w:rsidRDefault="00E71553" w:rsidP="00645DFB">
      <w:pPr>
        <w:pStyle w:val="Textoembloco"/>
        <w:spacing w:before="120" w:line="240" w:lineRule="auto"/>
        <w:ind w:left="0" w:right="0"/>
        <w:rPr>
          <w:rFonts w:asciiTheme="minorHAnsi" w:hAnsiTheme="minorHAnsi" w:cstheme="minorHAnsi"/>
        </w:rPr>
      </w:pPr>
      <w:r w:rsidRPr="00E65230">
        <w:rPr>
          <w:rFonts w:asciiTheme="minorHAnsi" w:hAnsiTheme="minorHAnsi" w:cstheme="minorHAnsi"/>
        </w:rPr>
        <w:t>A Transnordestina Logística S</w:t>
      </w:r>
      <w:r w:rsidR="008631B7">
        <w:rPr>
          <w:rFonts w:asciiTheme="minorHAnsi" w:hAnsiTheme="minorHAnsi" w:cstheme="minorHAnsi"/>
        </w:rPr>
        <w:t>.</w:t>
      </w:r>
      <w:r w:rsidRPr="00E65230">
        <w:rPr>
          <w:rFonts w:asciiTheme="minorHAnsi" w:hAnsiTheme="minorHAnsi" w:cstheme="minorHAnsi"/>
        </w:rPr>
        <w:t>A</w:t>
      </w:r>
      <w:r w:rsidR="008631B7">
        <w:rPr>
          <w:rFonts w:asciiTheme="minorHAnsi" w:hAnsiTheme="minorHAnsi" w:cstheme="minorHAnsi"/>
        </w:rPr>
        <w:t>.</w:t>
      </w:r>
      <w:r w:rsidRPr="00E65230">
        <w:rPr>
          <w:rFonts w:asciiTheme="minorHAnsi" w:hAnsiTheme="minorHAnsi" w:cstheme="minorHAnsi"/>
        </w:rPr>
        <w:t xml:space="preserve"> </w:t>
      </w:r>
      <w:r w:rsidR="00685CEB" w:rsidRPr="00685CEB">
        <w:rPr>
          <w:rFonts w:cstheme="minorHAnsi"/>
        </w:rPr>
        <w:t>–</w:t>
      </w:r>
      <w:r w:rsidR="00685CEB" w:rsidRPr="00E65230">
        <w:rPr>
          <w:rFonts w:asciiTheme="minorHAnsi" w:hAnsiTheme="minorHAnsi" w:cstheme="minorHAnsi"/>
        </w:rPr>
        <w:t xml:space="preserve"> </w:t>
      </w:r>
      <w:r w:rsidRPr="00E65230">
        <w:rPr>
          <w:rFonts w:asciiTheme="minorHAnsi" w:hAnsiTheme="minorHAnsi" w:cstheme="minorHAnsi"/>
        </w:rPr>
        <w:t>TLSA é uma sociedade por ações, sediada em Fortaleza/CE, com registro de companhia aberta, classe B, junto à Comissão de Valores Mobiliários</w:t>
      </w:r>
      <w:r w:rsidR="00685CEB">
        <w:rPr>
          <w:rFonts w:asciiTheme="minorHAnsi" w:hAnsiTheme="minorHAnsi" w:cstheme="minorHAnsi"/>
        </w:rPr>
        <w:t xml:space="preserve"> </w:t>
      </w:r>
      <w:r w:rsidR="00685CEB" w:rsidRPr="00685CEB">
        <w:rPr>
          <w:rFonts w:cstheme="minorHAnsi"/>
        </w:rPr>
        <w:t>–</w:t>
      </w:r>
      <w:r w:rsidR="00685CEB">
        <w:rPr>
          <w:rFonts w:cstheme="minorHAnsi"/>
        </w:rPr>
        <w:t xml:space="preserve"> </w:t>
      </w:r>
      <w:r w:rsidRPr="00E65230">
        <w:rPr>
          <w:rFonts w:asciiTheme="minorHAnsi" w:hAnsiTheme="minorHAnsi" w:cstheme="minorHAnsi"/>
        </w:rPr>
        <w:t>CVM. A Companhia é controlada pela Companhia Siderúrgica Nacional</w:t>
      </w:r>
      <w:r w:rsidR="00685CEB">
        <w:rPr>
          <w:rFonts w:asciiTheme="minorHAnsi" w:hAnsiTheme="minorHAnsi" w:cstheme="minorHAnsi"/>
        </w:rPr>
        <w:t xml:space="preserve"> </w:t>
      </w:r>
      <w:r w:rsidR="00685CEB" w:rsidRPr="00685CEB">
        <w:rPr>
          <w:rFonts w:cstheme="minorHAnsi"/>
        </w:rPr>
        <w:t>–</w:t>
      </w:r>
      <w:r w:rsidR="00685CEB">
        <w:rPr>
          <w:rFonts w:cstheme="minorHAnsi"/>
        </w:rPr>
        <w:t xml:space="preserve"> </w:t>
      </w:r>
      <w:r w:rsidRPr="00E65230">
        <w:rPr>
          <w:rFonts w:asciiTheme="minorHAnsi" w:hAnsiTheme="minorHAnsi" w:cstheme="minorHAnsi"/>
        </w:rPr>
        <w:t xml:space="preserve">CSN e suas ações não são negociadas em bolsa de valores. </w:t>
      </w:r>
    </w:p>
    <w:p w14:paraId="7DBCFA9C" w14:textId="4A3A9E1E" w:rsidR="00E71553" w:rsidRPr="00E65230" w:rsidRDefault="00827DFC" w:rsidP="00645DFB">
      <w:pPr>
        <w:pStyle w:val="Textoembloco"/>
        <w:spacing w:before="120" w:line="240" w:lineRule="auto"/>
        <w:ind w:left="0" w:right="0"/>
        <w:rPr>
          <w:rFonts w:asciiTheme="minorHAnsi" w:hAnsiTheme="minorHAnsi" w:cstheme="minorHAnsi"/>
        </w:rPr>
      </w:pPr>
      <w:r w:rsidRPr="000A7473">
        <w:rPr>
          <w:rFonts w:asciiTheme="minorHAnsi" w:hAnsiTheme="minorHAnsi" w:cstheme="minorHAnsi"/>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1E6CF198" w14:textId="77777777" w:rsidR="00E71553" w:rsidRPr="00E65230" w:rsidRDefault="00E71553" w:rsidP="00645DFB">
      <w:pPr>
        <w:pStyle w:val="Textoembloco"/>
        <w:spacing w:before="120" w:line="240"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Infra S.A., nos termos da legislação, dos contratos, do Acordo de Acionistas e do Acordo de Investimento, não é integrante do grupo controlador da TLSA e não possui o controle compartilhado, mantendo a sua característica de acionista minoritária.</w:t>
      </w:r>
      <w:bookmarkStart w:id="43" w:name="_Hlk36135171"/>
    </w:p>
    <w:p w14:paraId="547D1974" w14:textId="5ED9FC29" w:rsidR="00E71553" w:rsidRPr="00E65230" w:rsidRDefault="00E71553" w:rsidP="00645DFB">
      <w:pPr>
        <w:pStyle w:val="Textoembloco"/>
        <w:spacing w:before="120" w:line="240"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Lei n</w:t>
      </w:r>
      <w:r w:rsidR="00E04049">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6.404/1976 preceitua</w:t>
      </w:r>
      <w:r w:rsidR="00827DFC">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em seu art.</w:t>
      </w:r>
      <w:r w:rsidR="005A55CB">
        <w:rPr>
          <w:rFonts w:asciiTheme="minorHAnsi" w:hAnsiTheme="minorHAnsi" w:cstheme="minorHAnsi"/>
          <w:shd w:val="clear" w:color="auto" w:fill="FFFFFF"/>
        </w:rPr>
        <w:t xml:space="preserve"> </w:t>
      </w:r>
      <w:r w:rsidRPr="00E65230">
        <w:rPr>
          <w:rFonts w:asciiTheme="minorHAnsi" w:hAnsiTheme="minorHAnsi" w:cstheme="minorHAnsi"/>
          <w:shd w:val="clear" w:color="auto" w:fill="FFFFFF"/>
        </w:rPr>
        <w:t>116</w:t>
      </w:r>
      <w:r w:rsidR="00827DFC">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E464AAF" w14:textId="61435AFD" w:rsidR="00E71553" w:rsidRPr="00E65230" w:rsidRDefault="00E71553" w:rsidP="00645DFB">
      <w:pPr>
        <w:pStyle w:val="Textoembloco"/>
        <w:spacing w:before="120" w:line="240"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Em 27 de dezembro 2013, após a eleição e posse de dois representantes para compor o Conselho de Administração da </w:t>
      </w:r>
      <w:r w:rsidR="003E087C">
        <w:rPr>
          <w:rFonts w:asciiTheme="minorHAnsi" w:hAnsiTheme="minorHAnsi" w:cstheme="minorHAnsi"/>
          <w:shd w:val="clear" w:color="auto" w:fill="FFFFFF"/>
        </w:rPr>
        <w:t>TLSA</w:t>
      </w:r>
      <w:r w:rsidRPr="00E65230">
        <w:rPr>
          <w:rFonts w:asciiTheme="minorHAnsi" w:hAnsiTheme="minorHAnsi" w:cstheme="minorHAnsi"/>
          <w:shd w:val="clear" w:color="auto" w:fill="FFFFFF"/>
        </w:rPr>
        <w:t>, a Infra S.A. passou a considerá-la coligada. Conforme a Norma Brasileira de Contabilidade NBC TG 18 (R3)</w:t>
      </w:r>
      <w:r w:rsidR="00752460">
        <w:rPr>
          <w:rFonts w:asciiTheme="minorHAnsi" w:hAnsiTheme="minorHAnsi" w:cstheme="minorHAnsi"/>
          <w:shd w:val="clear" w:color="auto" w:fill="FFFFFF"/>
        </w:rPr>
        <w:t xml:space="preserve"> </w:t>
      </w:r>
      <w:r w:rsidR="00752460" w:rsidRPr="000A7473">
        <w:rPr>
          <w:rFonts w:asciiTheme="minorHAnsi" w:hAnsiTheme="minorHAnsi" w:cstheme="minorHAnsi"/>
          <w:shd w:val="clear" w:color="auto" w:fill="FFFFFF"/>
        </w:rPr>
        <w:t>– Investimento em Coligada, em Controlada e em Empreendimento Controlado em Conjunto</w:t>
      </w:r>
      <w:r w:rsidRPr="00E65230">
        <w:rPr>
          <w:rFonts w:asciiTheme="minorHAnsi" w:hAnsiTheme="minorHAnsi" w:cstheme="minorHAnsi"/>
          <w:shd w:val="clear" w:color="auto" w:fill="FFFFFF"/>
        </w:rPr>
        <w:t>, coligada é a entidade sobre a qual o investidor tem influência significativa, isto é, o investidor possui o direito de participar de certas decisões sobre políticas</w:t>
      </w:r>
      <w:bookmarkStart w:id="44" w:name="SL147989"/>
      <w:bookmarkEnd w:id="44"/>
      <w:r w:rsidRPr="00E65230">
        <w:rPr>
          <w:rFonts w:asciiTheme="minorHAnsi" w:hAnsiTheme="minorHAnsi" w:cstheme="minorHAnsi"/>
          <w:shd w:val="clear" w:color="auto" w:fill="FFFFFF"/>
        </w:rPr>
        <w:t xml:space="preserve"> financeiras e operacionais da companhia investida, mas sem exercer controle individual ou conjunto dessas políticas.</w:t>
      </w:r>
    </w:p>
    <w:bookmarkEnd w:id="43"/>
    <w:p w14:paraId="49AC09B8" w14:textId="77777777" w:rsidR="00E71553" w:rsidRPr="00E65230" w:rsidRDefault="00E71553" w:rsidP="00645DFB">
      <w:pPr>
        <w:pStyle w:val="Textoembloco"/>
        <w:spacing w:before="120" w:line="240"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DB221" w14:textId="61D57E22" w:rsidR="00E71553" w:rsidRPr="00E65230" w:rsidRDefault="00E71553" w:rsidP="00645DFB">
      <w:pPr>
        <w:pStyle w:val="Textoembloco"/>
        <w:spacing w:before="120" w:line="240"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Até o ano de 2016, a Infra S.A. aportou o montante de R$ 1.124,6 milhões na TLSA. Desde janeiro de 2017, por determinação do Tribunal de Contas da União – Acórdão n</w:t>
      </w:r>
      <w:r w:rsidR="00E04049">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67/2017, estão suspensos novos aportes de recursos públicos para o projeto.</w:t>
      </w:r>
    </w:p>
    <w:p w14:paraId="07C652FB" w14:textId="71A9B542" w:rsidR="007212AD" w:rsidRDefault="00177C7F" w:rsidP="00645DFB">
      <w:pPr>
        <w:pStyle w:val="Textoembloco"/>
        <w:spacing w:after="0" w:line="240" w:lineRule="auto"/>
        <w:ind w:left="0"/>
        <w:rPr>
          <w:rFonts w:asciiTheme="minorHAnsi" w:hAnsiTheme="minorHAnsi" w:cstheme="minorHAnsi"/>
          <w:highlight w:val="yellow"/>
          <w:shd w:val="clear" w:color="auto" w:fill="FFFFFF"/>
        </w:rPr>
      </w:pPr>
      <w:r w:rsidRPr="00141D2D">
        <w:rPr>
          <w:rFonts w:asciiTheme="minorHAnsi" w:hAnsiTheme="minorHAnsi" w:cstheme="minorHAnsi"/>
          <w:shd w:val="clear" w:color="auto" w:fill="FFFFFF"/>
        </w:rPr>
        <w:t xml:space="preserve">Segundo as Notas Explicativas </w:t>
      </w:r>
      <w:r w:rsidR="00BA5D03">
        <w:rPr>
          <w:rFonts w:asciiTheme="minorHAnsi" w:hAnsiTheme="minorHAnsi" w:cstheme="minorHAnsi"/>
          <w:shd w:val="clear" w:color="auto" w:fill="FFFFFF"/>
        </w:rPr>
        <w:t xml:space="preserve">às Demonstrações Financeiras </w:t>
      </w:r>
      <w:r w:rsidRPr="00141D2D">
        <w:rPr>
          <w:rFonts w:asciiTheme="minorHAnsi" w:hAnsiTheme="minorHAnsi" w:cstheme="minorHAnsi"/>
          <w:shd w:val="clear" w:color="auto" w:fill="FFFFFF"/>
        </w:rPr>
        <w:t xml:space="preserve">da TLSA, referente ao </w:t>
      </w:r>
      <w:r w:rsidR="00827DFC">
        <w:rPr>
          <w:rFonts w:asciiTheme="minorHAnsi" w:hAnsiTheme="minorHAnsi" w:cstheme="minorHAnsi"/>
          <w:shd w:val="clear" w:color="auto" w:fill="FFFFFF"/>
        </w:rPr>
        <w:t>1</w:t>
      </w:r>
      <w:r w:rsidRPr="00141D2D">
        <w:rPr>
          <w:rFonts w:asciiTheme="minorHAnsi" w:hAnsiTheme="minorHAnsi" w:cstheme="minorHAnsi"/>
          <w:shd w:val="clear" w:color="auto" w:fill="FFFFFF"/>
        </w:rPr>
        <w:t>° trimestre de 202</w:t>
      </w:r>
      <w:r w:rsidR="00827DFC">
        <w:rPr>
          <w:rFonts w:asciiTheme="minorHAnsi" w:hAnsiTheme="minorHAnsi" w:cstheme="minorHAnsi"/>
          <w:shd w:val="clear" w:color="auto" w:fill="FFFFFF"/>
        </w:rPr>
        <w:t>4</w:t>
      </w:r>
      <w:r w:rsidRPr="00141D2D">
        <w:rPr>
          <w:rFonts w:asciiTheme="minorHAnsi" w:hAnsiTheme="minorHAnsi" w:cstheme="minorHAnsi"/>
          <w:shd w:val="clear" w:color="auto" w:fill="FFFFFF"/>
        </w:rPr>
        <w:t>, a Companhia encontra-se em fase de implantação, devendo assim permanecer até a conclusão da malha II. O cronograma aprovado, prevê o término em agosto de 2029.</w:t>
      </w:r>
    </w:p>
    <w:p w14:paraId="4470CBD3" w14:textId="47A71538" w:rsidR="00D60D74" w:rsidRDefault="00D60D74" w:rsidP="00942969">
      <w:pPr>
        <w:pStyle w:val="Ttulo1"/>
        <w:sectPr w:rsidR="00D60D74" w:rsidSect="009D4932">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4713EB32" w14:textId="1F0DE40F" w:rsidR="00E71553" w:rsidRPr="00E65230" w:rsidRDefault="00DD1ED4" w:rsidP="00942969">
      <w:pPr>
        <w:pStyle w:val="Ttulo1"/>
      </w:pPr>
      <w:bookmarkStart w:id="45" w:name="_Toc184926679"/>
      <w:r>
        <w:lastRenderedPageBreak/>
        <w:t xml:space="preserve">13 - </w:t>
      </w:r>
      <w:r w:rsidR="00124249" w:rsidRPr="00F94376">
        <w:t>Imobilizado</w:t>
      </w:r>
      <w:bookmarkEnd w:id="45"/>
      <w:r w:rsidR="00E71553" w:rsidRPr="00F94376">
        <w:t xml:space="preserve"> </w:t>
      </w:r>
    </w:p>
    <w:p w14:paraId="4FE15551" w14:textId="07F98D64" w:rsidR="00B7253E" w:rsidRPr="00E65230" w:rsidRDefault="00AB7B6A" w:rsidP="00135514">
      <w:pPr>
        <w:spacing w:after="0"/>
        <w:jc w:val="both"/>
        <w:rPr>
          <w:sz w:val="20"/>
        </w:rPr>
      </w:pPr>
      <w:r w:rsidRPr="00E65230">
        <w:rPr>
          <w:sz w:val="20"/>
        </w:rPr>
        <w:t>O imobilizado da Infra S</w:t>
      </w:r>
      <w:r w:rsidR="00C83EE9">
        <w:rPr>
          <w:sz w:val="20"/>
        </w:rPr>
        <w:t>.</w:t>
      </w:r>
      <w:r w:rsidRPr="00E65230">
        <w:rPr>
          <w:sz w:val="20"/>
        </w:rPr>
        <w:t>A</w:t>
      </w:r>
      <w:r w:rsidR="00C83EE9">
        <w:rPr>
          <w:sz w:val="20"/>
        </w:rPr>
        <w:t>.</w:t>
      </w:r>
      <w:r w:rsidR="00B57939" w:rsidRPr="00E65230">
        <w:rPr>
          <w:sz w:val="20"/>
        </w:rPr>
        <w:t xml:space="preserve">, o qual é composto, basicamente, pelas ferrovias </w:t>
      </w:r>
      <w:r w:rsidR="00253F5E">
        <w:rPr>
          <w:sz w:val="20"/>
        </w:rPr>
        <w:t>em construção</w:t>
      </w:r>
      <w:r w:rsidR="00B57939" w:rsidRPr="00E65230">
        <w:rPr>
          <w:sz w:val="20"/>
        </w:rPr>
        <w:t>,</w:t>
      </w:r>
      <w:r w:rsidRPr="00E65230">
        <w:rPr>
          <w:sz w:val="20"/>
        </w:rPr>
        <w:t xml:space="preserve"> alcançou o montante de </w:t>
      </w:r>
      <w:r w:rsidRPr="00F12624">
        <w:rPr>
          <w:sz w:val="20"/>
        </w:rPr>
        <w:t xml:space="preserve">R$ </w:t>
      </w:r>
      <w:r w:rsidR="00CD2E87">
        <w:rPr>
          <w:sz w:val="20"/>
        </w:rPr>
        <w:t>4</w:t>
      </w:r>
      <w:r w:rsidRPr="00F12624">
        <w:rPr>
          <w:sz w:val="20"/>
        </w:rPr>
        <w:t>,</w:t>
      </w:r>
      <w:r w:rsidR="00CD2E87">
        <w:rPr>
          <w:sz w:val="20"/>
        </w:rPr>
        <w:t>9</w:t>
      </w:r>
      <w:r w:rsidR="003E6046">
        <w:rPr>
          <w:sz w:val="20"/>
        </w:rPr>
        <w:t>7</w:t>
      </w:r>
      <w:r w:rsidRPr="00F12624">
        <w:rPr>
          <w:sz w:val="20"/>
        </w:rPr>
        <w:t xml:space="preserve"> </w:t>
      </w:r>
      <w:r w:rsidRPr="00E65230">
        <w:rPr>
          <w:sz w:val="20"/>
        </w:rPr>
        <w:t xml:space="preserve">bilhões em </w:t>
      </w:r>
      <w:r w:rsidR="00CD2E87">
        <w:rPr>
          <w:sz w:val="20"/>
        </w:rPr>
        <w:t>31/03/2024</w:t>
      </w:r>
      <w:r w:rsidRPr="00E65230">
        <w:rPr>
          <w:sz w:val="20"/>
        </w:rPr>
        <w:t>, representando 7</w:t>
      </w:r>
      <w:r w:rsidR="00ED434A">
        <w:rPr>
          <w:sz w:val="20"/>
        </w:rPr>
        <w:t>8</w:t>
      </w:r>
      <w:r w:rsidRPr="00E65230">
        <w:rPr>
          <w:sz w:val="20"/>
        </w:rPr>
        <w:t>% do ativo total da empres</w:t>
      </w:r>
      <w:r w:rsidR="00DE0886" w:rsidRPr="00E65230">
        <w:rPr>
          <w:sz w:val="20"/>
        </w:rPr>
        <w:t>a</w:t>
      </w:r>
      <w:r w:rsidRPr="00E65230">
        <w:rPr>
          <w:sz w:val="20"/>
        </w:rPr>
        <w:t>.</w:t>
      </w:r>
      <w:r w:rsidR="00C822A3">
        <w:rPr>
          <w:sz w:val="20"/>
        </w:rPr>
        <w:t xml:space="preserve"> </w:t>
      </w:r>
      <w:r w:rsidR="00C822A3" w:rsidRPr="00E65230">
        <w:rPr>
          <w:sz w:val="20"/>
        </w:rPr>
        <w:t xml:space="preserve">O valor do imobilizado em conjunto com o valor do investimento </w:t>
      </w:r>
      <w:r w:rsidR="004B6190">
        <w:rPr>
          <w:sz w:val="20"/>
        </w:rPr>
        <w:t>na</w:t>
      </w:r>
      <w:r w:rsidR="00C822A3" w:rsidRPr="00E65230">
        <w:rPr>
          <w:sz w:val="20"/>
        </w:rPr>
        <w:t xml:space="preserve"> Transnordestina (</w:t>
      </w:r>
      <w:r w:rsidR="00C822A3">
        <w:rPr>
          <w:sz w:val="20"/>
        </w:rPr>
        <w:t>N</w:t>
      </w:r>
      <w:r w:rsidR="00C822A3" w:rsidRPr="00E65230">
        <w:rPr>
          <w:sz w:val="20"/>
        </w:rPr>
        <w:t>ota</w:t>
      </w:r>
      <w:r w:rsidR="00C822A3">
        <w:rPr>
          <w:sz w:val="20"/>
        </w:rPr>
        <w:t xml:space="preserve"> Explicativa</w:t>
      </w:r>
      <w:r w:rsidR="00C822A3" w:rsidRPr="00E65230">
        <w:rPr>
          <w:sz w:val="20"/>
        </w:rPr>
        <w:t xml:space="preserve"> 12) representam 9</w:t>
      </w:r>
      <w:r w:rsidR="00C822A3">
        <w:rPr>
          <w:sz w:val="20"/>
        </w:rPr>
        <w:t>2</w:t>
      </w:r>
      <w:r w:rsidR="00C822A3" w:rsidRPr="00E65230">
        <w:rPr>
          <w:sz w:val="20"/>
        </w:rPr>
        <w:t>% do referido ativo.</w:t>
      </w:r>
    </w:p>
    <w:p w14:paraId="546A460B" w14:textId="7440E104" w:rsidR="00D85639" w:rsidRDefault="00875AC3" w:rsidP="00135514">
      <w:pPr>
        <w:jc w:val="both"/>
        <w:rPr>
          <w:rFonts w:ascii="Calibri" w:hAnsi="Calibri" w:cs="Calibri"/>
          <w:sz w:val="20"/>
          <w:shd w:val="clear" w:color="auto" w:fill="FFFFFF"/>
        </w:rPr>
      </w:pPr>
      <w:r w:rsidRPr="00E65230">
        <w:rPr>
          <w:rFonts w:ascii="Calibri" w:hAnsi="Calibri" w:cs="Calibri"/>
          <w:sz w:val="20"/>
          <w:shd w:val="clear" w:color="auto" w:fill="FFFFFF"/>
        </w:rPr>
        <w:t xml:space="preserve">A composição e o fluxo de movimentação do ativo imobilizado da Infra S.A., no </w:t>
      </w:r>
      <w:r w:rsidR="00DF6180">
        <w:rPr>
          <w:rFonts w:ascii="Calibri" w:hAnsi="Calibri" w:cs="Calibri"/>
          <w:sz w:val="20"/>
          <w:shd w:val="clear" w:color="auto" w:fill="FFFFFF"/>
        </w:rPr>
        <w:t>primeiro trimestre</w:t>
      </w:r>
      <w:r w:rsidRPr="00E65230">
        <w:rPr>
          <w:rFonts w:ascii="Calibri" w:hAnsi="Calibri" w:cs="Calibri"/>
          <w:sz w:val="20"/>
          <w:shd w:val="clear" w:color="auto" w:fill="FFFFFF"/>
        </w:rPr>
        <w:t xml:space="preserve"> de 202</w:t>
      </w:r>
      <w:r w:rsidR="00D43822">
        <w:rPr>
          <w:rFonts w:ascii="Calibri" w:hAnsi="Calibri" w:cs="Calibri"/>
          <w:sz w:val="20"/>
          <w:shd w:val="clear" w:color="auto" w:fill="FFFFFF"/>
        </w:rPr>
        <w:t>4</w:t>
      </w:r>
      <w:r w:rsidRPr="00E65230">
        <w:rPr>
          <w:rFonts w:ascii="Calibri" w:hAnsi="Calibri" w:cs="Calibri"/>
          <w:sz w:val="20"/>
          <w:shd w:val="clear" w:color="auto" w:fill="FFFFFF"/>
        </w:rPr>
        <w:t>, está representado na tabela abaixo e justificado nos itens seguintes:</w:t>
      </w:r>
    </w:p>
    <w:tbl>
      <w:tblPr>
        <w:tblW w:w="5000" w:type="pct"/>
        <w:tblCellMar>
          <w:left w:w="70" w:type="dxa"/>
          <w:right w:w="70" w:type="dxa"/>
        </w:tblCellMar>
        <w:tblLook w:val="04A0" w:firstRow="1" w:lastRow="0" w:firstColumn="1" w:lastColumn="0" w:noHBand="0" w:noVBand="1"/>
      </w:tblPr>
      <w:tblGrid>
        <w:gridCol w:w="12890"/>
        <w:gridCol w:w="1255"/>
        <w:gridCol w:w="1255"/>
      </w:tblGrid>
      <w:tr w:rsidR="00F85A2D" w:rsidRPr="00F85A2D" w14:paraId="5AA00DC5" w14:textId="77777777" w:rsidTr="00D2362C">
        <w:trPr>
          <w:trHeight w:val="227"/>
        </w:trPr>
        <w:tc>
          <w:tcPr>
            <w:tcW w:w="11642" w:type="dxa"/>
            <w:tcBorders>
              <w:top w:val="nil"/>
              <w:left w:val="nil"/>
              <w:bottom w:val="single" w:sz="8" w:space="0" w:color="auto"/>
              <w:right w:val="nil"/>
            </w:tcBorders>
            <w:shd w:val="clear" w:color="000000" w:fill="DEEAF6"/>
            <w:vAlign w:val="center"/>
            <w:hideMark/>
          </w:tcPr>
          <w:p w14:paraId="409C4891" w14:textId="77777777" w:rsidR="00F85A2D" w:rsidRPr="00F85A2D" w:rsidRDefault="00F85A2D" w:rsidP="00F85A2D">
            <w:pPr>
              <w:spacing w:after="0" w:line="240" w:lineRule="auto"/>
              <w:rPr>
                <w:rFonts w:ascii="Calibri" w:eastAsia="Times New Roman" w:hAnsi="Calibri" w:cs="Calibri"/>
                <w:b/>
                <w:bCs/>
                <w:color w:val="000000"/>
                <w:sz w:val="16"/>
                <w:szCs w:val="16"/>
              </w:rPr>
            </w:pPr>
            <w:bookmarkStart w:id="46" w:name="_Toc152230737"/>
            <w:r w:rsidRPr="00F85A2D">
              <w:rPr>
                <w:rFonts w:ascii="Calibri" w:eastAsia="Times New Roman" w:hAnsi="Calibri" w:cs="Calibri"/>
                <w:b/>
                <w:bCs/>
                <w:color w:val="000000"/>
                <w:sz w:val="16"/>
                <w:szCs w:val="16"/>
              </w:rPr>
              <w:t>Imobilizado Consolidado</w:t>
            </w:r>
          </w:p>
        </w:tc>
        <w:tc>
          <w:tcPr>
            <w:tcW w:w="1134" w:type="dxa"/>
            <w:tcBorders>
              <w:top w:val="nil"/>
              <w:left w:val="nil"/>
              <w:bottom w:val="single" w:sz="8" w:space="0" w:color="auto"/>
              <w:right w:val="nil"/>
            </w:tcBorders>
            <w:shd w:val="clear" w:color="000000" w:fill="DEEAF6"/>
            <w:vAlign w:val="center"/>
            <w:hideMark/>
          </w:tcPr>
          <w:p w14:paraId="4698CC1A" w14:textId="77777777" w:rsidR="00F85A2D" w:rsidRPr="00F85A2D" w:rsidRDefault="00F85A2D" w:rsidP="00F85A2D">
            <w:pPr>
              <w:spacing w:after="0" w:line="240" w:lineRule="auto"/>
              <w:jc w:val="right"/>
              <w:rPr>
                <w:rFonts w:ascii="Calibri" w:eastAsia="Times New Roman" w:hAnsi="Calibri" w:cs="Calibri"/>
                <w:b/>
                <w:bCs/>
                <w:color w:val="000000"/>
                <w:sz w:val="16"/>
                <w:szCs w:val="16"/>
              </w:rPr>
            </w:pPr>
            <w:r w:rsidRPr="00F85A2D">
              <w:rPr>
                <w:rFonts w:ascii="Calibri" w:eastAsia="Times New Roman" w:hAnsi="Calibri" w:cs="Calibri"/>
                <w:b/>
                <w:bCs/>
                <w:color w:val="000000"/>
                <w:sz w:val="16"/>
                <w:szCs w:val="16"/>
              </w:rPr>
              <w:t>Saldo em 31/03/2024</w:t>
            </w:r>
          </w:p>
        </w:tc>
        <w:tc>
          <w:tcPr>
            <w:tcW w:w="1134" w:type="dxa"/>
            <w:tcBorders>
              <w:top w:val="nil"/>
              <w:left w:val="nil"/>
              <w:bottom w:val="single" w:sz="8" w:space="0" w:color="auto"/>
              <w:right w:val="nil"/>
            </w:tcBorders>
            <w:shd w:val="clear" w:color="000000" w:fill="DEEAF6"/>
            <w:vAlign w:val="center"/>
            <w:hideMark/>
          </w:tcPr>
          <w:p w14:paraId="6EDACAB9" w14:textId="77777777" w:rsidR="00F85A2D" w:rsidRPr="00F85A2D" w:rsidRDefault="00F85A2D" w:rsidP="00F85A2D">
            <w:pPr>
              <w:spacing w:after="0" w:line="240" w:lineRule="auto"/>
              <w:jc w:val="right"/>
              <w:rPr>
                <w:rFonts w:ascii="Calibri" w:eastAsia="Times New Roman" w:hAnsi="Calibri" w:cs="Calibri"/>
                <w:b/>
                <w:bCs/>
                <w:color w:val="000000"/>
                <w:sz w:val="16"/>
                <w:szCs w:val="16"/>
              </w:rPr>
            </w:pPr>
            <w:r w:rsidRPr="00F85A2D">
              <w:rPr>
                <w:rFonts w:ascii="Calibri" w:eastAsia="Times New Roman" w:hAnsi="Calibri" w:cs="Calibri"/>
                <w:b/>
                <w:bCs/>
                <w:color w:val="000000"/>
                <w:sz w:val="16"/>
                <w:szCs w:val="16"/>
              </w:rPr>
              <w:t>Saldo em 31/12/2023</w:t>
            </w:r>
          </w:p>
        </w:tc>
      </w:tr>
      <w:tr w:rsidR="00F85A2D" w:rsidRPr="00F85A2D" w14:paraId="4EA52177" w14:textId="77777777" w:rsidTr="00D2362C">
        <w:trPr>
          <w:trHeight w:val="227"/>
        </w:trPr>
        <w:tc>
          <w:tcPr>
            <w:tcW w:w="11642" w:type="dxa"/>
            <w:tcBorders>
              <w:top w:val="nil"/>
              <w:left w:val="nil"/>
              <w:bottom w:val="nil"/>
              <w:right w:val="nil"/>
            </w:tcBorders>
            <w:shd w:val="clear" w:color="auto" w:fill="auto"/>
            <w:noWrap/>
            <w:vAlign w:val="center"/>
            <w:hideMark/>
          </w:tcPr>
          <w:p w14:paraId="493D346E" w14:textId="77777777" w:rsidR="00F85A2D" w:rsidRPr="00F85A2D" w:rsidRDefault="00F85A2D" w:rsidP="00F85A2D">
            <w:pPr>
              <w:spacing w:after="0" w:line="240" w:lineRule="auto"/>
              <w:rPr>
                <w:rFonts w:ascii="Calibri" w:eastAsia="Times New Roman" w:hAnsi="Calibri" w:cs="Calibri"/>
                <w:color w:val="000000"/>
                <w:sz w:val="16"/>
                <w:szCs w:val="16"/>
              </w:rPr>
            </w:pPr>
            <w:r w:rsidRPr="00F85A2D">
              <w:rPr>
                <w:rFonts w:ascii="Calibri" w:eastAsia="Times New Roman" w:hAnsi="Calibri" w:cs="Calibri"/>
                <w:color w:val="000000"/>
                <w:sz w:val="16"/>
                <w:szCs w:val="16"/>
              </w:rPr>
              <w:t>Bens Móveis</w:t>
            </w:r>
            <w:r w:rsidRPr="00F85A2D">
              <w:rPr>
                <w:rFonts w:ascii="Calibri" w:eastAsia="Times New Roman" w:hAnsi="Calibri" w:cs="Calibri"/>
                <w:color w:val="FF0000"/>
                <w:sz w:val="16"/>
                <w:szCs w:val="16"/>
              </w:rPr>
              <w:t xml:space="preserve"> </w:t>
            </w:r>
            <w:r w:rsidRPr="00F85A2D">
              <w:rPr>
                <w:rFonts w:ascii="Calibri" w:eastAsia="Times New Roman" w:hAnsi="Calibri" w:cs="Calibri"/>
                <w:color w:val="000000"/>
                <w:sz w:val="16"/>
                <w:szCs w:val="16"/>
              </w:rPr>
              <w:t>(13.1)</w:t>
            </w:r>
          </w:p>
        </w:tc>
        <w:tc>
          <w:tcPr>
            <w:tcW w:w="1134" w:type="dxa"/>
            <w:tcBorders>
              <w:top w:val="nil"/>
              <w:left w:val="nil"/>
              <w:bottom w:val="nil"/>
              <w:right w:val="nil"/>
            </w:tcBorders>
            <w:shd w:val="clear" w:color="auto" w:fill="auto"/>
            <w:vAlign w:val="center"/>
            <w:hideMark/>
          </w:tcPr>
          <w:p w14:paraId="4C112F16" w14:textId="5C96211C" w:rsidR="00F85A2D" w:rsidRPr="00F85A2D" w:rsidRDefault="00DB4BBA" w:rsidP="00F85A2D">
            <w:pPr>
              <w:spacing w:after="0" w:line="240" w:lineRule="auto"/>
              <w:jc w:val="right"/>
              <w:rPr>
                <w:rFonts w:ascii="Calibri" w:eastAsia="Times New Roman" w:hAnsi="Calibri" w:cs="Calibri"/>
                <w:color w:val="000000"/>
                <w:sz w:val="16"/>
                <w:szCs w:val="16"/>
              </w:rPr>
            </w:pPr>
            <w:r w:rsidRPr="00DB4BBA">
              <w:rPr>
                <w:rFonts w:ascii="Calibri" w:eastAsia="Times New Roman" w:hAnsi="Calibri" w:cs="Calibri"/>
                <w:color w:val="000000"/>
                <w:sz w:val="16"/>
                <w:szCs w:val="16"/>
              </w:rPr>
              <w:t>5.669.027</w:t>
            </w:r>
          </w:p>
        </w:tc>
        <w:tc>
          <w:tcPr>
            <w:tcW w:w="1134" w:type="dxa"/>
            <w:tcBorders>
              <w:top w:val="nil"/>
              <w:left w:val="nil"/>
              <w:bottom w:val="nil"/>
              <w:right w:val="nil"/>
            </w:tcBorders>
            <w:shd w:val="clear" w:color="auto" w:fill="auto"/>
            <w:noWrap/>
            <w:vAlign w:val="center"/>
            <w:hideMark/>
          </w:tcPr>
          <w:p w14:paraId="4A4831A3" w14:textId="2CD078A3" w:rsidR="00F85A2D" w:rsidRPr="00F85A2D" w:rsidRDefault="00F85A2D" w:rsidP="00F85A2D">
            <w:pPr>
              <w:spacing w:after="0" w:line="240" w:lineRule="auto"/>
              <w:jc w:val="right"/>
              <w:rPr>
                <w:rFonts w:ascii="Calibri" w:eastAsia="Times New Roman" w:hAnsi="Calibri" w:cs="Calibri"/>
                <w:color w:val="000000"/>
                <w:sz w:val="16"/>
                <w:szCs w:val="16"/>
              </w:rPr>
            </w:pPr>
            <w:r w:rsidRPr="00F85A2D">
              <w:rPr>
                <w:rFonts w:ascii="Calibri" w:eastAsia="Times New Roman" w:hAnsi="Calibri" w:cs="Calibri"/>
                <w:color w:val="000000"/>
                <w:sz w:val="16"/>
                <w:szCs w:val="16"/>
              </w:rPr>
              <w:t>6.132.25</w:t>
            </w:r>
            <w:r w:rsidR="00BB7B9B">
              <w:rPr>
                <w:rFonts w:ascii="Calibri" w:eastAsia="Times New Roman" w:hAnsi="Calibri" w:cs="Calibri"/>
                <w:color w:val="000000"/>
                <w:sz w:val="16"/>
                <w:szCs w:val="16"/>
              </w:rPr>
              <w:t>2</w:t>
            </w:r>
          </w:p>
        </w:tc>
      </w:tr>
      <w:tr w:rsidR="00F85A2D" w:rsidRPr="00F85A2D" w14:paraId="3B61E72E" w14:textId="77777777" w:rsidTr="00D2362C">
        <w:trPr>
          <w:trHeight w:val="227"/>
        </w:trPr>
        <w:tc>
          <w:tcPr>
            <w:tcW w:w="11642" w:type="dxa"/>
            <w:tcBorders>
              <w:top w:val="nil"/>
              <w:left w:val="nil"/>
              <w:bottom w:val="nil"/>
              <w:right w:val="nil"/>
            </w:tcBorders>
            <w:shd w:val="clear" w:color="auto" w:fill="auto"/>
            <w:noWrap/>
            <w:vAlign w:val="center"/>
            <w:hideMark/>
          </w:tcPr>
          <w:p w14:paraId="3001B79C" w14:textId="77777777" w:rsidR="00F85A2D" w:rsidRPr="00F85A2D" w:rsidRDefault="00F85A2D" w:rsidP="00F85A2D">
            <w:pPr>
              <w:spacing w:after="0" w:line="240" w:lineRule="auto"/>
              <w:rPr>
                <w:rFonts w:ascii="Calibri" w:eastAsia="Times New Roman" w:hAnsi="Calibri" w:cs="Calibri"/>
                <w:color w:val="000000"/>
                <w:sz w:val="16"/>
                <w:szCs w:val="16"/>
              </w:rPr>
            </w:pPr>
            <w:r w:rsidRPr="00F85A2D">
              <w:rPr>
                <w:rFonts w:ascii="Calibri" w:eastAsia="Times New Roman" w:hAnsi="Calibri" w:cs="Calibri"/>
                <w:color w:val="000000"/>
                <w:sz w:val="16"/>
                <w:szCs w:val="16"/>
              </w:rPr>
              <w:t>Bens Imóveis (13.2)</w:t>
            </w:r>
          </w:p>
        </w:tc>
        <w:tc>
          <w:tcPr>
            <w:tcW w:w="1134" w:type="dxa"/>
            <w:tcBorders>
              <w:top w:val="nil"/>
              <w:left w:val="nil"/>
              <w:bottom w:val="nil"/>
              <w:right w:val="nil"/>
            </w:tcBorders>
            <w:shd w:val="clear" w:color="auto" w:fill="auto"/>
            <w:vAlign w:val="center"/>
            <w:hideMark/>
          </w:tcPr>
          <w:p w14:paraId="4CEDAC4B" w14:textId="331BAA33" w:rsidR="00F85A2D" w:rsidRPr="00F85A2D" w:rsidRDefault="00F85A2D" w:rsidP="00F85A2D">
            <w:pPr>
              <w:spacing w:after="0" w:line="240" w:lineRule="auto"/>
              <w:jc w:val="right"/>
              <w:rPr>
                <w:rFonts w:ascii="Calibri" w:eastAsia="Times New Roman" w:hAnsi="Calibri" w:cs="Calibri"/>
                <w:color w:val="000000"/>
                <w:sz w:val="16"/>
                <w:szCs w:val="16"/>
              </w:rPr>
            </w:pPr>
            <w:r w:rsidRPr="00F85A2D">
              <w:rPr>
                <w:rFonts w:ascii="Calibri" w:eastAsia="Times New Roman" w:hAnsi="Calibri" w:cs="Calibri"/>
                <w:color w:val="000000"/>
                <w:sz w:val="16"/>
                <w:szCs w:val="16"/>
              </w:rPr>
              <w:t>4.963.141.83</w:t>
            </w:r>
            <w:r w:rsidR="002B133D">
              <w:rPr>
                <w:rFonts w:ascii="Calibri" w:eastAsia="Times New Roman" w:hAnsi="Calibri" w:cs="Calibri"/>
                <w:color w:val="000000"/>
                <w:sz w:val="16"/>
                <w:szCs w:val="16"/>
              </w:rPr>
              <w:t>7</w:t>
            </w:r>
          </w:p>
        </w:tc>
        <w:tc>
          <w:tcPr>
            <w:tcW w:w="1134" w:type="dxa"/>
            <w:tcBorders>
              <w:top w:val="nil"/>
              <w:left w:val="nil"/>
              <w:bottom w:val="nil"/>
              <w:right w:val="nil"/>
            </w:tcBorders>
            <w:shd w:val="clear" w:color="auto" w:fill="auto"/>
            <w:noWrap/>
            <w:vAlign w:val="center"/>
            <w:hideMark/>
          </w:tcPr>
          <w:p w14:paraId="54F7A42B" w14:textId="77777777" w:rsidR="00F85A2D" w:rsidRPr="00F85A2D" w:rsidRDefault="00F85A2D" w:rsidP="00F85A2D">
            <w:pPr>
              <w:spacing w:after="0" w:line="240" w:lineRule="auto"/>
              <w:jc w:val="right"/>
              <w:rPr>
                <w:rFonts w:ascii="Calibri" w:eastAsia="Times New Roman" w:hAnsi="Calibri" w:cs="Calibri"/>
                <w:color w:val="000000"/>
                <w:sz w:val="16"/>
                <w:szCs w:val="16"/>
              </w:rPr>
            </w:pPr>
            <w:r w:rsidRPr="00F85A2D">
              <w:rPr>
                <w:rFonts w:ascii="Calibri" w:eastAsia="Times New Roman" w:hAnsi="Calibri" w:cs="Calibri"/>
                <w:color w:val="000000"/>
                <w:sz w:val="16"/>
                <w:szCs w:val="16"/>
              </w:rPr>
              <w:t>4.776.400.181</w:t>
            </w:r>
          </w:p>
        </w:tc>
      </w:tr>
      <w:tr w:rsidR="00F85A2D" w:rsidRPr="00F85A2D" w14:paraId="609ADF0A" w14:textId="77777777" w:rsidTr="00D2362C">
        <w:trPr>
          <w:trHeight w:val="227"/>
        </w:trPr>
        <w:tc>
          <w:tcPr>
            <w:tcW w:w="11642" w:type="dxa"/>
            <w:tcBorders>
              <w:top w:val="single" w:sz="8" w:space="0" w:color="auto"/>
              <w:left w:val="nil"/>
              <w:bottom w:val="single" w:sz="8" w:space="0" w:color="auto"/>
              <w:right w:val="nil"/>
            </w:tcBorders>
            <w:shd w:val="clear" w:color="000000" w:fill="DEEAF6"/>
            <w:noWrap/>
            <w:vAlign w:val="center"/>
            <w:hideMark/>
          </w:tcPr>
          <w:p w14:paraId="35EE9638" w14:textId="77777777" w:rsidR="00F85A2D" w:rsidRPr="00F85A2D" w:rsidRDefault="00F85A2D" w:rsidP="00F85A2D">
            <w:pPr>
              <w:spacing w:after="0" w:line="240" w:lineRule="auto"/>
              <w:rPr>
                <w:rFonts w:ascii="Calibri" w:eastAsia="Times New Roman" w:hAnsi="Calibri" w:cs="Calibri"/>
                <w:b/>
                <w:bCs/>
                <w:color w:val="000000"/>
                <w:sz w:val="16"/>
                <w:szCs w:val="16"/>
              </w:rPr>
            </w:pPr>
            <w:r w:rsidRPr="00F85A2D">
              <w:rPr>
                <w:rFonts w:ascii="Calibri" w:eastAsia="Times New Roman" w:hAnsi="Calibri" w:cs="Calibri"/>
                <w:b/>
                <w:bCs/>
                <w:color w:val="000000"/>
                <w:sz w:val="16"/>
                <w:szCs w:val="16"/>
              </w:rPr>
              <w:t xml:space="preserve">Total do Imobilizado </w:t>
            </w:r>
          </w:p>
        </w:tc>
        <w:tc>
          <w:tcPr>
            <w:tcW w:w="1134" w:type="dxa"/>
            <w:tcBorders>
              <w:top w:val="single" w:sz="8" w:space="0" w:color="auto"/>
              <w:left w:val="nil"/>
              <w:bottom w:val="single" w:sz="8" w:space="0" w:color="auto"/>
              <w:right w:val="nil"/>
            </w:tcBorders>
            <w:shd w:val="clear" w:color="000000" w:fill="DEEAF6"/>
            <w:vAlign w:val="center"/>
            <w:hideMark/>
          </w:tcPr>
          <w:p w14:paraId="1D05B943" w14:textId="5E07C27C" w:rsidR="00F85A2D" w:rsidRPr="00F85A2D" w:rsidRDefault="00F85A2D" w:rsidP="00F85A2D">
            <w:pPr>
              <w:spacing w:after="0" w:line="240" w:lineRule="auto"/>
              <w:jc w:val="right"/>
              <w:rPr>
                <w:rFonts w:ascii="Calibri" w:eastAsia="Times New Roman" w:hAnsi="Calibri" w:cs="Calibri"/>
                <w:b/>
                <w:bCs/>
                <w:color w:val="000000"/>
                <w:sz w:val="16"/>
                <w:szCs w:val="16"/>
              </w:rPr>
            </w:pPr>
            <w:r w:rsidRPr="00F85A2D">
              <w:rPr>
                <w:rFonts w:ascii="Calibri" w:eastAsia="Times New Roman" w:hAnsi="Calibri" w:cs="Calibri"/>
                <w:b/>
                <w:bCs/>
                <w:color w:val="000000"/>
                <w:sz w:val="16"/>
                <w:szCs w:val="16"/>
              </w:rPr>
              <w:t>4.968.</w:t>
            </w:r>
            <w:r w:rsidR="00CE418F">
              <w:rPr>
                <w:rFonts w:ascii="Calibri" w:eastAsia="Times New Roman" w:hAnsi="Calibri" w:cs="Calibri"/>
                <w:b/>
                <w:bCs/>
                <w:color w:val="000000"/>
                <w:sz w:val="16"/>
                <w:szCs w:val="16"/>
              </w:rPr>
              <w:t>810</w:t>
            </w:r>
            <w:r w:rsidRPr="00F85A2D">
              <w:rPr>
                <w:rFonts w:ascii="Calibri" w:eastAsia="Times New Roman" w:hAnsi="Calibri" w:cs="Calibri"/>
                <w:b/>
                <w:bCs/>
                <w:color w:val="000000"/>
                <w:sz w:val="16"/>
                <w:szCs w:val="16"/>
              </w:rPr>
              <w:t>.</w:t>
            </w:r>
            <w:r w:rsidR="00224FB1">
              <w:rPr>
                <w:rFonts w:ascii="Calibri" w:eastAsia="Times New Roman" w:hAnsi="Calibri" w:cs="Calibri"/>
                <w:b/>
                <w:bCs/>
                <w:color w:val="000000"/>
                <w:sz w:val="16"/>
                <w:szCs w:val="16"/>
              </w:rPr>
              <w:t>86</w:t>
            </w:r>
            <w:r w:rsidR="00CE4967">
              <w:rPr>
                <w:rFonts w:ascii="Calibri" w:eastAsia="Times New Roman" w:hAnsi="Calibri" w:cs="Calibri"/>
                <w:b/>
                <w:bCs/>
                <w:color w:val="000000"/>
                <w:sz w:val="16"/>
                <w:szCs w:val="16"/>
              </w:rPr>
              <w:t>4</w:t>
            </w:r>
          </w:p>
        </w:tc>
        <w:tc>
          <w:tcPr>
            <w:tcW w:w="1134" w:type="dxa"/>
            <w:tcBorders>
              <w:top w:val="single" w:sz="8" w:space="0" w:color="auto"/>
              <w:left w:val="nil"/>
              <w:bottom w:val="single" w:sz="8" w:space="0" w:color="auto"/>
              <w:right w:val="nil"/>
            </w:tcBorders>
            <w:shd w:val="clear" w:color="000000" w:fill="DEEAF6"/>
            <w:vAlign w:val="center"/>
            <w:hideMark/>
          </w:tcPr>
          <w:p w14:paraId="7FA10DC9" w14:textId="1F86D7FA" w:rsidR="00F85A2D" w:rsidRPr="00F85A2D" w:rsidRDefault="00F85A2D" w:rsidP="00F85A2D">
            <w:pPr>
              <w:spacing w:after="0" w:line="240" w:lineRule="auto"/>
              <w:jc w:val="right"/>
              <w:rPr>
                <w:rFonts w:ascii="Calibri" w:eastAsia="Times New Roman" w:hAnsi="Calibri" w:cs="Calibri"/>
                <w:b/>
                <w:bCs/>
                <w:color w:val="000000"/>
                <w:sz w:val="16"/>
                <w:szCs w:val="16"/>
              </w:rPr>
            </w:pPr>
            <w:r w:rsidRPr="00F85A2D">
              <w:rPr>
                <w:rFonts w:ascii="Calibri" w:eastAsia="Times New Roman" w:hAnsi="Calibri" w:cs="Calibri"/>
                <w:b/>
                <w:bCs/>
                <w:color w:val="000000"/>
                <w:sz w:val="16"/>
                <w:szCs w:val="16"/>
              </w:rPr>
              <w:t>4.782.532.43</w:t>
            </w:r>
            <w:r w:rsidR="00BB7B9B">
              <w:rPr>
                <w:rFonts w:ascii="Calibri" w:eastAsia="Times New Roman" w:hAnsi="Calibri" w:cs="Calibri"/>
                <w:b/>
                <w:bCs/>
                <w:color w:val="000000"/>
                <w:sz w:val="16"/>
                <w:szCs w:val="16"/>
              </w:rPr>
              <w:t>3</w:t>
            </w:r>
          </w:p>
        </w:tc>
      </w:tr>
    </w:tbl>
    <w:p w14:paraId="4D1F7BFC" w14:textId="77777777" w:rsidR="00E743E1" w:rsidRPr="00135514" w:rsidRDefault="00E743E1" w:rsidP="00942969">
      <w:pPr>
        <w:spacing w:after="0"/>
        <w:rPr>
          <w:sz w:val="2"/>
          <w:szCs w:val="2"/>
        </w:rPr>
      </w:pPr>
    </w:p>
    <w:p w14:paraId="700C8BB1" w14:textId="77777777" w:rsidR="00135514" w:rsidRPr="00135514" w:rsidRDefault="00135514" w:rsidP="00135514">
      <w:pPr>
        <w:spacing w:after="0"/>
        <w:rPr>
          <w:sz w:val="16"/>
          <w:szCs w:val="16"/>
        </w:rPr>
      </w:pPr>
    </w:p>
    <w:p w14:paraId="4AFFC97A" w14:textId="7CF8CE3A" w:rsidR="0066247B" w:rsidRPr="00791449" w:rsidRDefault="00664E1F" w:rsidP="001B79F9">
      <w:pPr>
        <w:pStyle w:val="Ttulo2"/>
      </w:pPr>
      <w:bookmarkStart w:id="47" w:name="_Toc184926680"/>
      <w:r w:rsidRPr="00E65230">
        <w:t>13</w:t>
      </w:r>
      <w:r w:rsidR="00F241F1" w:rsidRPr="00E65230">
        <w:t>.1 –</w:t>
      </w:r>
      <w:r w:rsidR="00617447" w:rsidRPr="00E65230">
        <w:t xml:space="preserve"> Bens Móveis</w:t>
      </w:r>
      <w:bookmarkEnd w:id="46"/>
      <w:bookmarkEnd w:id="47"/>
    </w:p>
    <w:tbl>
      <w:tblPr>
        <w:tblW w:w="5000" w:type="pct"/>
        <w:tblCellMar>
          <w:left w:w="70" w:type="dxa"/>
          <w:right w:w="70" w:type="dxa"/>
        </w:tblCellMar>
        <w:tblLook w:val="04A0" w:firstRow="1" w:lastRow="0" w:firstColumn="1" w:lastColumn="0" w:noHBand="0" w:noVBand="1"/>
      </w:tblPr>
      <w:tblGrid>
        <w:gridCol w:w="3190"/>
        <w:gridCol w:w="1110"/>
        <w:gridCol w:w="1110"/>
        <w:gridCol w:w="1110"/>
        <w:gridCol w:w="1110"/>
        <w:gridCol w:w="1110"/>
        <w:gridCol w:w="1110"/>
        <w:gridCol w:w="1110"/>
        <w:gridCol w:w="1110"/>
        <w:gridCol w:w="1110"/>
        <w:gridCol w:w="1110"/>
        <w:gridCol w:w="1110"/>
      </w:tblGrid>
      <w:tr w:rsidR="001B79F9" w:rsidRPr="001B79F9" w14:paraId="5386DABF" w14:textId="77777777" w:rsidTr="0030655D">
        <w:trPr>
          <w:trHeight w:val="227"/>
        </w:trPr>
        <w:tc>
          <w:tcPr>
            <w:tcW w:w="3265" w:type="dxa"/>
            <w:tcBorders>
              <w:top w:val="nil"/>
              <w:left w:val="nil"/>
              <w:bottom w:val="single" w:sz="8" w:space="0" w:color="auto"/>
              <w:right w:val="nil"/>
            </w:tcBorders>
            <w:shd w:val="clear" w:color="000000" w:fill="DEEAF6"/>
            <w:vAlign w:val="center"/>
            <w:hideMark/>
          </w:tcPr>
          <w:p w14:paraId="2B04B721"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Bens móveis</w:t>
            </w:r>
          </w:p>
        </w:tc>
        <w:tc>
          <w:tcPr>
            <w:tcW w:w="1134" w:type="dxa"/>
            <w:tcBorders>
              <w:top w:val="nil"/>
              <w:left w:val="nil"/>
              <w:bottom w:val="single" w:sz="8" w:space="0" w:color="auto"/>
              <w:right w:val="nil"/>
            </w:tcBorders>
            <w:shd w:val="clear" w:color="000000" w:fill="DEEAF6"/>
            <w:vAlign w:val="center"/>
            <w:hideMark/>
          </w:tcPr>
          <w:p w14:paraId="6EF24267"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Custo de Aquisição</w:t>
            </w:r>
          </w:p>
        </w:tc>
        <w:tc>
          <w:tcPr>
            <w:tcW w:w="1134" w:type="dxa"/>
            <w:tcBorders>
              <w:top w:val="nil"/>
              <w:left w:val="nil"/>
              <w:bottom w:val="single" w:sz="8" w:space="0" w:color="auto"/>
              <w:right w:val="nil"/>
            </w:tcBorders>
            <w:shd w:val="clear" w:color="000000" w:fill="DEEAF6"/>
            <w:vAlign w:val="center"/>
            <w:hideMark/>
          </w:tcPr>
          <w:p w14:paraId="5EEA6C51"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 Taxa Depreciação </w:t>
            </w:r>
          </w:p>
        </w:tc>
        <w:tc>
          <w:tcPr>
            <w:tcW w:w="1134" w:type="dxa"/>
            <w:tcBorders>
              <w:top w:val="nil"/>
              <w:left w:val="nil"/>
              <w:bottom w:val="single" w:sz="8" w:space="0" w:color="auto"/>
              <w:right w:val="nil"/>
            </w:tcBorders>
            <w:shd w:val="clear" w:color="000000" w:fill="DEEAF6"/>
            <w:vAlign w:val="center"/>
            <w:hideMark/>
          </w:tcPr>
          <w:p w14:paraId="624A45DA"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Depreciação Acumulada</w:t>
            </w:r>
          </w:p>
        </w:tc>
        <w:tc>
          <w:tcPr>
            <w:tcW w:w="1134" w:type="dxa"/>
            <w:tcBorders>
              <w:top w:val="nil"/>
              <w:left w:val="nil"/>
              <w:bottom w:val="single" w:sz="8" w:space="0" w:color="auto"/>
              <w:right w:val="nil"/>
            </w:tcBorders>
            <w:shd w:val="clear" w:color="000000" w:fill="DEEAF6"/>
            <w:vAlign w:val="center"/>
            <w:hideMark/>
          </w:tcPr>
          <w:p w14:paraId="5666A1A6"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Redução ao valor recuperável</w:t>
            </w:r>
          </w:p>
        </w:tc>
        <w:tc>
          <w:tcPr>
            <w:tcW w:w="1134" w:type="dxa"/>
            <w:tcBorders>
              <w:top w:val="nil"/>
              <w:left w:val="nil"/>
              <w:bottom w:val="single" w:sz="8" w:space="0" w:color="auto"/>
              <w:right w:val="nil"/>
            </w:tcBorders>
            <w:shd w:val="clear" w:color="000000" w:fill="DEEAF6"/>
            <w:vAlign w:val="center"/>
            <w:hideMark/>
          </w:tcPr>
          <w:p w14:paraId="3A5434E6"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4B7E1BFE"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Aquisições</w:t>
            </w:r>
          </w:p>
        </w:tc>
        <w:tc>
          <w:tcPr>
            <w:tcW w:w="1134" w:type="dxa"/>
            <w:tcBorders>
              <w:top w:val="nil"/>
              <w:left w:val="nil"/>
              <w:bottom w:val="single" w:sz="8" w:space="0" w:color="auto"/>
              <w:right w:val="nil"/>
            </w:tcBorders>
            <w:shd w:val="clear" w:color="000000" w:fill="DEEAF6"/>
            <w:vAlign w:val="center"/>
            <w:hideMark/>
          </w:tcPr>
          <w:p w14:paraId="4004C134"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Reversão ao valor recuperável</w:t>
            </w:r>
          </w:p>
        </w:tc>
        <w:tc>
          <w:tcPr>
            <w:tcW w:w="1134" w:type="dxa"/>
            <w:tcBorders>
              <w:top w:val="nil"/>
              <w:left w:val="nil"/>
              <w:bottom w:val="single" w:sz="8" w:space="0" w:color="auto"/>
              <w:right w:val="nil"/>
            </w:tcBorders>
            <w:shd w:val="clear" w:color="000000" w:fill="DEEAF6"/>
            <w:vAlign w:val="center"/>
            <w:hideMark/>
          </w:tcPr>
          <w:p w14:paraId="1174D13E"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Depreciação do Período</w:t>
            </w:r>
          </w:p>
        </w:tc>
        <w:tc>
          <w:tcPr>
            <w:tcW w:w="1134" w:type="dxa"/>
            <w:tcBorders>
              <w:top w:val="nil"/>
              <w:left w:val="nil"/>
              <w:bottom w:val="single" w:sz="8" w:space="0" w:color="auto"/>
              <w:right w:val="nil"/>
            </w:tcBorders>
            <w:shd w:val="clear" w:color="000000" w:fill="DEEAF6"/>
            <w:vAlign w:val="center"/>
            <w:hideMark/>
          </w:tcPr>
          <w:p w14:paraId="498BF9D6" w14:textId="77777777"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Baixa de Depreciação</w:t>
            </w:r>
          </w:p>
        </w:tc>
        <w:tc>
          <w:tcPr>
            <w:tcW w:w="1134" w:type="dxa"/>
            <w:tcBorders>
              <w:top w:val="nil"/>
              <w:left w:val="nil"/>
              <w:bottom w:val="single" w:sz="8" w:space="0" w:color="auto"/>
              <w:right w:val="nil"/>
            </w:tcBorders>
            <w:shd w:val="clear" w:color="000000" w:fill="DEEAF6"/>
            <w:vAlign w:val="center"/>
            <w:hideMark/>
          </w:tcPr>
          <w:p w14:paraId="19FC5711" w14:textId="45F633A1"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A92CE1">
              <w:rPr>
                <w:rFonts w:eastAsia="Times New Roman" w:cs="Calibri"/>
                <w:b/>
                <w:color w:val="000000"/>
                <w:sz w:val="15"/>
                <w:szCs w:val="15"/>
              </w:rPr>
              <w:t xml:space="preserve">Reclassificação </w:t>
            </w:r>
            <w:r w:rsidR="00BB393D" w:rsidRPr="00A92CE1">
              <w:rPr>
                <w:rFonts w:eastAsia="Times New Roman" w:cs="Calibri"/>
                <w:b/>
                <w:bCs/>
                <w:color w:val="000000"/>
                <w:sz w:val="15"/>
                <w:szCs w:val="15"/>
              </w:rPr>
              <w:br/>
              <w:t>Bens Móveis</w:t>
            </w:r>
          </w:p>
        </w:tc>
        <w:tc>
          <w:tcPr>
            <w:tcW w:w="1134" w:type="dxa"/>
            <w:tcBorders>
              <w:top w:val="nil"/>
              <w:left w:val="nil"/>
              <w:bottom w:val="single" w:sz="8" w:space="0" w:color="auto"/>
              <w:right w:val="nil"/>
            </w:tcBorders>
            <w:shd w:val="clear" w:color="000000" w:fill="DEEAF6"/>
            <w:vAlign w:val="center"/>
            <w:hideMark/>
          </w:tcPr>
          <w:p w14:paraId="498BFA10" w14:textId="77777777" w:rsidR="003C367D"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Saldo </w:t>
            </w:r>
            <w:r w:rsidR="003C367D">
              <w:rPr>
                <w:rFonts w:ascii="Calibri" w:eastAsia="Times New Roman" w:hAnsi="Calibri" w:cs="Calibri"/>
                <w:b/>
                <w:bCs/>
                <w:color w:val="000000"/>
                <w:sz w:val="16"/>
                <w:szCs w:val="16"/>
              </w:rPr>
              <w:t>em</w:t>
            </w:r>
          </w:p>
          <w:p w14:paraId="00A4F63B" w14:textId="454029AF" w:rsidR="001B79F9" w:rsidRPr="001B79F9" w:rsidRDefault="001B79F9" w:rsidP="001B79F9">
            <w:pPr>
              <w:spacing w:after="0" w:line="240" w:lineRule="auto"/>
              <w:jc w:val="center"/>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31/03/2024</w:t>
            </w:r>
          </w:p>
        </w:tc>
      </w:tr>
      <w:tr w:rsidR="001B79F9" w:rsidRPr="001B79F9" w14:paraId="53623498" w14:textId="77777777" w:rsidTr="0030655D">
        <w:trPr>
          <w:trHeight w:val="227"/>
        </w:trPr>
        <w:tc>
          <w:tcPr>
            <w:tcW w:w="3265" w:type="dxa"/>
            <w:tcBorders>
              <w:top w:val="nil"/>
              <w:left w:val="nil"/>
              <w:bottom w:val="dotted" w:sz="4" w:space="0" w:color="auto"/>
              <w:right w:val="nil"/>
            </w:tcBorders>
            <w:shd w:val="clear" w:color="auto" w:fill="auto"/>
            <w:noWrap/>
            <w:vAlign w:val="center"/>
            <w:hideMark/>
          </w:tcPr>
          <w:p w14:paraId="7782BCC2"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Ativos de Concessão de Serviços (bens móveis)</w:t>
            </w:r>
          </w:p>
        </w:tc>
        <w:tc>
          <w:tcPr>
            <w:tcW w:w="1134" w:type="dxa"/>
            <w:tcBorders>
              <w:top w:val="nil"/>
              <w:left w:val="nil"/>
              <w:bottom w:val="dotted" w:sz="4" w:space="0" w:color="auto"/>
              <w:right w:val="nil"/>
            </w:tcBorders>
            <w:shd w:val="clear" w:color="auto" w:fill="auto"/>
            <w:noWrap/>
            <w:vAlign w:val="center"/>
            <w:hideMark/>
          </w:tcPr>
          <w:p w14:paraId="6D904EF1" w14:textId="37E40CC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5.524.762 </w:t>
            </w:r>
          </w:p>
        </w:tc>
        <w:tc>
          <w:tcPr>
            <w:tcW w:w="1134" w:type="dxa"/>
            <w:tcBorders>
              <w:top w:val="nil"/>
              <w:left w:val="nil"/>
              <w:bottom w:val="dotted" w:sz="4" w:space="0" w:color="auto"/>
              <w:right w:val="nil"/>
            </w:tcBorders>
            <w:shd w:val="clear" w:color="auto" w:fill="auto"/>
            <w:noWrap/>
            <w:vAlign w:val="center"/>
            <w:hideMark/>
          </w:tcPr>
          <w:p w14:paraId="5431661E" w14:textId="75318D88"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20</w:t>
            </w:r>
          </w:p>
        </w:tc>
        <w:tc>
          <w:tcPr>
            <w:tcW w:w="1134" w:type="dxa"/>
            <w:tcBorders>
              <w:top w:val="nil"/>
              <w:left w:val="nil"/>
              <w:bottom w:val="dotted" w:sz="4" w:space="0" w:color="auto"/>
              <w:right w:val="nil"/>
            </w:tcBorders>
            <w:shd w:val="clear" w:color="auto" w:fill="auto"/>
            <w:noWrap/>
            <w:vAlign w:val="center"/>
            <w:hideMark/>
          </w:tcPr>
          <w:p w14:paraId="06275C67" w14:textId="6E17287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(3.047.461)</w:t>
            </w:r>
          </w:p>
        </w:tc>
        <w:tc>
          <w:tcPr>
            <w:tcW w:w="1134" w:type="dxa"/>
            <w:tcBorders>
              <w:top w:val="nil"/>
              <w:left w:val="nil"/>
              <w:bottom w:val="dotted" w:sz="4" w:space="0" w:color="auto"/>
              <w:right w:val="nil"/>
            </w:tcBorders>
            <w:shd w:val="clear" w:color="auto" w:fill="auto"/>
            <w:noWrap/>
            <w:vAlign w:val="center"/>
            <w:hideMark/>
          </w:tcPr>
          <w:p w14:paraId="2F10842E" w14:textId="7AAACE3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nil"/>
              <w:left w:val="nil"/>
              <w:bottom w:val="dotted" w:sz="4" w:space="0" w:color="auto"/>
              <w:right w:val="nil"/>
            </w:tcBorders>
            <w:shd w:val="clear" w:color="auto" w:fill="auto"/>
            <w:noWrap/>
            <w:vAlign w:val="center"/>
            <w:hideMark/>
          </w:tcPr>
          <w:p w14:paraId="27ABAB5C" w14:textId="5674652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2.477.301 </w:t>
            </w:r>
          </w:p>
        </w:tc>
        <w:tc>
          <w:tcPr>
            <w:tcW w:w="1134" w:type="dxa"/>
            <w:tcBorders>
              <w:top w:val="nil"/>
              <w:left w:val="nil"/>
              <w:bottom w:val="dotted" w:sz="4" w:space="0" w:color="auto"/>
              <w:right w:val="nil"/>
            </w:tcBorders>
            <w:shd w:val="clear" w:color="auto" w:fill="auto"/>
            <w:noWrap/>
            <w:vAlign w:val="center"/>
            <w:hideMark/>
          </w:tcPr>
          <w:p w14:paraId="7FD9A94E" w14:textId="4EDEBD6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nil"/>
              <w:left w:val="nil"/>
              <w:bottom w:val="dotted" w:sz="4" w:space="0" w:color="auto"/>
              <w:right w:val="nil"/>
            </w:tcBorders>
            <w:shd w:val="clear" w:color="auto" w:fill="auto"/>
            <w:noWrap/>
            <w:vAlign w:val="center"/>
            <w:hideMark/>
          </w:tcPr>
          <w:p w14:paraId="5C412113" w14:textId="28173C1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nil"/>
              <w:left w:val="nil"/>
              <w:bottom w:val="dotted" w:sz="4" w:space="0" w:color="auto"/>
              <w:right w:val="nil"/>
            </w:tcBorders>
            <w:shd w:val="clear" w:color="auto" w:fill="auto"/>
            <w:noWrap/>
            <w:vAlign w:val="center"/>
            <w:hideMark/>
          </w:tcPr>
          <w:p w14:paraId="499ECCF7" w14:textId="11C2CBF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(142.477)</w:t>
            </w:r>
          </w:p>
        </w:tc>
        <w:tc>
          <w:tcPr>
            <w:tcW w:w="1134" w:type="dxa"/>
            <w:tcBorders>
              <w:top w:val="nil"/>
              <w:left w:val="nil"/>
              <w:bottom w:val="dotted" w:sz="4" w:space="0" w:color="auto"/>
              <w:right w:val="nil"/>
            </w:tcBorders>
            <w:shd w:val="clear" w:color="auto" w:fill="auto"/>
            <w:noWrap/>
            <w:vAlign w:val="center"/>
            <w:hideMark/>
          </w:tcPr>
          <w:p w14:paraId="6C29EB41" w14:textId="3E2AD7A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nil"/>
              <w:left w:val="nil"/>
              <w:bottom w:val="dotted" w:sz="4" w:space="0" w:color="auto"/>
              <w:right w:val="nil"/>
            </w:tcBorders>
            <w:shd w:val="clear" w:color="auto" w:fill="auto"/>
            <w:noWrap/>
            <w:vAlign w:val="center"/>
            <w:hideMark/>
          </w:tcPr>
          <w:p w14:paraId="1F33206A" w14:textId="074473A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nil"/>
              <w:left w:val="nil"/>
              <w:bottom w:val="dotted" w:sz="4" w:space="0" w:color="auto"/>
              <w:right w:val="nil"/>
            </w:tcBorders>
            <w:shd w:val="clear" w:color="auto" w:fill="auto"/>
            <w:noWrap/>
            <w:vAlign w:val="center"/>
            <w:hideMark/>
          </w:tcPr>
          <w:p w14:paraId="076F4978" w14:textId="49A677A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2.334.824 </w:t>
            </w:r>
          </w:p>
        </w:tc>
      </w:tr>
      <w:tr w:rsidR="001B79F9" w:rsidRPr="001B79F9" w14:paraId="7C291BE9"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7988874D"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Mobiliário em Geral</w:t>
            </w:r>
          </w:p>
        </w:tc>
        <w:tc>
          <w:tcPr>
            <w:tcW w:w="1134" w:type="dxa"/>
            <w:tcBorders>
              <w:top w:val="dotted" w:sz="4" w:space="0" w:color="auto"/>
              <w:left w:val="nil"/>
              <w:bottom w:val="dotted" w:sz="4" w:space="0" w:color="auto"/>
              <w:right w:val="nil"/>
            </w:tcBorders>
            <w:shd w:val="clear" w:color="auto" w:fill="auto"/>
            <w:noWrap/>
            <w:vAlign w:val="center"/>
            <w:hideMark/>
          </w:tcPr>
          <w:p w14:paraId="05BB9E3F" w14:textId="0B75E70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9.419.314 </w:t>
            </w:r>
          </w:p>
        </w:tc>
        <w:tc>
          <w:tcPr>
            <w:tcW w:w="1134" w:type="dxa"/>
            <w:tcBorders>
              <w:top w:val="dotted" w:sz="4" w:space="0" w:color="auto"/>
              <w:left w:val="nil"/>
              <w:bottom w:val="dotted" w:sz="4" w:space="0" w:color="auto"/>
              <w:right w:val="nil"/>
            </w:tcBorders>
            <w:shd w:val="clear" w:color="auto" w:fill="auto"/>
            <w:noWrap/>
            <w:vAlign w:val="center"/>
            <w:hideMark/>
          </w:tcPr>
          <w:p w14:paraId="09B28160" w14:textId="090F9FCD"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2019F2FA" w14:textId="49302B4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(7.628.645)</w:t>
            </w:r>
          </w:p>
        </w:tc>
        <w:tc>
          <w:tcPr>
            <w:tcW w:w="1134" w:type="dxa"/>
            <w:tcBorders>
              <w:top w:val="dotted" w:sz="4" w:space="0" w:color="auto"/>
              <w:left w:val="nil"/>
              <w:bottom w:val="dotted" w:sz="4" w:space="0" w:color="auto"/>
              <w:right w:val="nil"/>
            </w:tcBorders>
            <w:shd w:val="clear" w:color="auto" w:fill="auto"/>
            <w:noWrap/>
            <w:vAlign w:val="center"/>
            <w:hideMark/>
          </w:tcPr>
          <w:p w14:paraId="1E8B3604" w14:textId="0D4AAD0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(13.282)</w:t>
            </w:r>
          </w:p>
        </w:tc>
        <w:tc>
          <w:tcPr>
            <w:tcW w:w="1134" w:type="dxa"/>
            <w:tcBorders>
              <w:top w:val="dotted" w:sz="4" w:space="0" w:color="auto"/>
              <w:left w:val="nil"/>
              <w:bottom w:val="dotted" w:sz="4" w:space="0" w:color="auto"/>
              <w:right w:val="nil"/>
            </w:tcBorders>
            <w:shd w:val="clear" w:color="auto" w:fill="auto"/>
            <w:noWrap/>
            <w:vAlign w:val="center"/>
            <w:hideMark/>
          </w:tcPr>
          <w:p w14:paraId="5DA3FF15" w14:textId="22FE2A3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1.777.386 </w:t>
            </w:r>
          </w:p>
        </w:tc>
        <w:tc>
          <w:tcPr>
            <w:tcW w:w="1134" w:type="dxa"/>
            <w:tcBorders>
              <w:top w:val="dotted" w:sz="4" w:space="0" w:color="auto"/>
              <w:left w:val="nil"/>
              <w:bottom w:val="dotted" w:sz="4" w:space="0" w:color="auto"/>
              <w:right w:val="nil"/>
            </w:tcBorders>
            <w:shd w:val="clear" w:color="auto" w:fill="auto"/>
            <w:noWrap/>
            <w:vAlign w:val="center"/>
            <w:hideMark/>
          </w:tcPr>
          <w:p w14:paraId="777DBB57" w14:textId="7A8C645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D88FC55" w14:textId="2B6DBD3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(176.634)</w:t>
            </w:r>
          </w:p>
        </w:tc>
        <w:tc>
          <w:tcPr>
            <w:tcW w:w="1134" w:type="dxa"/>
            <w:tcBorders>
              <w:top w:val="dotted" w:sz="4" w:space="0" w:color="auto"/>
              <w:left w:val="nil"/>
              <w:bottom w:val="dotted" w:sz="4" w:space="0" w:color="auto"/>
              <w:right w:val="nil"/>
            </w:tcBorders>
            <w:shd w:val="clear" w:color="auto" w:fill="auto"/>
            <w:noWrap/>
            <w:vAlign w:val="center"/>
            <w:hideMark/>
          </w:tcPr>
          <w:p w14:paraId="7B4508F0" w14:textId="202B0BA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(120.672)</w:t>
            </w:r>
          </w:p>
        </w:tc>
        <w:tc>
          <w:tcPr>
            <w:tcW w:w="1134" w:type="dxa"/>
            <w:tcBorders>
              <w:top w:val="dotted" w:sz="4" w:space="0" w:color="auto"/>
              <w:left w:val="nil"/>
              <w:bottom w:val="dotted" w:sz="4" w:space="0" w:color="auto"/>
              <w:right w:val="nil"/>
            </w:tcBorders>
            <w:shd w:val="clear" w:color="auto" w:fill="auto"/>
            <w:noWrap/>
            <w:vAlign w:val="center"/>
            <w:hideMark/>
          </w:tcPr>
          <w:p w14:paraId="2274EB01" w14:textId="72BBE21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176.634 </w:t>
            </w:r>
          </w:p>
        </w:tc>
        <w:tc>
          <w:tcPr>
            <w:tcW w:w="1134" w:type="dxa"/>
            <w:tcBorders>
              <w:top w:val="dotted" w:sz="4" w:space="0" w:color="auto"/>
              <w:left w:val="nil"/>
              <w:bottom w:val="dotted" w:sz="4" w:space="0" w:color="auto"/>
              <w:right w:val="nil"/>
            </w:tcBorders>
            <w:shd w:val="clear" w:color="auto" w:fill="auto"/>
            <w:noWrap/>
            <w:vAlign w:val="center"/>
            <w:hideMark/>
          </w:tcPr>
          <w:p w14:paraId="7A685D1A" w14:textId="011AFF4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10C8A330" w14:textId="730635F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1.656.714 </w:t>
            </w:r>
          </w:p>
        </w:tc>
      </w:tr>
      <w:tr w:rsidR="001B79F9" w:rsidRPr="001B79F9" w14:paraId="7EE618F5"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5020B1AE"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Equipamentos. de Tecn. da Informação e Comunicação/TIC</w:t>
            </w:r>
          </w:p>
        </w:tc>
        <w:tc>
          <w:tcPr>
            <w:tcW w:w="1134" w:type="dxa"/>
            <w:tcBorders>
              <w:top w:val="dotted" w:sz="4" w:space="0" w:color="auto"/>
              <w:left w:val="nil"/>
              <w:bottom w:val="dotted" w:sz="4" w:space="0" w:color="auto"/>
              <w:right w:val="nil"/>
            </w:tcBorders>
            <w:shd w:val="clear" w:color="auto" w:fill="auto"/>
            <w:noWrap/>
            <w:vAlign w:val="center"/>
            <w:hideMark/>
          </w:tcPr>
          <w:p w14:paraId="114D39C1" w14:textId="1C429B4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33.105.591 </w:t>
            </w:r>
          </w:p>
        </w:tc>
        <w:tc>
          <w:tcPr>
            <w:tcW w:w="1134" w:type="dxa"/>
            <w:tcBorders>
              <w:top w:val="dotted" w:sz="4" w:space="0" w:color="auto"/>
              <w:left w:val="nil"/>
              <w:bottom w:val="dotted" w:sz="4" w:space="0" w:color="auto"/>
              <w:right w:val="nil"/>
            </w:tcBorders>
            <w:shd w:val="clear" w:color="auto" w:fill="auto"/>
            <w:noWrap/>
            <w:vAlign w:val="center"/>
            <w:hideMark/>
          </w:tcPr>
          <w:p w14:paraId="5AAD56E9" w14:textId="37723372"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46EC1285" w14:textId="7A55DE5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(31.526.086)</w:t>
            </w:r>
          </w:p>
        </w:tc>
        <w:tc>
          <w:tcPr>
            <w:tcW w:w="1134" w:type="dxa"/>
            <w:tcBorders>
              <w:top w:val="dotted" w:sz="4" w:space="0" w:color="auto"/>
              <w:left w:val="nil"/>
              <w:bottom w:val="dotted" w:sz="4" w:space="0" w:color="auto"/>
              <w:right w:val="nil"/>
            </w:tcBorders>
            <w:shd w:val="clear" w:color="auto" w:fill="auto"/>
            <w:noWrap/>
            <w:vAlign w:val="center"/>
            <w:hideMark/>
          </w:tcPr>
          <w:p w14:paraId="698F450A" w14:textId="3075A07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85890D6" w14:textId="17AEE2E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1.579.505 </w:t>
            </w:r>
          </w:p>
        </w:tc>
        <w:tc>
          <w:tcPr>
            <w:tcW w:w="1134" w:type="dxa"/>
            <w:tcBorders>
              <w:top w:val="dotted" w:sz="4" w:space="0" w:color="auto"/>
              <w:left w:val="nil"/>
              <w:bottom w:val="dotted" w:sz="4" w:space="0" w:color="auto"/>
              <w:right w:val="nil"/>
            </w:tcBorders>
            <w:shd w:val="clear" w:color="auto" w:fill="auto"/>
            <w:noWrap/>
            <w:vAlign w:val="center"/>
            <w:hideMark/>
          </w:tcPr>
          <w:p w14:paraId="38B9336A" w14:textId="120A493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3F642E6" w14:textId="59DCD68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(2.036.661)</w:t>
            </w:r>
          </w:p>
        </w:tc>
        <w:tc>
          <w:tcPr>
            <w:tcW w:w="1134" w:type="dxa"/>
            <w:tcBorders>
              <w:top w:val="dotted" w:sz="4" w:space="0" w:color="auto"/>
              <w:left w:val="nil"/>
              <w:bottom w:val="dotted" w:sz="4" w:space="0" w:color="auto"/>
              <w:right w:val="nil"/>
            </w:tcBorders>
            <w:shd w:val="clear" w:color="auto" w:fill="auto"/>
            <w:noWrap/>
            <w:vAlign w:val="center"/>
            <w:hideMark/>
          </w:tcPr>
          <w:p w14:paraId="09713FC9" w14:textId="0C93A60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(187.667)</w:t>
            </w:r>
          </w:p>
        </w:tc>
        <w:tc>
          <w:tcPr>
            <w:tcW w:w="1134" w:type="dxa"/>
            <w:tcBorders>
              <w:top w:val="dotted" w:sz="4" w:space="0" w:color="auto"/>
              <w:left w:val="nil"/>
              <w:bottom w:val="dotted" w:sz="4" w:space="0" w:color="auto"/>
              <w:right w:val="nil"/>
            </w:tcBorders>
            <w:shd w:val="clear" w:color="auto" w:fill="auto"/>
            <w:noWrap/>
            <w:vAlign w:val="center"/>
            <w:hideMark/>
          </w:tcPr>
          <w:p w14:paraId="58A8A768" w14:textId="5586B82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2.034.464 </w:t>
            </w:r>
          </w:p>
        </w:tc>
        <w:tc>
          <w:tcPr>
            <w:tcW w:w="1134" w:type="dxa"/>
            <w:tcBorders>
              <w:top w:val="dotted" w:sz="4" w:space="0" w:color="auto"/>
              <w:left w:val="nil"/>
              <w:bottom w:val="dotted" w:sz="4" w:space="0" w:color="auto"/>
              <w:right w:val="nil"/>
            </w:tcBorders>
            <w:shd w:val="clear" w:color="auto" w:fill="auto"/>
            <w:noWrap/>
            <w:vAlign w:val="center"/>
            <w:hideMark/>
          </w:tcPr>
          <w:p w14:paraId="592B331F" w14:textId="260D7CA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69550D24" w14:textId="3F71A50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1.389.64</w:t>
            </w:r>
            <w:r w:rsidR="00BE621B">
              <w:rPr>
                <w:rFonts w:ascii="Calibri" w:eastAsia="Times New Roman" w:hAnsi="Calibri" w:cs="Calibri"/>
                <w:color w:val="000000"/>
                <w:sz w:val="16"/>
                <w:szCs w:val="16"/>
              </w:rPr>
              <w:t>1</w:t>
            </w:r>
            <w:r w:rsidRPr="001B79F9">
              <w:rPr>
                <w:rFonts w:ascii="Calibri" w:eastAsia="Times New Roman" w:hAnsi="Calibri" w:cs="Calibri"/>
                <w:color w:val="000000"/>
                <w:sz w:val="16"/>
                <w:szCs w:val="16"/>
              </w:rPr>
              <w:t xml:space="preserve"> </w:t>
            </w:r>
          </w:p>
        </w:tc>
      </w:tr>
      <w:tr w:rsidR="001B79F9" w:rsidRPr="001B79F9" w14:paraId="34E3B491"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5C586B02"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Estoque Interno</w:t>
            </w:r>
          </w:p>
        </w:tc>
        <w:tc>
          <w:tcPr>
            <w:tcW w:w="1134" w:type="dxa"/>
            <w:tcBorders>
              <w:top w:val="dotted" w:sz="4" w:space="0" w:color="auto"/>
              <w:left w:val="nil"/>
              <w:bottom w:val="dotted" w:sz="4" w:space="0" w:color="auto"/>
              <w:right w:val="nil"/>
            </w:tcBorders>
            <w:shd w:val="clear" w:color="auto" w:fill="auto"/>
            <w:noWrap/>
            <w:vAlign w:val="center"/>
            <w:hideMark/>
          </w:tcPr>
          <w:p w14:paraId="470E1D3E" w14:textId="584ED0C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135.118 </w:t>
            </w:r>
          </w:p>
        </w:tc>
        <w:tc>
          <w:tcPr>
            <w:tcW w:w="1134" w:type="dxa"/>
            <w:tcBorders>
              <w:top w:val="dotted" w:sz="4" w:space="0" w:color="auto"/>
              <w:left w:val="nil"/>
              <w:bottom w:val="dotted" w:sz="4" w:space="0" w:color="auto"/>
              <w:right w:val="nil"/>
            </w:tcBorders>
            <w:shd w:val="clear" w:color="auto" w:fill="auto"/>
            <w:noWrap/>
            <w:vAlign w:val="center"/>
            <w:hideMark/>
          </w:tcPr>
          <w:p w14:paraId="0384B47C" w14:textId="332C6A31"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150CAE2D" w14:textId="2BBA112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(48.273)</w:t>
            </w:r>
          </w:p>
        </w:tc>
        <w:tc>
          <w:tcPr>
            <w:tcW w:w="1134" w:type="dxa"/>
            <w:tcBorders>
              <w:top w:val="dotted" w:sz="4" w:space="0" w:color="auto"/>
              <w:left w:val="nil"/>
              <w:bottom w:val="dotted" w:sz="4" w:space="0" w:color="auto"/>
              <w:right w:val="nil"/>
            </w:tcBorders>
            <w:shd w:val="clear" w:color="auto" w:fill="auto"/>
            <w:noWrap/>
            <w:vAlign w:val="center"/>
            <w:hideMark/>
          </w:tcPr>
          <w:p w14:paraId="22829F82" w14:textId="629E5CC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82E09AF" w14:textId="6C06A67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86.845 </w:t>
            </w:r>
          </w:p>
        </w:tc>
        <w:tc>
          <w:tcPr>
            <w:tcW w:w="1134" w:type="dxa"/>
            <w:tcBorders>
              <w:top w:val="dotted" w:sz="4" w:space="0" w:color="auto"/>
              <w:left w:val="nil"/>
              <w:bottom w:val="dotted" w:sz="4" w:space="0" w:color="auto"/>
              <w:right w:val="nil"/>
            </w:tcBorders>
            <w:shd w:val="clear" w:color="auto" w:fill="auto"/>
            <w:noWrap/>
            <w:vAlign w:val="center"/>
            <w:hideMark/>
          </w:tcPr>
          <w:p w14:paraId="69362EAD" w14:textId="3ECF879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5EA99436" w14:textId="760BB12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2AA7D501" w14:textId="0A45433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(6.755)</w:t>
            </w:r>
          </w:p>
        </w:tc>
        <w:tc>
          <w:tcPr>
            <w:tcW w:w="1134" w:type="dxa"/>
            <w:tcBorders>
              <w:top w:val="dotted" w:sz="4" w:space="0" w:color="auto"/>
              <w:left w:val="nil"/>
              <w:bottom w:val="dotted" w:sz="4" w:space="0" w:color="auto"/>
              <w:right w:val="nil"/>
            </w:tcBorders>
            <w:shd w:val="clear" w:color="auto" w:fill="auto"/>
            <w:noWrap/>
            <w:vAlign w:val="center"/>
            <w:hideMark/>
          </w:tcPr>
          <w:p w14:paraId="03A344BC" w14:textId="6336276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9908AB5" w14:textId="06FF568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29261440" w14:textId="6100FC3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80.090 </w:t>
            </w:r>
          </w:p>
        </w:tc>
      </w:tr>
      <w:tr w:rsidR="001B79F9" w:rsidRPr="001B79F9" w14:paraId="033D3147"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1E92E5EF"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Instalações e Utensílios de Escritório</w:t>
            </w:r>
          </w:p>
        </w:tc>
        <w:tc>
          <w:tcPr>
            <w:tcW w:w="1134" w:type="dxa"/>
            <w:tcBorders>
              <w:top w:val="dotted" w:sz="4" w:space="0" w:color="auto"/>
              <w:left w:val="nil"/>
              <w:bottom w:val="dotted" w:sz="4" w:space="0" w:color="auto"/>
              <w:right w:val="nil"/>
            </w:tcBorders>
            <w:shd w:val="clear" w:color="auto" w:fill="auto"/>
            <w:noWrap/>
            <w:vAlign w:val="center"/>
            <w:hideMark/>
          </w:tcPr>
          <w:p w14:paraId="048BD1B4" w14:textId="5AA49DF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517.342 </w:t>
            </w:r>
          </w:p>
        </w:tc>
        <w:tc>
          <w:tcPr>
            <w:tcW w:w="1134" w:type="dxa"/>
            <w:tcBorders>
              <w:top w:val="dotted" w:sz="4" w:space="0" w:color="auto"/>
              <w:left w:val="nil"/>
              <w:bottom w:val="dotted" w:sz="4" w:space="0" w:color="auto"/>
              <w:right w:val="nil"/>
            </w:tcBorders>
            <w:shd w:val="clear" w:color="auto" w:fill="auto"/>
            <w:noWrap/>
            <w:vAlign w:val="center"/>
            <w:hideMark/>
          </w:tcPr>
          <w:p w14:paraId="02F88BA2" w14:textId="49F2A21B"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141183E5" w14:textId="5336B5D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(437.244)</w:t>
            </w:r>
          </w:p>
        </w:tc>
        <w:tc>
          <w:tcPr>
            <w:tcW w:w="1134" w:type="dxa"/>
            <w:tcBorders>
              <w:top w:val="dotted" w:sz="4" w:space="0" w:color="auto"/>
              <w:left w:val="nil"/>
              <w:bottom w:val="dotted" w:sz="4" w:space="0" w:color="auto"/>
              <w:right w:val="nil"/>
            </w:tcBorders>
            <w:shd w:val="clear" w:color="auto" w:fill="auto"/>
            <w:noWrap/>
            <w:vAlign w:val="center"/>
            <w:hideMark/>
          </w:tcPr>
          <w:p w14:paraId="7EFDAAF4" w14:textId="3F85EEE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(5.221)</w:t>
            </w:r>
          </w:p>
        </w:tc>
        <w:tc>
          <w:tcPr>
            <w:tcW w:w="1134" w:type="dxa"/>
            <w:tcBorders>
              <w:top w:val="dotted" w:sz="4" w:space="0" w:color="auto"/>
              <w:left w:val="nil"/>
              <w:bottom w:val="dotted" w:sz="4" w:space="0" w:color="auto"/>
              <w:right w:val="nil"/>
            </w:tcBorders>
            <w:shd w:val="clear" w:color="auto" w:fill="auto"/>
            <w:noWrap/>
            <w:vAlign w:val="center"/>
            <w:hideMark/>
          </w:tcPr>
          <w:p w14:paraId="64943D69" w14:textId="23C8887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74.877 </w:t>
            </w:r>
          </w:p>
        </w:tc>
        <w:tc>
          <w:tcPr>
            <w:tcW w:w="1134" w:type="dxa"/>
            <w:tcBorders>
              <w:top w:val="dotted" w:sz="4" w:space="0" w:color="auto"/>
              <w:left w:val="nil"/>
              <w:bottom w:val="dotted" w:sz="4" w:space="0" w:color="auto"/>
              <w:right w:val="nil"/>
            </w:tcBorders>
            <w:shd w:val="clear" w:color="auto" w:fill="auto"/>
            <w:noWrap/>
            <w:vAlign w:val="center"/>
            <w:hideMark/>
          </w:tcPr>
          <w:p w14:paraId="2604DF34" w14:textId="696173F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15.400 </w:t>
            </w:r>
          </w:p>
        </w:tc>
        <w:tc>
          <w:tcPr>
            <w:tcW w:w="1134" w:type="dxa"/>
            <w:tcBorders>
              <w:top w:val="dotted" w:sz="4" w:space="0" w:color="auto"/>
              <w:left w:val="nil"/>
              <w:bottom w:val="dotted" w:sz="4" w:space="0" w:color="auto"/>
              <w:right w:val="nil"/>
            </w:tcBorders>
            <w:shd w:val="clear" w:color="auto" w:fill="auto"/>
            <w:noWrap/>
            <w:vAlign w:val="center"/>
            <w:hideMark/>
          </w:tcPr>
          <w:p w14:paraId="23F3A39C" w14:textId="59A5889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(41.476)</w:t>
            </w:r>
          </w:p>
        </w:tc>
        <w:tc>
          <w:tcPr>
            <w:tcW w:w="1134" w:type="dxa"/>
            <w:tcBorders>
              <w:top w:val="dotted" w:sz="4" w:space="0" w:color="auto"/>
              <w:left w:val="nil"/>
              <w:bottom w:val="dotted" w:sz="4" w:space="0" w:color="auto"/>
              <w:right w:val="nil"/>
            </w:tcBorders>
            <w:shd w:val="clear" w:color="auto" w:fill="auto"/>
            <w:noWrap/>
            <w:vAlign w:val="center"/>
            <w:hideMark/>
          </w:tcPr>
          <w:p w14:paraId="54D869B8" w14:textId="3C60C6B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(5.325)</w:t>
            </w:r>
          </w:p>
        </w:tc>
        <w:tc>
          <w:tcPr>
            <w:tcW w:w="1134" w:type="dxa"/>
            <w:tcBorders>
              <w:top w:val="dotted" w:sz="4" w:space="0" w:color="auto"/>
              <w:left w:val="nil"/>
              <w:bottom w:val="dotted" w:sz="4" w:space="0" w:color="auto"/>
              <w:right w:val="nil"/>
            </w:tcBorders>
            <w:shd w:val="clear" w:color="auto" w:fill="auto"/>
            <w:noWrap/>
            <w:vAlign w:val="center"/>
            <w:hideMark/>
          </w:tcPr>
          <w:p w14:paraId="0D5C8DB7" w14:textId="3E21F81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36.557 </w:t>
            </w:r>
          </w:p>
        </w:tc>
        <w:tc>
          <w:tcPr>
            <w:tcW w:w="1134" w:type="dxa"/>
            <w:tcBorders>
              <w:top w:val="dotted" w:sz="4" w:space="0" w:color="auto"/>
              <w:left w:val="nil"/>
              <w:bottom w:val="dotted" w:sz="4" w:space="0" w:color="auto"/>
              <w:right w:val="nil"/>
            </w:tcBorders>
            <w:shd w:val="clear" w:color="auto" w:fill="auto"/>
            <w:noWrap/>
            <w:vAlign w:val="center"/>
            <w:hideMark/>
          </w:tcPr>
          <w:p w14:paraId="32B55F1A" w14:textId="122A834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730E3611" w14:textId="559F959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80.033 </w:t>
            </w:r>
          </w:p>
        </w:tc>
      </w:tr>
      <w:tr w:rsidR="001B79F9" w:rsidRPr="001B79F9" w14:paraId="758FB940"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5D981116"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Equipamentos para Áudio, Vídeo e Foto</w:t>
            </w:r>
          </w:p>
        </w:tc>
        <w:tc>
          <w:tcPr>
            <w:tcW w:w="1134" w:type="dxa"/>
            <w:tcBorders>
              <w:top w:val="dotted" w:sz="4" w:space="0" w:color="auto"/>
              <w:left w:val="nil"/>
              <w:bottom w:val="dotted" w:sz="4" w:space="0" w:color="auto"/>
              <w:right w:val="nil"/>
            </w:tcBorders>
            <w:shd w:val="clear" w:color="auto" w:fill="auto"/>
            <w:noWrap/>
            <w:vAlign w:val="center"/>
            <w:hideMark/>
          </w:tcPr>
          <w:p w14:paraId="2DD45DD9" w14:textId="7595458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851.132 </w:t>
            </w:r>
          </w:p>
        </w:tc>
        <w:tc>
          <w:tcPr>
            <w:tcW w:w="1134" w:type="dxa"/>
            <w:tcBorders>
              <w:top w:val="dotted" w:sz="4" w:space="0" w:color="auto"/>
              <w:left w:val="nil"/>
              <w:bottom w:val="dotted" w:sz="4" w:space="0" w:color="auto"/>
              <w:right w:val="nil"/>
            </w:tcBorders>
            <w:shd w:val="clear" w:color="auto" w:fill="auto"/>
            <w:noWrap/>
            <w:vAlign w:val="center"/>
            <w:hideMark/>
          </w:tcPr>
          <w:p w14:paraId="47212B0B" w14:textId="7C41CA82"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5E7D1D56" w14:textId="792712D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(794.868)</w:t>
            </w:r>
          </w:p>
        </w:tc>
        <w:tc>
          <w:tcPr>
            <w:tcW w:w="1134" w:type="dxa"/>
            <w:tcBorders>
              <w:top w:val="dotted" w:sz="4" w:space="0" w:color="auto"/>
              <w:left w:val="nil"/>
              <w:bottom w:val="dotted" w:sz="4" w:space="0" w:color="auto"/>
              <w:right w:val="nil"/>
            </w:tcBorders>
            <w:shd w:val="clear" w:color="auto" w:fill="auto"/>
            <w:noWrap/>
            <w:vAlign w:val="center"/>
            <w:hideMark/>
          </w:tcPr>
          <w:p w14:paraId="00DB4C01" w14:textId="32AEADF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7FF7B15" w14:textId="190B495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56.264 </w:t>
            </w:r>
          </w:p>
        </w:tc>
        <w:tc>
          <w:tcPr>
            <w:tcW w:w="1134" w:type="dxa"/>
            <w:tcBorders>
              <w:top w:val="dotted" w:sz="4" w:space="0" w:color="auto"/>
              <w:left w:val="nil"/>
              <w:bottom w:val="dotted" w:sz="4" w:space="0" w:color="auto"/>
              <w:right w:val="nil"/>
            </w:tcBorders>
            <w:shd w:val="clear" w:color="auto" w:fill="auto"/>
            <w:noWrap/>
            <w:vAlign w:val="center"/>
            <w:hideMark/>
          </w:tcPr>
          <w:p w14:paraId="1F21C1BA" w14:textId="1B521F7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D11CD91" w14:textId="121FE8C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5F081B13" w14:textId="278CA43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(2.961)</w:t>
            </w:r>
          </w:p>
        </w:tc>
        <w:tc>
          <w:tcPr>
            <w:tcW w:w="1134" w:type="dxa"/>
            <w:tcBorders>
              <w:top w:val="dotted" w:sz="4" w:space="0" w:color="auto"/>
              <w:left w:val="nil"/>
              <w:bottom w:val="dotted" w:sz="4" w:space="0" w:color="auto"/>
              <w:right w:val="nil"/>
            </w:tcBorders>
            <w:shd w:val="clear" w:color="auto" w:fill="auto"/>
            <w:noWrap/>
            <w:vAlign w:val="center"/>
            <w:hideMark/>
          </w:tcPr>
          <w:p w14:paraId="55039B37" w14:textId="550062D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6667BBA" w14:textId="677B677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24A553E2" w14:textId="4533FF9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53.303 </w:t>
            </w:r>
          </w:p>
        </w:tc>
      </w:tr>
      <w:tr w:rsidR="001B79F9" w:rsidRPr="001B79F9" w14:paraId="445B6521"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25C2B647"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Aparelhos e Equipamentos Comunicação</w:t>
            </w:r>
          </w:p>
        </w:tc>
        <w:tc>
          <w:tcPr>
            <w:tcW w:w="1134" w:type="dxa"/>
            <w:tcBorders>
              <w:top w:val="dotted" w:sz="4" w:space="0" w:color="auto"/>
              <w:left w:val="nil"/>
              <w:bottom w:val="dotted" w:sz="4" w:space="0" w:color="auto"/>
              <w:right w:val="nil"/>
            </w:tcBorders>
            <w:shd w:val="clear" w:color="auto" w:fill="auto"/>
            <w:noWrap/>
            <w:vAlign w:val="center"/>
            <w:hideMark/>
          </w:tcPr>
          <w:p w14:paraId="39D7762B" w14:textId="0AD2BA9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598.042 </w:t>
            </w:r>
          </w:p>
        </w:tc>
        <w:tc>
          <w:tcPr>
            <w:tcW w:w="1134" w:type="dxa"/>
            <w:tcBorders>
              <w:top w:val="dotted" w:sz="4" w:space="0" w:color="auto"/>
              <w:left w:val="nil"/>
              <w:bottom w:val="dotted" w:sz="4" w:space="0" w:color="auto"/>
              <w:right w:val="nil"/>
            </w:tcBorders>
            <w:shd w:val="clear" w:color="auto" w:fill="auto"/>
            <w:noWrap/>
            <w:vAlign w:val="center"/>
            <w:hideMark/>
          </w:tcPr>
          <w:p w14:paraId="19DD2830" w14:textId="0302E23A"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545B87BD" w14:textId="6E22C7C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(574.354)</w:t>
            </w:r>
          </w:p>
        </w:tc>
        <w:tc>
          <w:tcPr>
            <w:tcW w:w="1134" w:type="dxa"/>
            <w:tcBorders>
              <w:top w:val="dotted" w:sz="4" w:space="0" w:color="auto"/>
              <w:left w:val="nil"/>
              <w:bottom w:val="dotted" w:sz="4" w:space="0" w:color="auto"/>
              <w:right w:val="nil"/>
            </w:tcBorders>
            <w:shd w:val="clear" w:color="auto" w:fill="auto"/>
            <w:noWrap/>
            <w:vAlign w:val="center"/>
            <w:hideMark/>
          </w:tcPr>
          <w:p w14:paraId="56733061" w14:textId="76A3ABA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C13E776" w14:textId="42ABE82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23.689 </w:t>
            </w:r>
          </w:p>
        </w:tc>
        <w:tc>
          <w:tcPr>
            <w:tcW w:w="1134" w:type="dxa"/>
            <w:tcBorders>
              <w:top w:val="dotted" w:sz="4" w:space="0" w:color="auto"/>
              <w:left w:val="nil"/>
              <w:bottom w:val="dotted" w:sz="4" w:space="0" w:color="auto"/>
              <w:right w:val="nil"/>
            </w:tcBorders>
            <w:shd w:val="clear" w:color="auto" w:fill="auto"/>
            <w:noWrap/>
            <w:vAlign w:val="center"/>
            <w:hideMark/>
          </w:tcPr>
          <w:p w14:paraId="42A354C3" w14:textId="1BBC46B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EF78DD7" w14:textId="373BC1E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(180.477)</w:t>
            </w:r>
          </w:p>
        </w:tc>
        <w:tc>
          <w:tcPr>
            <w:tcW w:w="1134" w:type="dxa"/>
            <w:tcBorders>
              <w:top w:val="dotted" w:sz="4" w:space="0" w:color="auto"/>
              <w:left w:val="nil"/>
              <w:bottom w:val="dotted" w:sz="4" w:space="0" w:color="auto"/>
              <w:right w:val="nil"/>
            </w:tcBorders>
            <w:shd w:val="clear" w:color="auto" w:fill="auto"/>
            <w:noWrap/>
            <w:vAlign w:val="center"/>
            <w:hideMark/>
          </w:tcPr>
          <w:p w14:paraId="4A093225" w14:textId="1F9BA9F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(2.548)</w:t>
            </w:r>
          </w:p>
        </w:tc>
        <w:tc>
          <w:tcPr>
            <w:tcW w:w="1134" w:type="dxa"/>
            <w:tcBorders>
              <w:top w:val="dotted" w:sz="4" w:space="0" w:color="auto"/>
              <w:left w:val="nil"/>
              <w:bottom w:val="dotted" w:sz="4" w:space="0" w:color="auto"/>
              <w:right w:val="nil"/>
            </w:tcBorders>
            <w:shd w:val="clear" w:color="auto" w:fill="auto"/>
            <w:noWrap/>
            <w:vAlign w:val="center"/>
            <w:hideMark/>
          </w:tcPr>
          <w:p w14:paraId="5DD58264" w14:textId="6F59608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180.477 </w:t>
            </w:r>
          </w:p>
        </w:tc>
        <w:tc>
          <w:tcPr>
            <w:tcW w:w="1134" w:type="dxa"/>
            <w:tcBorders>
              <w:top w:val="dotted" w:sz="4" w:space="0" w:color="auto"/>
              <w:left w:val="nil"/>
              <w:bottom w:val="dotted" w:sz="4" w:space="0" w:color="auto"/>
              <w:right w:val="nil"/>
            </w:tcBorders>
            <w:shd w:val="clear" w:color="auto" w:fill="auto"/>
            <w:noWrap/>
            <w:vAlign w:val="center"/>
            <w:hideMark/>
          </w:tcPr>
          <w:p w14:paraId="62F82512" w14:textId="3E3D1E1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64B30F36" w14:textId="5F30007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21.141 </w:t>
            </w:r>
          </w:p>
        </w:tc>
      </w:tr>
      <w:tr w:rsidR="001B79F9" w:rsidRPr="001B79F9" w14:paraId="7C3A0804"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01438D04"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Ferramentas e Utensílios de Oficina</w:t>
            </w:r>
          </w:p>
        </w:tc>
        <w:tc>
          <w:tcPr>
            <w:tcW w:w="1134" w:type="dxa"/>
            <w:tcBorders>
              <w:top w:val="dotted" w:sz="4" w:space="0" w:color="auto"/>
              <w:left w:val="nil"/>
              <w:bottom w:val="dotted" w:sz="4" w:space="0" w:color="auto"/>
              <w:right w:val="nil"/>
            </w:tcBorders>
            <w:shd w:val="clear" w:color="auto" w:fill="auto"/>
            <w:noWrap/>
            <w:vAlign w:val="center"/>
            <w:hideMark/>
          </w:tcPr>
          <w:p w14:paraId="178586C2" w14:textId="75B65D9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36.200 </w:t>
            </w:r>
          </w:p>
        </w:tc>
        <w:tc>
          <w:tcPr>
            <w:tcW w:w="1134" w:type="dxa"/>
            <w:tcBorders>
              <w:top w:val="dotted" w:sz="4" w:space="0" w:color="auto"/>
              <w:left w:val="nil"/>
              <w:bottom w:val="dotted" w:sz="4" w:space="0" w:color="auto"/>
              <w:right w:val="nil"/>
            </w:tcBorders>
            <w:shd w:val="clear" w:color="auto" w:fill="auto"/>
            <w:noWrap/>
            <w:vAlign w:val="center"/>
            <w:hideMark/>
          </w:tcPr>
          <w:p w14:paraId="788F6BB5" w14:textId="3D3DF71E"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3124030B" w14:textId="665CBD0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(19.653)</w:t>
            </w:r>
          </w:p>
        </w:tc>
        <w:tc>
          <w:tcPr>
            <w:tcW w:w="1134" w:type="dxa"/>
            <w:tcBorders>
              <w:top w:val="dotted" w:sz="4" w:space="0" w:color="auto"/>
              <w:left w:val="nil"/>
              <w:bottom w:val="dotted" w:sz="4" w:space="0" w:color="auto"/>
              <w:right w:val="nil"/>
            </w:tcBorders>
            <w:shd w:val="clear" w:color="auto" w:fill="auto"/>
            <w:noWrap/>
            <w:vAlign w:val="center"/>
            <w:hideMark/>
          </w:tcPr>
          <w:p w14:paraId="4D9577AA" w14:textId="44E9132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A1C9736" w14:textId="58AD692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16.547 </w:t>
            </w:r>
          </w:p>
        </w:tc>
        <w:tc>
          <w:tcPr>
            <w:tcW w:w="1134" w:type="dxa"/>
            <w:tcBorders>
              <w:top w:val="dotted" w:sz="4" w:space="0" w:color="auto"/>
              <w:left w:val="nil"/>
              <w:bottom w:val="dotted" w:sz="4" w:space="0" w:color="auto"/>
              <w:right w:val="nil"/>
            </w:tcBorders>
            <w:shd w:val="clear" w:color="auto" w:fill="auto"/>
            <w:noWrap/>
            <w:vAlign w:val="center"/>
            <w:hideMark/>
          </w:tcPr>
          <w:p w14:paraId="35E1E662" w14:textId="73BB0DF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6500981" w14:textId="2AA755A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378973C7" w14:textId="484A35A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(680)</w:t>
            </w:r>
          </w:p>
        </w:tc>
        <w:tc>
          <w:tcPr>
            <w:tcW w:w="1134" w:type="dxa"/>
            <w:tcBorders>
              <w:top w:val="dotted" w:sz="4" w:space="0" w:color="auto"/>
              <w:left w:val="nil"/>
              <w:bottom w:val="dotted" w:sz="4" w:space="0" w:color="auto"/>
              <w:right w:val="nil"/>
            </w:tcBorders>
            <w:shd w:val="clear" w:color="auto" w:fill="auto"/>
            <w:noWrap/>
            <w:vAlign w:val="center"/>
            <w:hideMark/>
          </w:tcPr>
          <w:p w14:paraId="2F2B71EF" w14:textId="56C471D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0BEB318" w14:textId="45796FC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1EE96E52" w14:textId="4859686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15.867 </w:t>
            </w:r>
          </w:p>
        </w:tc>
      </w:tr>
      <w:tr w:rsidR="001B79F9" w:rsidRPr="001B79F9" w14:paraId="2088F742"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5952858D"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Peças não incorporáveis a imóveis</w:t>
            </w:r>
          </w:p>
        </w:tc>
        <w:tc>
          <w:tcPr>
            <w:tcW w:w="1134" w:type="dxa"/>
            <w:tcBorders>
              <w:top w:val="dotted" w:sz="4" w:space="0" w:color="auto"/>
              <w:left w:val="nil"/>
              <w:bottom w:val="dotted" w:sz="4" w:space="0" w:color="auto"/>
              <w:right w:val="nil"/>
            </w:tcBorders>
            <w:shd w:val="clear" w:color="auto" w:fill="auto"/>
            <w:noWrap/>
            <w:vAlign w:val="center"/>
            <w:hideMark/>
          </w:tcPr>
          <w:p w14:paraId="4DDA550D" w14:textId="396AF5D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13.440 </w:t>
            </w:r>
          </w:p>
        </w:tc>
        <w:tc>
          <w:tcPr>
            <w:tcW w:w="1134" w:type="dxa"/>
            <w:tcBorders>
              <w:top w:val="dotted" w:sz="4" w:space="0" w:color="auto"/>
              <w:left w:val="nil"/>
              <w:bottom w:val="dotted" w:sz="4" w:space="0" w:color="auto"/>
              <w:right w:val="nil"/>
            </w:tcBorders>
            <w:shd w:val="clear" w:color="auto" w:fill="auto"/>
            <w:noWrap/>
            <w:vAlign w:val="center"/>
            <w:hideMark/>
          </w:tcPr>
          <w:p w14:paraId="4BFDC3F7" w14:textId="0D3E0C9F"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6153B850" w14:textId="08003C9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(448)</w:t>
            </w:r>
          </w:p>
        </w:tc>
        <w:tc>
          <w:tcPr>
            <w:tcW w:w="1134" w:type="dxa"/>
            <w:tcBorders>
              <w:top w:val="dotted" w:sz="4" w:space="0" w:color="auto"/>
              <w:left w:val="nil"/>
              <w:bottom w:val="dotted" w:sz="4" w:space="0" w:color="auto"/>
              <w:right w:val="nil"/>
            </w:tcBorders>
            <w:shd w:val="clear" w:color="auto" w:fill="auto"/>
            <w:noWrap/>
            <w:vAlign w:val="center"/>
            <w:hideMark/>
          </w:tcPr>
          <w:p w14:paraId="63D2D03E" w14:textId="00FED27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98BCC0B" w14:textId="2A3BEFF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12.992 </w:t>
            </w:r>
          </w:p>
        </w:tc>
        <w:tc>
          <w:tcPr>
            <w:tcW w:w="1134" w:type="dxa"/>
            <w:tcBorders>
              <w:top w:val="dotted" w:sz="4" w:space="0" w:color="auto"/>
              <w:left w:val="nil"/>
              <w:bottom w:val="dotted" w:sz="4" w:space="0" w:color="auto"/>
              <w:right w:val="nil"/>
            </w:tcBorders>
            <w:shd w:val="clear" w:color="auto" w:fill="auto"/>
            <w:noWrap/>
            <w:vAlign w:val="center"/>
            <w:hideMark/>
          </w:tcPr>
          <w:p w14:paraId="731F7C96" w14:textId="2CAD18D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9FB8858" w14:textId="4DAB8AB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1AA6990" w14:textId="1FB9219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(336)</w:t>
            </w:r>
          </w:p>
        </w:tc>
        <w:tc>
          <w:tcPr>
            <w:tcW w:w="1134" w:type="dxa"/>
            <w:tcBorders>
              <w:top w:val="dotted" w:sz="4" w:space="0" w:color="auto"/>
              <w:left w:val="nil"/>
              <w:bottom w:val="dotted" w:sz="4" w:space="0" w:color="auto"/>
              <w:right w:val="nil"/>
            </w:tcBorders>
            <w:shd w:val="clear" w:color="auto" w:fill="auto"/>
            <w:noWrap/>
            <w:vAlign w:val="center"/>
            <w:hideMark/>
          </w:tcPr>
          <w:p w14:paraId="61A0B218" w14:textId="3123282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CDD3B6D" w14:textId="2709DC0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7E3DB656" w14:textId="793ECCA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12.656 </w:t>
            </w:r>
          </w:p>
        </w:tc>
      </w:tr>
      <w:tr w:rsidR="001B79F9" w:rsidRPr="001B79F9" w14:paraId="176FBCFA"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418255C0"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e Equipamentos Eletroeletrônicos</w:t>
            </w:r>
          </w:p>
        </w:tc>
        <w:tc>
          <w:tcPr>
            <w:tcW w:w="1134" w:type="dxa"/>
            <w:tcBorders>
              <w:top w:val="dotted" w:sz="4" w:space="0" w:color="auto"/>
              <w:left w:val="nil"/>
              <w:bottom w:val="dotted" w:sz="4" w:space="0" w:color="auto"/>
              <w:right w:val="nil"/>
            </w:tcBorders>
            <w:shd w:val="clear" w:color="auto" w:fill="auto"/>
            <w:noWrap/>
            <w:vAlign w:val="center"/>
            <w:hideMark/>
          </w:tcPr>
          <w:p w14:paraId="4020781F" w14:textId="2776B9B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32.333 </w:t>
            </w:r>
          </w:p>
        </w:tc>
        <w:tc>
          <w:tcPr>
            <w:tcW w:w="1134" w:type="dxa"/>
            <w:tcBorders>
              <w:top w:val="dotted" w:sz="4" w:space="0" w:color="auto"/>
              <w:left w:val="nil"/>
              <w:bottom w:val="dotted" w:sz="4" w:space="0" w:color="auto"/>
              <w:right w:val="nil"/>
            </w:tcBorders>
            <w:shd w:val="clear" w:color="auto" w:fill="auto"/>
            <w:noWrap/>
            <w:vAlign w:val="center"/>
            <w:hideMark/>
          </w:tcPr>
          <w:p w14:paraId="38AD2124" w14:textId="2076F79F"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20</w:t>
            </w:r>
          </w:p>
        </w:tc>
        <w:tc>
          <w:tcPr>
            <w:tcW w:w="1134" w:type="dxa"/>
            <w:tcBorders>
              <w:top w:val="dotted" w:sz="4" w:space="0" w:color="auto"/>
              <w:left w:val="nil"/>
              <w:bottom w:val="dotted" w:sz="4" w:space="0" w:color="auto"/>
              <w:right w:val="nil"/>
            </w:tcBorders>
            <w:shd w:val="clear" w:color="auto" w:fill="auto"/>
            <w:noWrap/>
            <w:vAlign w:val="center"/>
            <w:hideMark/>
          </w:tcPr>
          <w:p w14:paraId="64DD40C9" w14:textId="065FDBD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(19.444)</w:t>
            </w:r>
          </w:p>
        </w:tc>
        <w:tc>
          <w:tcPr>
            <w:tcW w:w="1134" w:type="dxa"/>
            <w:tcBorders>
              <w:top w:val="dotted" w:sz="4" w:space="0" w:color="auto"/>
              <w:left w:val="nil"/>
              <w:bottom w:val="dotted" w:sz="4" w:space="0" w:color="auto"/>
              <w:right w:val="nil"/>
            </w:tcBorders>
            <w:shd w:val="clear" w:color="auto" w:fill="auto"/>
            <w:noWrap/>
            <w:vAlign w:val="center"/>
            <w:hideMark/>
          </w:tcPr>
          <w:p w14:paraId="170B4FA4" w14:textId="2D03B4F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7FAFA48" w14:textId="42C4A02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12.889 </w:t>
            </w:r>
          </w:p>
        </w:tc>
        <w:tc>
          <w:tcPr>
            <w:tcW w:w="1134" w:type="dxa"/>
            <w:tcBorders>
              <w:top w:val="dotted" w:sz="4" w:space="0" w:color="auto"/>
              <w:left w:val="nil"/>
              <w:bottom w:val="dotted" w:sz="4" w:space="0" w:color="auto"/>
              <w:right w:val="nil"/>
            </w:tcBorders>
            <w:shd w:val="clear" w:color="auto" w:fill="auto"/>
            <w:noWrap/>
            <w:vAlign w:val="center"/>
            <w:hideMark/>
          </w:tcPr>
          <w:p w14:paraId="62605C5E" w14:textId="6217036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5C4758A" w14:textId="08D5523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CDDFE7A" w14:textId="3DB0EFF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(808)</w:t>
            </w:r>
          </w:p>
        </w:tc>
        <w:tc>
          <w:tcPr>
            <w:tcW w:w="1134" w:type="dxa"/>
            <w:tcBorders>
              <w:top w:val="dotted" w:sz="4" w:space="0" w:color="auto"/>
              <w:left w:val="nil"/>
              <w:bottom w:val="dotted" w:sz="4" w:space="0" w:color="auto"/>
              <w:right w:val="nil"/>
            </w:tcBorders>
            <w:shd w:val="clear" w:color="auto" w:fill="auto"/>
            <w:noWrap/>
            <w:vAlign w:val="center"/>
            <w:hideMark/>
          </w:tcPr>
          <w:p w14:paraId="6B789C3B" w14:textId="3417DA1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D0E84D7" w14:textId="227D2EA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010AD3E6" w14:textId="7FFE025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12.081 </w:t>
            </w:r>
          </w:p>
        </w:tc>
      </w:tr>
      <w:tr w:rsidR="001B79F9" w:rsidRPr="001B79F9" w14:paraId="784A2B83"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34B192EC"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Utensílios e Equipamentos Diversos</w:t>
            </w:r>
          </w:p>
        </w:tc>
        <w:tc>
          <w:tcPr>
            <w:tcW w:w="1134" w:type="dxa"/>
            <w:tcBorders>
              <w:top w:val="dotted" w:sz="4" w:space="0" w:color="auto"/>
              <w:left w:val="nil"/>
              <w:bottom w:val="dotted" w:sz="4" w:space="0" w:color="auto"/>
              <w:right w:val="nil"/>
            </w:tcBorders>
            <w:shd w:val="clear" w:color="auto" w:fill="auto"/>
            <w:noWrap/>
            <w:vAlign w:val="center"/>
            <w:hideMark/>
          </w:tcPr>
          <w:p w14:paraId="1B5E2D62" w14:textId="2ACC3B1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8.289 </w:t>
            </w:r>
          </w:p>
        </w:tc>
        <w:tc>
          <w:tcPr>
            <w:tcW w:w="1134" w:type="dxa"/>
            <w:tcBorders>
              <w:top w:val="dotted" w:sz="4" w:space="0" w:color="auto"/>
              <w:left w:val="nil"/>
              <w:bottom w:val="dotted" w:sz="4" w:space="0" w:color="auto"/>
              <w:right w:val="nil"/>
            </w:tcBorders>
            <w:shd w:val="clear" w:color="auto" w:fill="auto"/>
            <w:noWrap/>
            <w:vAlign w:val="center"/>
            <w:hideMark/>
          </w:tcPr>
          <w:p w14:paraId="06FFC8EE" w14:textId="0F0649A9"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1DCC16C3" w14:textId="5FECD72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(861)</w:t>
            </w:r>
          </w:p>
        </w:tc>
        <w:tc>
          <w:tcPr>
            <w:tcW w:w="1134" w:type="dxa"/>
            <w:tcBorders>
              <w:top w:val="dotted" w:sz="4" w:space="0" w:color="auto"/>
              <w:left w:val="nil"/>
              <w:bottom w:val="dotted" w:sz="4" w:space="0" w:color="auto"/>
              <w:right w:val="nil"/>
            </w:tcBorders>
            <w:shd w:val="clear" w:color="auto" w:fill="auto"/>
            <w:noWrap/>
            <w:vAlign w:val="center"/>
            <w:hideMark/>
          </w:tcPr>
          <w:p w14:paraId="3991ECD4" w14:textId="3368697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E3742C4" w14:textId="1F56809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7.427 </w:t>
            </w:r>
          </w:p>
        </w:tc>
        <w:tc>
          <w:tcPr>
            <w:tcW w:w="1134" w:type="dxa"/>
            <w:tcBorders>
              <w:top w:val="dotted" w:sz="4" w:space="0" w:color="auto"/>
              <w:left w:val="nil"/>
              <w:bottom w:val="dotted" w:sz="4" w:space="0" w:color="auto"/>
              <w:right w:val="nil"/>
            </w:tcBorders>
            <w:shd w:val="clear" w:color="auto" w:fill="auto"/>
            <w:noWrap/>
            <w:vAlign w:val="center"/>
            <w:hideMark/>
          </w:tcPr>
          <w:p w14:paraId="19092EC6" w14:textId="45D3354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054260B" w14:textId="305DF0B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7442BBF" w14:textId="3A347F5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(191)</w:t>
            </w:r>
          </w:p>
        </w:tc>
        <w:tc>
          <w:tcPr>
            <w:tcW w:w="1134" w:type="dxa"/>
            <w:tcBorders>
              <w:top w:val="dotted" w:sz="4" w:space="0" w:color="auto"/>
              <w:left w:val="nil"/>
              <w:bottom w:val="dotted" w:sz="4" w:space="0" w:color="auto"/>
              <w:right w:val="nil"/>
            </w:tcBorders>
            <w:shd w:val="clear" w:color="auto" w:fill="auto"/>
            <w:noWrap/>
            <w:vAlign w:val="center"/>
            <w:hideMark/>
          </w:tcPr>
          <w:p w14:paraId="5D4EF741" w14:textId="49137EB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97073A5" w14:textId="360D6D0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(662)</w:t>
            </w:r>
          </w:p>
        </w:tc>
        <w:tc>
          <w:tcPr>
            <w:tcW w:w="1134" w:type="dxa"/>
            <w:tcBorders>
              <w:top w:val="dotted" w:sz="4" w:space="0" w:color="auto"/>
              <w:left w:val="nil"/>
              <w:bottom w:val="dotted" w:sz="4" w:space="0" w:color="auto"/>
              <w:right w:val="nil"/>
            </w:tcBorders>
            <w:shd w:val="clear" w:color="auto" w:fill="auto"/>
            <w:noWrap/>
            <w:vAlign w:val="center"/>
            <w:hideMark/>
          </w:tcPr>
          <w:p w14:paraId="2A116486" w14:textId="549C0D2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6.574 </w:t>
            </w:r>
          </w:p>
        </w:tc>
      </w:tr>
      <w:tr w:rsidR="001B79F9" w:rsidRPr="001B79F9" w14:paraId="04442F60"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507441B1"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Aparelhos de Medição e Orientação</w:t>
            </w:r>
          </w:p>
        </w:tc>
        <w:tc>
          <w:tcPr>
            <w:tcW w:w="1134" w:type="dxa"/>
            <w:tcBorders>
              <w:top w:val="dotted" w:sz="4" w:space="0" w:color="auto"/>
              <w:left w:val="nil"/>
              <w:bottom w:val="dotted" w:sz="4" w:space="0" w:color="auto"/>
              <w:right w:val="nil"/>
            </w:tcBorders>
            <w:shd w:val="clear" w:color="auto" w:fill="auto"/>
            <w:noWrap/>
            <w:vAlign w:val="center"/>
            <w:hideMark/>
          </w:tcPr>
          <w:p w14:paraId="1708FBF2" w14:textId="2254912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6.980 </w:t>
            </w:r>
          </w:p>
        </w:tc>
        <w:tc>
          <w:tcPr>
            <w:tcW w:w="1134" w:type="dxa"/>
            <w:tcBorders>
              <w:top w:val="dotted" w:sz="4" w:space="0" w:color="auto"/>
              <w:left w:val="nil"/>
              <w:bottom w:val="dotted" w:sz="4" w:space="0" w:color="auto"/>
              <w:right w:val="nil"/>
            </w:tcBorders>
            <w:shd w:val="clear" w:color="auto" w:fill="auto"/>
            <w:noWrap/>
            <w:vAlign w:val="center"/>
            <w:hideMark/>
          </w:tcPr>
          <w:p w14:paraId="4EB621D2" w14:textId="7F448306"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3C3C43E4" w14:textId="0BDE568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(3.200)</w:t>
            </w:r>
          </w:p>
        </w:tc>
        <w:tc>
          <w:tcPr>
            <w:tcW w:w="1134" w:type="dxa"/>
            <w:tcBorders>
              <w:top w:val="dotted" w:sz="4" w:space="0" w:color="auto"/>
              <w:left w:val="nil"/>
              <w:bottom w:val="dotted" w:sz="4" w:space="0" w:color="auto"/>
              <w:right w:val="nil"/>
            </w:tcBorders>
            <w:shd w:val="clear" w:color="auto" w:fill="auto"/>
            <w:noWrap/>
            <w:vAlign w:val="center"/>
            <w:hideMark/>
          </w:tcPr>
          <w:p w14:paraId="6F054A0E" w14:textId="567B8CD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8F6FF2F" w14:textId="027C5F7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3.780 </w:t>
            </w:r>
          </w:p>
        </w:tc>
        <w:tc>
          <w:tcPr>
            <w:tcW w:w="1134" w:type="dxa"/>
            <w:tcBorders>
              <w:top w:val="dotted" w:sz="4" w:space="0" w:color="auto"/>
              <w:left w:val="nil"/>
              <w:bottom w:val="dotted" w:sz="4" w:space="0" w:color="auto"/>
              <w:right w:val="nil"/>
            </w:tcBorders>
            <w:shd w:val="clear" w:color="auto" w:fill="auto"/>
            <w:noWrap/>
            <w:vAlign w:val="center"/>
            <w:hideMark/>
          </w:tcPr>
          <w:p w14:paraId="76A890E7" w14:textId="5D1C959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3BCBDE29" w14:textId="0609C5A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1716A8A2" w14:textId="1C281BB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(63)</w:t>
            </w:r>
          </w:p>
        </w:tc>
        <w:tc>
          <w:tcPr>
            <w:tcW w:w="1134" w:type="dxa"/>
            <w:tcBorders>
              <w:top w:val="dotted" w:sz="4" w:space="0" w:color="auto"/>
              <w:left w:val="nil"/>
              <w:bottom w:val="dotted" w:sz="4" w:space="0" w:color="auto"/>
              <w:right w:val="nil"/>
            </w:tcBorders>
            <w:shd w:val="clear" w:color="auto" w:fill="auto"/>
            <w:noWrap/>
            <w:vAlign w:val="center"/>
            <w:hideMark/>
          </w:tcPr>
          <w:p w14:paraId="5B500B3E" w14:textId="568FC90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8CC32CD" w14:textId="10923CB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3CC59DD1" w14:textId="5B913A0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3.717 </w:t>
            </w:r>
          </w:p>
        </w:tc>
      </w:tr>
      <w:tr w:rsidR="001B79F9" w:rsidRPr="001B79F9" w14:paraId="6E05D501"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46DA1E30"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Equipamento de Proteção, Segurança e Socorro</w:t>
            </w:r>
          </w:p>
        </w:tc>
        <w:tc>
          <w:tcPr>
            <w:tcW w:w="1134" w:type="dxa"/>
            <w:tcBorders>
              <w:top w:val="dotted" w:sz="4" w:space="0" w:color="auto"/>
              <w:left w:val="nil"/>
              <w:bottom w:val="dotted" w:sz="4" w:space="0" w:color="auto"/>
              <w:right w:val="nil"/>
            </w:tcBorders>
            <w:shd w:val="clear" w:color="auto" w:fill="auto"/>
            <w:noWrap/>
            <w:vAlign w:val="center"/>
            <w:hideMark/>
          </w:tcPr>
          <w:p w14:paraId="38C4E6A3" w14:textId="1BCE2F4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7.943 </w:t>
            </w:r>
          </w:p>
        </w:tc>
        <w:tc>
          <w:tcPr>
            <w:tcW w:w="1134" w:type="dxa"/>
            <w:tcBorders>
              <w:top w:val="dotted" w:sz="4" w:space="0" w:color="auto"/>
              <w:left w:val="nil"/>
              <w:bottom w:val="dotted" w:sz="4" w:space="0" w:color="auto"/>
              <w:right w:val="nil"/>
            </w:tcBorders>
            <w:shd w:val="clear" w:color="auto" w:fill="auto"/>
            <w:noWrap/>
            <w:vAlign w:val="center"/>
            <w:hideMark/>
          </w:tcPr>
          <w:p w14:paraId="74D0D4D4" w14:textId="02638AF3"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0A81AC26" w14:textId="5D80881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(6.794)</w:t>
            </w:r>
          </w:p>
        </w:tc>
        <w:tc>
          <w:tcPr>
            <w:tcW w:w="1134" w:type="dxa"/>
            <w:tcBorders>
              <w:top w:val="dotted" w:sz="4" w:space="0" w:color="auto"/>
              <w:left w:val="nil"/>
              <w:bottom w:val="dotted" w:sz="4" w:space="0" w:color="auto"/>
              <w:right w:val="nil"/>
            </w:tcBorders>
            <w:shd w:val="clear" w:color="auto" w:fill="auto"/>
            <w:noWrap/>
            <w:vAlign w:val="center"/>
            <w:hideMark/>
          </w:tcPr>
          <w:p w14:paraId="2BB5ED45" w14:textId="02F3CE1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D5C4422" w14:textId="2AE66E2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1.149 </w:t>
            </w:r>
          </w:p>
        </w:tc>
        <w:tc>
          <w:tcPr>
            <w:tcW w:w="1134" w:type="dxa"/>
            <w:tcBorders>
              <w:top w:val="dotted" w:sz="4" w:space="0" w:color="auto"/>
              <w:left w:val="nil"/>
              <w:bottom w:val="dotted" w:sz="4" w:space="0" w:color="auto"/>
              <w:right w:val="nil"/>
            </w:tcBorders>
            <w:shd w:val="clear" w:color="auto" w:fill="auto"/>
            <w:noWrap/>
            <w:vAlign w:val="center"/>
            <w:hideMark/>
          </w:tcPr>
          <w:p w14:paraId="57AEC4E9" w14:textId="3357377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6C50286" w14:textId="73293B4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(5.964)</w:t>
            </w:r>
          </w:p>
        </w:tc>
        <w:tc>
          <w:tcPr>
            <w:tcW w:w="1134" w:type="dxa"/>
            <w:tcBorders>
              <w:top w:val="dotted" w:sz="4" w:space="0" w:color="auto"/>
              <w:left w:val="nil"/>
              <w:bottom w:val="dotted" w:sz="4" w:space="0" w:color="auto"/>
              <w:right w:val="nil"/>
            </w:tcBorders>
            <w:shd w:val="clear" w:color="auto" w:fill="auto"/>
            <w:noWrap/>
            <w:vAlign w:val="center"/>
            <w:hideMark/>
          </w:tcPr>
          <w:p w14:paraId="2EFEAD64" w14:textId="51F4716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(199)</w:t>
            </w:r>
          </w:p>
        </w:tc>
        <w:tc>
          <w:tcPr>
            <w:tcW w:w="1134" w:type="dxa"/>
            <w:tcBorders>
              <w:top w:val="dotted" w:sz="4" w:space="0" w:color="auto"/>
              <w:left w:val="nil"/>
              <w:bottom w:val="dotted" w:sz="4" w:space="0" w:color="auto"/>
              <w:right w:val="nil"/>
            </w:tcBorders>
            <w:shd w:val="clear" w:color="auto" w:fill="auto"/>
            <w:noWrap/>
            <w:vAlign w:val="center"/>
            <w:hideMark/>
          </w:tcPr>
          <w:p w14:paraId="7B4E9F94" w14:textId="61F6A78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5.964 </w:t>
            </w:r>
          </w:p>
        </w:tc>
        <w:tc>
          <w:tcPr>
            <w:tcW w:w="1134" w:type="dxa"/>
            <w:tcBorders>
              <w:top w:val="dotted" w:sz="4" w:space="0" w:color="auto"/>
              <w:left w:val="nil"/>
              <w:bottom w:val="dotted" w:sz="4" w:space="0" w:color="auto"/>
              <w:right w:val="nil"/>
            </w:tcBorders>
            <w:shd w:val="clear" w:color="auto" w:fill="auto"/>
            <w:noWrap/>
            <w:vAlign w:val="center"/>
            <w:hideMark/>
          </w:tcPr>
          <w:p w14:paraId="124CF132" w14:textId="0A79755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2CCDCB87" w14:textId="7C1CF19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950 </w:t>
            </w:r>
          </w:p>
        </w:tc>
      </w:tr>
      <w:tr w:rsidR="001B79F9" w:rsidRPr="001B79F9" w14:paraId="509CEA19"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70C974D5"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Veículos em Geral</w:t>
            </w:r>
          </w:p>
        </w:tc>
        <w:tc>
          <w:tcPr>
            <w:tcW w:w="1134" w:type="dxa"/>
            <w:tcBorders>
              <w:top w:val="dotted" w:sz="4" w:space="0" w:color="auto"/>
              <w:left w:val="nil"/>
              <w:bottom w:val="dotted" w:sz="4" w:space="0" w:color="auto"/>
              <w:right w:val="nil"/>
            </w:tcBorders>
            <w:shd w:val="clear" w:color="auto" w:fill="auto"/>
            <w:noWrap/>
            <w:vAlign w:val="center"/>
            <w:hideMark/>
          </w:tcPr>
          <w:p w14:paraId="7B93F7C0" w14:textId="7097E3D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76948200" w14:textId="3FD632DE"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3A4C2094" w14:textId="3944073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58A9ADF" w14:textId="7E705469"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1640CF8" w14:textId="36634E2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76524328" w14:textId="2F92D34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4CE75728" w14:textId="22B9426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6207880C" w14:textId="4EE1DFF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(17)</w:t>
            </w:r>
          </w:p>
        </w:tc>
        <w:tc>
          <w:tcPr>
            <w:tcW w:w="1134" w:type="dxa"/>
            <w:tcBorders>
              <w:top w:val="dotted" w:sz="4" w:space="0" w:color="auto"/>
              <w:left w:val="nil"/>
              <w:bottom w:val="dotted" w:sz="4" w:space="0" w:color="auto"/>
              <w:right w:val="nil"/>
            </w:tcBorders>
            <w:shd w:val="clear" w:color="auto" w:fill="auto"/>
            <w:noWrap/>
            <w:vAlign w:val="center"/>
            <w:hideMark/>
          </w:tcPr>
          <w:p w14:paraId="55FB317D" w14:textId="13663B7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0A66F4A" w14:textId="1E44CBC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662 </w:t>
            </w:r>
          </w:p>
        </w:tc>
        <w:tc>
          <w:tcPr>
            <w:tcW w:w="1134" w:type="dxa"/>
            <w:tcBorders>
              <w:top w:val="dotted" w:sz="4" w:space="0" w:color="auto"/>
              <w:left w:val="nil"/>
              <w:bottom w:val="dotted" w:sz="4" w:space="0" w:color="auto"/>
              <w:right w:val="nil"/>
            </w:tcBorders>
            <w:shd w:val="clear" w:color="auto" w:fill="auto"/>
            <w:noWrap/>
            <w:vAlign w:val="center"/>
            <w:hideMark/>
          </w:tcPr>
          <w:p w14:paraId="2C082C6C" w14:textId="1C61EB1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645 </w:t>
            </w:r>
          </w:p>
        </w:tc>
      </w:tr>
      <w:tr w:rsidR="001B79F9" w:rsidRPr="001B79F9" w14:paraId="58B1939D"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2ECDAA22"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Obras de Arte e Peças para Exposição</w:t>
            </w:r>
          </w:p>
        </w:tc>
        <w:tc>
          <w:tcPr>
            <w:tcW w:w="1134" w:type="dxa"/>
            <w:tcBorders>
              <w:top w:val="dotted" w:sz="4" w:space="0" w:color="auto"/>
              <w:left w:val="nil"/>
              <w:bottom w:val="dotted" w:sz="4" w:space="0" w:color="auto"/>
              <w:right w:val="nil"/>
            </w:tcBorders>
            <w:shd w:val="clear" w:color="auto" w:fill="auto"/>
            <w:noWrap/>
            <w:vAlign w:val="center"/>
            <w:hideMark/>
          </w:tcPr>
          <w:p w14:paraId="2304A728" w14:textId="791C9A4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499 </w:t>
            </w:r>
          </w:p>
        </w:tc>
        <w:tc>
          <w:tcPr>
            <w:tcW w:w="1134" w:type="dxa"/>
            <w:tcBorders>
              <w:top w:val="dotted" w:sz="4" w:space="0" w:color="auto"/>
              <w:left w:val="nil"/>
              <w:bottom w:val="dotted" w:sz="4" w:space="0" w:color="auto"/>
              <w:right w:val="nil"/>
            </w:tcBorders>
            <w:shd w:val="clear" w:color="auto" w:fill="auto"/>
            <w:noWrap/>
            <w:vAlign w:val="center"/>
            <w:hideMark/>
          </w:tcPr>
          <w:p w14:paraId="048D63FB" w14:textId="176A3709"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3F413B5F" w14:textId="6344B00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448F8547" w14:textId="5639C16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50F8BF7F" w14:textId="41761C8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499 </w:t>
            </w:r>
          </w:p>
        </w:tc>
        <w:tc>
          <w:tcPr>
            <w:tcW w:w="1134" w:type="dxa"/>
            <w:tcBorders>
              <w:top w:val="dotted" w:sz="4" w:space="0" w:color="auto"/>
              <w:left w:val="nil"/>
              <w:bottom w:val="dotted" w:sz="4" w:space="0" w:color="auto"/>
              <w:right w:val="nil"/>
            </w:tcBorders>
            <w:shd w:val="clear" w:color="auto" w:fill="auto"/>
            <w:noWrap/>
            <w:vAlign w:val="center"/>
            <w:hideMark/>
          </w:tcPr>
          <w:p w14:paraId="71D748A5" w14:textId="0297796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B0AD627" w14:textId="1CFF92C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19C68BE2" w14:textId="6FB5C37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0F11E5D" w14:textId="7107619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6D26B7A4" w14:textId="2E72353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015FF11D" w14:textId="7F96700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499 </w:t>
            </w:r>
          </w:p>
        </w:tc>
      </w:tr>
      <w:tr w:rsidR="001B79F9" w:rsidRPr="001B79F9" w14:paraId="768B0139"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2F78E313"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e Equipamentos Gráficos</w:t>
            </w:r>
          </w:p>
        </w:tc>
        <w:tc>
          <w:tcPr>
            <w:tcW w:w="1134" w:type="dxa"/>
            <w:tcBorders>
              <w:top w:val="dotted" w:sz="4" w:space="0" w:color="auto"/>
              <w:left w:val="nil"/>
              <w:bottom w:val="dotted" w:sz="4" w:space="0" w:color="auto"/>
              <w:right w:val="nil"/>
            </w:tcBorders>
            <w:shd w:val="clear" w:color="auto" w:fill="auto"/>
            <w:noWrap/>
            <w:vAlign w:val="center"/>
            <w:hideMark/>
          </w:tcPr>
          <w:p w14:paraId="4BAC2A91" w14:textId="3E44B58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780 </w:t>
            </w:r>
          </w:p>
        </w:tc>
        <w:tc>
          <w:tcPr>
            <w:tcW w:w="1134" w:type="dxa"/>
            <w:tcBorders>
              <w:top w:val="dotted" w:sz="4" w:space="0" w:color="auto"/>
              <w:left w:val="nil"/>
              <w:bottom w:val="dotted" w:sz="4" w:space="0" w:color="auto"/>
              <w:right w:val="nil"/>
            </w:tcBorders>
            <w:shd w:val="clear" w:color="auto" w:fill="auto"/>
            <w:noWrap/>
            <w:vAlign w:val="center"/>
            <w:hideMark/>
          </w:tcPr>
          <w:p w14:paraId="26E9CE46" w14:textId="60CE0A37"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729B25D9" w14:textId="4095EF2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(469)</w:t>
            </w:r>
          </w:p>
        </w:tc>
        <w:tc>
          <w:tcPr>
            <w:tcW w:w="1134" w:type="dxa"/>
            <w:tcBorders>
              <w:top w:val="dotted" w:sz="4" w:space="0" w:color="auto"/>
              <w:left w:val="nil"/>
              <w:bottom w:val="dotted" w:sz="4" w:space="0" w:color="auto"/>
              <w:right w:val="nil"/>
            </w:tcBorders>
            <w:shd w:val="clear" w:color="auto" w:fill="auto"/>
            <w:noWrap/>
            <w:vAlign w:val="center"/>
            <w:hideMark/>
          </w:tcPr>
          <w:p w14:paraId="4507EE8B" w14:textId="289416A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5C5715F3" w14:textId="39D5517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311 </w:t>
            </w:r>
          </w:p>
        </w:tc>
        <w:tc>
          <w:tcPr>
            <w:tcW w:w="1134" w:type="dxa"/>
            <w:tcBorders>
              <w:top w:val="dotted" w:sz="4" w:space="0" w:color="auto"/>
              <w:left w:val="nil"/>
              <w:bottom w:val="dotted" w:sz="4" w:space="0" w:color="auto"/>
              <w:right w:val="nil"/>
            </w:tcBorders>
            <w:shd w:val="clear" w:color="auto" w:fill="auto"/>
            <w:noWrap/>
            <w:vAlign w:val="center"/>
            <w:hideMark/>
          </w:tcPr>
          <w:p w14:paraId="13F1E1BF" w14:textId="419903A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416E2764" w14:textId="4838B90B"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39E9FA59" w14:textId="4DFCA18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(19)</w:t>
            </w:r>
          </w:p>
        </w:tc>
        <w:tc>
          <w:tcPr>
            <w:tcW w:w="1134" w:type="dxa"/>
            <w:tcBorders>
              <w:top w:val="dotted" w:sz="4" w:space="0" w:color="auto"/>
              <w:left w:val="nil"/>
              <w:bottom w:val="dotted" w:sz="4" w:space="0" w:color="auto"/>
              <w:right w:val="nil"/>
            </w:tcBorders>
            <w:shd w:val="clear" w:color="auto" w:fill="auto"/>
            <w:noWrap/>
            <w:vAlign w:val="center"/>
            <w:hideMark/>
          </w:tcPr>
          <w:p w14:paraId="60360C0F" w14:textId="175EDB4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4799297" w14:textId="30D10E5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16F956FE" w14:textId="03DD67D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292 </w:t>
            </w:r>
          </w:p>
        </w:tc>
      </w:tr>
      <w:tr w:rsidR="001B79F9" w:rsidRPr="001B79F9" w14:paraId="09C238A1"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4DBAD554"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Aparelhos e Utensílios Domésticos </w:t>
            </w:r>
          </w:p>
        </w:tc>
        <w:tc>
          <w:tcPr>
            <w:tcW w:w="1134" w:type="dxa"/>
            <w:tcBorders>
              <w:top w:val="dotted" w:sz="4" w:space="0" w:color="auto"/>
              <w:left w:val="nil"/>
              <w:bottom w:val="dotted" w:sz="4" w:space="0" w:color="auto"/>
              <w:right w:val="nil"/>
            </w:tcBorders>
            <w:shd w:val="clear" w:color="auto" w:fill="auto"/>
            <w:noWrap/>
            <w:vAlign w:val="center"/>
            <w:hideMark/>
          </w:tcPr>
          <w:p w14:paraId="1396C778" w14:textId="45370E2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34.846 </w:t>
            </w:r>
          </w:p>
        </w:tc>
        <w:tc>
          <w:tcPr>
            <w:tcW w:w="1134" w:type="dxa"/>
            <w:tcBorders>
              <w:top w:val="dotted" w:sz="4" w:space="0" w:color="auto"/>
              <w:left w:val="nil"/>
              <w:bottom w:val="dotted" w:sz="4" w:space="0" w:color="auto"/>
              <w:right w:val="nil"/>
            </w:tcBorders>
            <w:shd w:val="clear" w:color="auto" w:fill="auto"/>
            <w:noWrap/>
            <w:vAlign w:val="center"/>
            <w:hideMark/>
          </w:tcPr>
          <w:p w14:paraId="1A6EF2CE" w14:textId="5B6AD7CA"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2D6582C2" w14:textId="42EAF31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(34.127)</w:t>
            </w:r>
          </w:p>
        </w:tc>
        <w:tc>
          <w:tcPr>
            <w:tcW w:w="1134" w:type="dxa"/>
            <w:tcBorders>
              <w:top w:val="dotted" w:sz="4" w:space="0" w:color="auto"/>
              <w:left w:val="nil"/>
              <w:bottom w:val="dotted" w:sz="4" w:space="0" w:color="auto"/>
              <w:right w:val="nil"/>
            </w:tcBorders>
            <w:shd w:val="clear" w:color="auto" w:fill="auto"/>
            <w:noWrap/>
            <w:vAlign w:val="center"/>
            <w:hideMark/>
          </w:tcPr>
          <w:p w14:paraId="2A560F9D" w14:textId="37C6D3B6"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42A1CA49" w14:textId="1521B3E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720 </w:t>
            </w:r>
          </w:p>
        </w:tc>
        <w:tc>
          <w:tcPr>
            <w:tcW w:w="1134" w:type="dxa"/>
            <w:tcBorders>
              <w:top w:val="dotted" w:sz="4" w:space="0" w:color="auto"/>
              <w:left w:val="nil"/>
              <w:bottom w:val="dotted" w:sz="4" w:space="0" w:color="auto"/>
              <w:right w:val="nil"/>
            </w:tcBorders>
            <w:shd w:val="clear" w:color="auto" w:fill="auto"/>
            <w:noWrap/>
            <w:vAlign w:val="center"/>
            <w:hideMark/>
          </w:tcPr>
          <w:p w14:paraId="53DA1A9A" w14:textId="73D947A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713B55BE" w14:textId="04C17D05"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(7.342)</w:t>
            </w:r>
          </w:p>
        </w:tc>
        <w:tc>
          <w:tcPr>
            <w:tcW w:w="1134" w:type="dxa"/>
            <w:tcBorders>
              <w:top w:val="dotted" w:sz="4" w:space="0" w:color="auto"/>
              <w:left w:val="nil"/>
              <w:bottom w:val="dotted" w:sz="4" w:space="0" w:color="auto"/>
              <w:right w:val="nil"/>
            </w:tcBorders>
            <w:shd w:val="clear" w:color="auto" w:fill="auto"/>
            <w:noWrap/>
            <w:vAlign w:val="center"/>
            <w:hideMark/>
          </w:tcPr>
          <w:p w14:paraId="0C554506" w14:textId="179AD82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(720)</w:t>
            </w:r>
          </w:p>
        </w:tc>
        <w:tc>
          <w:tcPr>
            <w:tcW w:w="1134" w:type="dxa"/>
            <w:tcBorders>
              <w:top w:val="dotted" w:sz="4" w:space="0" w:color="auto"/>
              <w:left w:val="nil"/>
              <w:bottom w:val="dotted" w:sz="4" w:space="0" w:color="auto"/>
              <w:right w:val="nil"/>
            </w:tcBorders>
            <w:shd w:val="clear" w:color="auto" w:fill="auto"/>
            <w:noWrap/>
            <w:vAlign w:val="center"/>
            <w:hideMark/>
          </w:tcPr>
          <w:p w14:paraId="3E45B958" w14:textId="10341E5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7.342 </w:t>
            </w:r>
          </w:p>
        </w:tc>
        <w:tc>
          <w:tcPr>
            <w:tcW w:w="1134" w:type="dxa"/>
            <w:tcBorders>
              <w:top w:val="dotted" w:sz="4" w:space="0" w:color="auto"/>
              <w:left w:val="nil"/>
              <w:bottom w:val="dotted" w:sz="4" w:space="0" w:color="auto"/>
              <w:right w:val="nil"/>
            </w:tcBorders>
            <w:shd w:val="clear" w:color="auto" w:fill="auto"/>
            <w:noWrap/>
            <w:vAlign w:val="center"/>
            <w:hideMark/>
          </w:tcPr>
          <w:p w14:paraId="13E4275C" w14:textId="730001E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32C6A55A" w14:textId="7397246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r>
      <w:tr w:rsidR="001B79F9" w:rsidRPr="001B79F9" w14:paraId="7B1478A1" w14:textId="77777777" w:rsidTr="0030655D">
        <w:trPr>
          <w:trHeight w:val="227"/>
        </w:trPr>
        <w:tc>
          <w:tcPr>
            <w:tcW w:w="3265" w:type="dxa"/>
            <w:tcBorders>
              <w:top w:val="dotted" w:sz="4" w:space="0" w:color="auto"/>
              <w:left w:val="nil"/>
              <w:bottom w:val="dotted" w:sz="4" w:space="0" w:color="auto"/>
              <w:right w:val="nil"/>
            </w:tcBorders>
            <w:shd w:val="clear" w:color="auto" w:fill="auto"/>
            <w:noWrap/>
            <w:vAlign w:val="center"/>
            <w:hideMark/>
          </w:tcPr>
          <w:p w14:paraId="7B031E2D"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Máquinas e Equipamentos Energéticos</w:t>
            </w:r>
          </w:p>
        </w:tc>
        <w:tc>
          <w:tcPr>
            <w:tcW w:w="1134" w:type="dxa"/>
            <w:tcBorders>
              <w:top w:val="dotted" w:sz="4" w:space="0" w:color="auto"/>
              <w:left w:val="nil"/>
              <w:bottom w:val="dotted" w:sz="4" w:space="0" w:color="auto"/>
              <w:right w:val="nil"/>
            </w:tcBorders>
            <w:shd w:val="clear" w:color="auto" w:fill="auto"/>
            <w:noWrap/>
            <w:vAlign w:val="center"/>
            <w:hideMark/>
          </w:tcPr>
          <w:p w14:paraId="41A98C33" w14:textId="3445950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1.968.294 </w:t>
            </w:r>
          </w:p>
        </w:tc>
        <w:tc>
          <w:tcPr>
            <w:tcW w:w="1134" w:type="dxa"/>
            <w:tcBorders>
              <w:top w:val="dotted" w:sz="4" w:space="0" w:color="auto"/>
              <w:left w:val="nil"/>
              <w:bottom w:val="dotted" w:sz="4" w:space="0" w:color="auto"/>
              <w:right w:val="nil"/>
            </w:tcBorders>
            <w:shd w:val="clear" w:color="auto" w:fill="auto"/>
            <w:noWrap/>
            <w:vAlign w:val="center"/>
            <w:hideMark/>
          </w:tcPr>
          <w:p w14:paraId="20745114" w14:textId="2CE54B3B"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10</w:t>
            </w:r>
          </w:p>
        </w:tc>
        <w:tc>
          <w:tcPr>
            <w:tcW w:w="1134" w:type="dxa"/>
            <w:tcBorders>
              <w:top w:val="dotted" w:sz="4" w:space="0" w:color="auto"/>
              <w:left w:val="nil"/>
              <w:bottom w:val="dotted" w:sz="4" w:space="0" w:color="auto"/>
              <w:right w:val="nil"/>
            </w:tcBorders>
            <w:shd w:val="clear" w:color="auto" w:fill="auto"/>
            <w:noWrap/>
            <w:vAlign w:val="center"/>
            <w:hideMark/>
          </w:tcPr>
          <w:p w14:paraId="295729DC" w14:textId="3300EDF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(1.968.294)</w:t>
            </w:r>
          </w:p>
        </w:tc>
        <w:tc>
          <w:tcPr>
            <w:tcW w:w="1134" w:type="dxa"/>
            <w:tcBorders>
              <w:top w:val="dotted" w:sz="4" w:space="0" w:color="auto"/>
              <w:left w:val="nil"/>
              <w:bottom w:val="dotted" w:sz="4" w:space="0" w:color="auto"/>
              <w:right w:val="nil"/>
            </w:tcBorders>
            <w:shd w:val="clear" w:color="auto" w:fill="auto"/>
            <w:noWrap/>
            <w:vAlign w:val="center"/>
            <w:hideMark/>
          </w:tcPr>
          <w:p w14:paraId="0FED9C3D" w14:textId="339ECB47"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298F964B" w14:textId="25C55BA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048595B0" w14:textId="6B9A1C1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13CC3DA2" w14:textId="5EC348C1"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1D652846" w14:textId="03891E1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4CC6D6A7" w14:textId="29FB848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dotted" w:sz="4" w:space="0" w:color="auto"/>
              <w:right w:val="nil"/>
            </w:tcBorders>
            <w:shd w:val="clear" w:color="auto" w:fill="auto"/>
            <w:noWrap/>
            <w:vAlign w:val="center"/>
            <w:hideMark/>
          </w:tcPr>
          <w:p w14:paraId="03259A9D" w14:textId="365CFCFC"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dotted" w:sz="4" w:space="0" w:color="auto"/>
              <w:right w:val="nil"/>
            </w:tcBorders>
            <w:shd w:val="clear" w:color="auto" w:fill="auto"/>
            <w:noWrap/>
            <w:vAlign w:val="center"/>
            <w:hideMark/>
          </w:tcPr>
          <w:p w14:paraId="54A9399F" w14:textId="1F715714"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r>
      <w:tr w:rsidR="001B79F9" w:rsidRPr="001B79F9" w14:paraId="38FF1A5C" w14:textId="77777777" w:rsidTr="0030655D">
        <w:trPr>
          <w:trHeight w:val="227"/>
        </w:trPr>
        <w:tc>
          <w:tcPr>
            <w:tcW w:w="3265" w:type="dxa"/>
            <w:tcBorders>
              <w:top w:val="dotted" w:sz="4" w:space="0" w:color="auto"/>
              <w:left w:val="nil"/>
              <w:bottom w:val="nil"/>
              <w:right w:val="nil"/>
            </w:tcBorders>
            <w:shd w:val="clear" w:color="auto" w:fill="auto"/>
            <w:noWrap/>
            <w:vAlign w:val="center"/>
            <w:hideMark/>
          </w:tcPr>
          <w:p w14:paraId="5B64B099" w14:textId="77777777" w:rsidR="001B79F9" w:rsidRPr="001B79F9" w:rsidRDefault="001B79F9" w:rsidP="001B79F9">
            <w:pPr>
              <w:spacing w:after="0" w:line="240" w:lineRule="auto"/>
              <w:rPr>
                <w:rFonts w:ascii="Calibri" w:eastAsia="Times New Roman" w:hAnsi="Calibri" w:cs="Calibri"/>
                <w:color w:val="000000"/>
                <w:sz w:val="16"/>
                <w:szCs w:val="16"/>
              </w:rPr>
            </w:pPr>
            <w:r w:rsidRPr="001B79F9">
              <w:rPr>
                <w:rFonts w:ascii="Calibri" w:eastAsia="Times New Roman" w:hAnsi="Calibri" w:cs="Calibri"/>
                <w:color w:val="000000"/>
                <w:sz w:val="16"/>
                <w:szCs w:val="16"/>
              </w:rPr>
              <w:t>Coleções e Materiais Bibliográficos</w:t>
            </w:r>
          </w:p>
        </w:tc>
        <w:tc>
          <w:tcPr>
            <w:tcW w:w="1134" w:type="dxa"/>
            <w:tcBorders>
              <w:top w:val="dotted" w:sz="4" w:space="0" w:color="auto"/>
              <w:left w:val="nil"/>
              <w:bottom w:val="nil"/>
              <w:right w:val="nil"/>
            </w:tcBorders>
            <w:shd w:val="clear" w:color="auto" w:fill="auto"/>
            <w:noWrap/>
            <w:vAlign w:val="center"/>
            <w:hideMark/>
          </w:tcPr>
          <w:p w14:paraId="40D7BE04" w14:textId="7AC0A1D0"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25.959 </w:t>
            </w:r>
          </w:p>
        </w:tc>
        <w:tc>
          <w:tcPr>
            <w:tcW w:w="1134" w:type="dxa"/>
            <w:tcBorders>
              <w:top w:val="dotted" w:sz="4" w:space="0" w:color="auto"/>
              <w:left w:val="nil"/>
              <w:bottom w:val="nil"/>
              <w:right w:val="nil"/>
            </w:tcBorders>
            <w:shd w:val="clear" w:color="auto" w:fill="auto"/>
            <w:noWrap/>
            <w:vAlign w:val="center"/>
            <w:hideMark/>
          </w:tcPr>
          <w:p w14:paraId="2FA17087" w14:textId="7383F105" w:rsidR="001B79F9" w:rsidRPr="001B79F9" w:rsidRDefault="001B79F9" w:rsidP="0030655D">
            <w:pPr>
              <w:spacing w:after="0" w:line="240" w:lineRule="auto"/>
              <w:jc w:val="center"/>
              <w:rPr>
                <w:rFonts w:ascii="Calibri" w:eastAsia="Times New Roman" w:hAnsi="Calibri" w:cs="Calibri"/>
                <w:color w:val="000000"/>
                <w:sz w:val="16"/>
                <w:szCs w:val="16"/>
              </w:rPr>
            </w:pPr>
            <w:r w:rsidRPr="001B79F9">
              <w:rPr>
                <w:rFonts w:ascii="Calibri" w:eastAsia="Times New Roman" w:hAnsi="Calibri" w:cs="Calibri"/>
                <w:color w:val="000000"/>
                <w:sz w:val="16"/>
                <w:szCs w:val="16"/>
              </w:rPr>
              <w:t>20</w:t>
            </w:r>
          </w:p>
        </w:tc>
        <w:tc>
          <w:tcPr>
            <w:tcW w:w="1134" w:type="dxa"/>
            <w:tcBorders>
              <w:top w:val="dotted" w:sz="4" w:space="0" w:color="auto"/>
              <w:left w:val="nil"/>
              <w:bottom w:val="nil"/>
              <w:right w:val="nil"/>
            </w:tcBorders>
            <w:shd w:val="clear" w:color="auto" w:fill="auto"/>
            <w:noWrap/>
            <w:vAlign w:val="center"/>
            <w:hideMark/>
          </w:tcPr>
          <w:p w14:paraId="5F66B30C" w14:textId="4E58D16F"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(25.888)</w:t>
            </w:r>
          </w:p>
        </w:tc>
        <w:tc>
          <w:tcPr>
            <w:tcW w:w="1134" w:type="dxa"/>
            <w:tcBorders>
              <w:top w:val="dotted" w:sz="4" w:space="0" w:color="auto"/>
              <w:left w:val="nil"/>
              <w:bottom w:val="nil"/>
              <w:right w:val="nil"/>
            </w:tcBorders>
            <w:shd w:val="clear" w:color="auto" w:fill="auto"/>
            <w:noWrap/>
            <w:vAlign w:val="center"/>
            <w:hideMark/>
          </w:tcPr>
          <w:p w14:paraId="01EFC28F" w14:textId="2C18A19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nil"/>
              <w:right w:val="nil"/>
            </w:tcBorders>
            <w:shd w:val="clear" w:color="auto" w:fill="auto"/>
            <w:noWrap/>
            <w:vAlign w:val="center"/>
            <w:hideMark/>
          </w:tcPr>
          <w:p w14:paraId="66078A57" w14:textId="26E4D02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71 </w:t>
            </w:r>
          </w:p>
        </w:tc>
        <w:tc>
          <w:tcPr>
            <w:tcW w:w="1134" w:type="dxa"/>
            <w:tcBorders>
              <w:top w:val="dotted" w:sz="4" w:space="0" w:color="auto"/>
              <w:left w:val="nil"/>
              <w:bottom w:val="nil"/>
              <w:right w:val="nil"/>
            </w:tcBorders>
            <w:shd w:val="clear" w:color="auto" w:fill="auto"/>
            <w:noWrap/>
            <w:vAlign w:val="center"/>
            <w:hideMark/>
          </w:tcPr>
          <w:p w14:paraId="4A5313C2" w14:textId="406F8E78"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nil"/>
              <w:right w:val="nil"/>
            </w:tcBorders>
            <w:shd w:val="clear" w:color="auto" w:fill="auto"/>
            <w:noWrap/>
            <w:vAlign w:val="center"/>
            <w:hideMark/>
          </w:tcPr>
          <w:p w14:paraId="7029D663" w14:textId="6EB18F1D"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w:t>
            </w:r>
          </w:p>
        </w:tc>
        <w:tc>
          <w:tcPr>
            <w:tcW w:w="1134" w:type="dxa"/>
            <w:tcBorders>
              <w:top w:val="dotted" w:sz="4" w:space="0" w:color="auto"/>
              <w:left w:val="nil"/>
              <w:bottom w:val="nil"/>
              <w:right w:val="nil"/>
            </w:tcBorders>
            <w:shd w:val="clear" w:color="auto" w:fill="auto"/>
            <w:noWrap/>
            <w:vAlign w:val="center"/>
            <w:hideMark/>
          </w:tcPr>
          <w:p w14:paraId="101276CC" w14:textId="72CED67A"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(71)</w:t>
            </w:r>
          </w:p>
        </w:tc>
        <w:tc>
          <w:tcPr>
            <w:tcW w:w="1134" w:type="dxa"/>
            <w:tcBorders>
              <w:top w:val="dotted" w:sz="4" w:space="0" w:color="auto"/>
              <w:left w:val="nil"/>
              <w:bottom w:val="nil"/>
              <w:right w:val="nil"/>
            </w:tcBorders>
            <w:shd w:val="clear" w:color="auto" w:fill="auto"/>
            <w:noWrap/>
            <w:vAlign w:val="center"/>
            <w:hideMark/>
          </w:tcPr>
          <w:p w14:paraId="2F643A11" w14:textId="53EB5213"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 </w:t>
            </w:r>
          </w:p>
        </w:tc>
        <w:tc>
          <w:tcPr>
            <w:tcW w:w="1134" w:type="dxa"/>
            <w:tcBorders>
              <w:top w:val="dotted" w:sz="4" w:space="0" w:color="auto"/>
              <w:left w:val="nil"/>
              <w:bottom w:val="nil"/>
              <w:right w:val="nil"/>
            </w:tcBorders>
            <w:shd w:val="clear" w:color="auto" w:fill="auto"/>
            <w:noWrap/>
            <w:vAlign w:val="center"/>
            <w:hideMark/>
          </w:tcPr>
          <w:p w14:paraId="33145C5E" w14:textId="4A90F6BE"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c>
          <w:tcPr>
            <w:tcW w:w="1134" w:type="dxa"/>
            <w:tcBorders>
              <w:top w:val="dotted" w:sz="4" w:space="0" w:color="auto"/>
              <w:left w:val="nil"/>
              <w:bottom w:val="nil"/>
              <w:right w:val="nil"/>
            </w:tcBorders>
            <w:shd w:val="clear" w:color="auto" w:fill="auto"/>
            <w:noWrap/>
            <w:vAlign w:val="center"/>
            <w:hideMark/>
          </w:tcPr>
          <w:p w14:paraId="2F2852D9" w14:textId="675D08A2" w:rsidR="001B79F9" w:rsidRPr="001B79F9" w:rsidRDefault="001B79F9" w:rsidP="001B79F9">
            <w:pPr>
              <w:spacing w:after="0" w:line="240" w:lineRule="auto"/>
              <w:jc w:val="right"/>
              <w:rPr>
                <w:rFonts w:ascii="Calibri" w:eastAsia="Times New Roman" w:hAnsi="Calibri" w:cs="Calibri"/>
                <w:color w:val="000000"/>
                <w:sz w:val="16"/>
                <w:szCs w:val="16"/>
              </w:rPr>
            </w:pPr>
            <w:r w:rsidRPr="001B79F9">
              <w:rPr>
                <w:rFonts w:ascii="Calibri" w:eastAsia="Times New Roman" w:hAnsi="Calibri" w:cs="Calibri"/>
                <w:color w:val="000000"/>
                <w:sz w:val="16"/>
                <w:szCs w:val="16"/>
              </w:rPr>
              <w:t xml:space="preserve">- </w:t>
            </w:r>
          </w:p>
        </w:tc>
      </w:tr>
      <w:tr w:rsidR="001B79F9" w:rsidRPr="001B79F9" w14:paraId="106A1531" w14:textId="77777777" w:rsidTr="0030655D">
        <w:trPr>
          <w:trHeight w:val="227"/>
        </w:trPr>
        <w:tc>
          <w:tcPr>
            <w:tcW w:w="3265" w:type="dxa"/>
            <w:tcBorders>
              <w:top w:val="single" w:sz="8" w:space="0" w:color="auto"/>
              <w:left w:val="nil"/>
              <w:bottom w:val="single" w:sz="8" w:space="0" w:color="auto"/>
              <w:right w:val="nil"/>
            </w:tcBorders>
            <w:shd w:val="clear" w:color="000000" w:fill="DEEAF6"/>
            <w:noWrap/>
            <w:vAlign w:val="center"/>
            <w:hideMark/>
          </w:tcPr>
          <w:p w14:paraId="2DA318DC" w14:textId="77777777" w:rsidR="001B79F9" w:rsidRPr="001B79F9" w:rsidRDefault="001B79F9" w:rsidP="001B79F9">
            <w:pPr>
              <w:spacing w:after="0" w:line="240" w:lineRule="auto"/>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Total dos bens móveis</w:t>
            </w:r>
          </w:p>
        </w:tc>
        <w:tc>
          <w:tcPr>
            <w:tcW w:w="1134" w:type="dxa"/>
            <w:tcBorders>
              <w:top w:val="single" w:sz="8" w:space="0" w:color="auto"/>
              <w:left w:val="nil"/>
              <w:bottom w:val="single" w:sz="8" w:space="0" w:color="auto"/>
              <w:right w:val="nil"/>
            </w:tcBorders>
            <w:shd w:val="clear" w:color="000000" w:fill="DEEAF6"/>
            <w:noWrap/>
            <w:vAlign w:val="center"/>
            <w:hideMark/>
          </w:tcPr>
          <w:p w14:paraId="64FD76CD" w14:textId="4CCF7803"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 52.286.864 </w:t>
            </w:r>
          </w:p>
        </w:tc>
        <w:tc>
          <w:tcPr>
            <w:tcW w:w="1134" w:type="dxa"/>
            <w:tcBorders>
              <w:top w:val="single" w:sz="8" w:space="0" w:color="auto"/>
              <w:left w:val="nil"/>
              <w:bottom w:val="single" w:sz="8" w:space="0" w:color="auto"/>
              <w:right w:val="nil"/>
            </w:tcBorders>
            <w:shd w:val="clear" w:color="000000" w:fill="DEEAF6"/>
            <w:noWrap/>
            <w:vAlign w:val="center"/>
            <w:hideMark/>
          </w:tcPr>
          <w:p w14:paraId="6AC3903B" w14:textId="02C00B8A" w:rsidR="001B79F9" w:rsidRPr="001B79F9" w:rsidRDefault="001B79F9" w:rsidP="0030655D">
            <w:pPr>
              <w:spacing w:after="0" w:line="240" w:lineRule="auto"/>
              <w:jc w:val="center"/>
              <w:rPr>
                <w:rFonts w:ascii="Calibri" w:eastAsia="Times New Roman" w:hAnsi="Calibri" w:cs="Calibri"/>
                <w:b/>
                <w:bCs/>
                <w:color w:val="000000"/>
                <w:sz w:val="16"/>
                <w:szCs w:val="16"/>
              </w:rPr>
            </w:pPr>
          </w:p>
        </w:tc>
        <w:tc>
          <w:tcPr>
            <w:tcW w:w="1134" w:type="dxa"/>
            <w:tcBorders>
              <w:top w:val="single" w:sz="8" w:space="0" w:color="auto"/>
              <w:left w:val="nil"/>
              <w:bottom w:val="single" w:sz="8" w:space="0" w:color="auto"/>
              <w:right w:val="nil"/>
            </w:tcBorders>
            <w:shd w:val="clear" w:color="000000" w:fill="DEEAF6"/>
            <w:noWrap/>
            <w:vAlign w:val="center"/>
            <w:hideMark/>
          </w:tcPr>
          <w:p w14:paraId="6B8107A4" w14:textId="5DA280DD"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(46.136.109)</w:t>
            </w:r>
          </w:p>
        </w:tc>
        <w:tc>
          <w:tcPr>
            <w:tcW w:w="1134" w:type="dxa"/>
            <w:tcBorders>
              <w:top w:val="single" w:sz="8" w:space="0" w:color="auto"/>
              <w:left w:val="nil"/>
              <w:bottom w:val="single" w:sz="8" w:space="0" w:color="auto"/>
              <w:right w:val="nil"/>
            </w:tcBorders>
            <w:shd w:val="clear" w:color="000000" w:fill="DEEAF6"/>
            <w:noWrap/>
            <w:vAlign w:val="center"/>
            <w:hideMark/>
          </w:tcPr>
          <w:p w14:paraId="500F011C" w14:textId="6F217531"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 (18.503)</w:t>
            </w:r>
          </w:p>
        </w:tc>
        <w:tc>
          <w:tcPr>
            <w:tcW w:w="1134" w:type="dxa"/>
            <w:tcBorders>
              <w:top w:val="single" w:sz="8" w:space="0" w:color="auto"/>
              <w:left w:val="nil"/>
              <w:bottom w:val="single" w:sz="8" w:space="0" w:color="auto"/>
              <w:right w:val="nil"/>
            </w:tcBorders>
            <w:shd w:val="clear" w:color="000000" w:fill="DEEAF6"/>
            <w:noWrap/>
            <w:vAlign w:val="center"/>
            <w:hideMark/>
          </w:tcPr>
          <w:p w14:paraId="6AAA639D" w14:textId="014732B3"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6.132.252 </w:t>
            </w:r>
          </w:p>
        </w:tc>
        <w:tc>
          <w:tcPr>
            <w:tcW w:w="1134" w:type="dxa"/>
            <w:tcBorders>
              <w:top w:val="single" w:sz="8" w:space="0" w:color="auto"/>
              <w:left w:val="nil"/>
              <w:bottom w:val="single" w:sz="8" w:space="0" w:color="auto"/>
              <w:right w:val="nil"/>
            </w:tcBorders>
            <w:shd w:val="clear" w:color="000000" w:fill="DEEAF6"/>
            <w:noWrap/>
            <w:vAlign w:val="center"/>
            <w:hideMark/>
          </w:tcPr>
          <w:p w14:paraId="25BC7313" w14:textId="01C93872"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 15.400 </w:t>
            </w:r>
          </w:p>
        </w:tc>
        <w:tc>
          <w:tcPr>
            <w:tcW w:w="1134" w:type="dxa"/>
            <w:tcBorders>
              <w:top w:val="single" w:sz="8" w:space="0" w:color="auto"/>
              <w:left w:val="nil"/>
              <w:bottom w:val="single" w:sz="8" w:space="0" w:color="auto"/>
              <w:right w:val="nil"/>
            </w:tcBorders>
            <w:shd w:val="clear" w:color="000000" w:fill="DEEAF6"/>
            <w:noWrap/>
            <w:vAlign w:val="center"/>
            <w:hideMark/>
          </w:tcPr>
          <w:p w14:paraId="49976F1A" w14:textId="5D6DA048"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(2.448.554)</w:t>
            </w:r>
          </w:p>
        </w:tc>
        <w:tc>
          <w:tcPr>
            <w:tcW w:w="1134" w:type="dxa"/>
            <w:tcBorders>
              <w:top w:val="single" w:sz="8" w:space="0" w:color="auto"/>
              <w:left w:val="nil"/>
              <w:bottom w:val="single" w:sz="8" w:space="0" w:color="auto"/>
              <w:right w:val="nil"/>
            </w:tcBorders>
            <w:shd w:val="clear" w:color="000000" w:fill="DEEAF6"/>
            <w:noWrap/>
            <w:vAlign w:val="center"/>
            <w:hideMark/>
          </w:tcPr>
          <w:p w14:paraId="518E120F" w14:textId="004F7FAC"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(471.509)</w:t>
            </w:r>
          </w:p>
        </w:tc>
        <w:tc>
          <w:tcPr>
            <w:tcW w:w="1134" w:type="dxa"/>
            <w:tcBorders>
              <w:top w:val="single" w:sz="8" w:space="0" w:color="auto"/>
              <w:left w:val="nil"/>
              <w:bottom w:val="single" w:sz="8" w:space="0" w:color="auto"/>
              <w:right w:val="nil"/>
            </w:tcBorders>
            <w:shd w:val="clear" w:color="000000" w:fill="DEEAF6"/>
            <w:noWrap/>
            <w:vAlign w:val="center"/>
            <w:hideMark/>
          </w:tcPr>
          <w:p w14:paraId="5257AC94" w14:textId="452A24EE"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2.441.438 </w:t>
            </w:r>
          </w:p>
        </w:tc>
        <w:tc>
          <w:tcPr>
            <w:tcW w:w="1134" w:type="dxa"/>
            <w:tcBorders>
              <w:top w:val="single" w:sz="8" w:space="0" w:color="auto"/>
              <w:left w:val="nil"/>
              <w:bottom w:val="single" w:sz="8" w:space="0" w:color="auto"/>
              <w:right w:val="nil"/>
            </w:tcBorders>
            <w:shd w:val="clear" w:color="000000" w:fill="DEEAF6"/>
            <w:noWrap/>
            <w:vAlign w:val="center"/>
            <w:hideMark/>
          </w:tcPr>
          <w:p w14:paraId="08848F86" w14:textId="55E13460"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6082AE6A" w14:textId="6F7AC129" w:rsidR="001B79F9" w:rsidRPr="001B79F9" w:rsidRDefault="001B79F9" w:rsidP="001B79F9">
            <w:pPr>
              <w:spacing w:after="0" w:line="240" w:lineRule="auto"/>
              <w:jc w:val="right"/>
              <w:rPr>
                <w:rFonts w:ascii="Calibri" w:eastAsia="Times New Roman" w:hAnsi="Calibri" w:cs="Calibri"/>
                <w:b/>
                <w:bCs/>
                <w:color w:val="000000"/>
                <w:sz w:val="16"/>
                <w:szCs w:val="16"/>
              </w:rPr>
            </w:pPr>
            <w:r w:rsidRPr="001B79F9">
              <w:rPr>
                <w:rFonts w:ascii="Calibri" w:eastAsia="Times New Roman" w:hAnsi="Calibri" w:cs="Calibri"/>
                <w:b/>
                <w:bCs/>
                <w:color w:val="000000"/>
                <w:sz w:val="16"/>
                <w:szCs w:val="16"/>
              </w:rPr>
              <w:t>5.669.02</w:t>
            </w:r>
            <w:r w:rsidR="00BE621B">
              <w:rPr>
                <w:rFonts w:ascii="Calibri" w:eastAsia="Times New Roman" w:hAnsi="Calibri" w:cs="Calibri"/>
                <w:b/>
                <w:bCs/>
                <w:color w:val="000000"/>
                <w:sz w:val="16"/>
                <w:szCs w:val="16"/>
              </w:rPr>
              <w:t>7</w:t>
            </w:r>
            <w:r w:rsidRPr="001B79F9">
              <w:rPr>
                <w:rFonts w:ascii="Calibri" w:eastAsia="Times New Roman" w:hAnsi="Calibri" w:cs="Calibri"/>
                <w:b/>
                <w:bCs/>
                <w:color w:val="000000"/>
                <w:sz w:val="16"/>
                <w:szCs w:val="16"/>
              </w:rPr>
              <w:t xml:space="preserve"> </w:t>
            </w:r>
          </w:p>
        </w:tc>
      </w:tr>
    </w:tbl>
    <w:p w14:paraId="36483FA9" w14:textId="77777777" w:rsidR="005B5731" w:rsidRPr="005B5731" w:rsidRDefault="005B5731" w:rsidP="005B5731">
      <w:pPr>
        <w:sectPr w:rsidR="005B5731" w:rsidRPr="005B5731" w:rsidSect="000B1915">
          <w:pgSz w:w="16840" w:h="11907" w:orient="landscape" w:code="9"/>
          <w:pgMar w:top="720" w:right="720" w:bottom="720" w:left="720" w:header="709" w:footer="454"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6C25A8B7" w14:textId="3175AA8C" w:rsidR="00DF43D5" w:rsidRDefault="00461517" w:rsidP="000B5D82">
      <w:pPr>
        <w:pStyle w:val="NormalWeb"/>
        <w:spacing w:before="0" w:beforeAutospacing="0" w:after="120" w:afterAutospacing="0"/>
        <w:ind w:left="720"/>
        <w:jc w:val="both"/>
        <w:rPr>
          <w:rFonts w:cstheme="minorHAnsi"/>
          <w:sz w:val="20"/>
        </w:rPr>
      </w:pPr>
      <w:bookmarkStart w:id="48" w:name="_Toc152230738"/>
      <w:r>
        <w:rPr>
          <w:rFonts w:cstheme="minorHAnsi"/>
          <w:sz w:val="20"/>
        </w:rPr>
        <w:lastRenderedPageBreak/>
        <w:t xml:space="preserve">No </w:t>
      </w:r>
      <w:r w:rsidR="0030188E">
        <w:rPr>
          <w:rFonts w:cstheme="minorHAnsi"/>
          <w:sz w:val="20"/>
        </w:rPr>
        <w:t>primeiro trimestre de 2024</w:t>
      </w:r>
      <w:r>
        <w:rPr>
          <w:rFonts w:cstheme="minorHAnsi"/>
          <w:sz w:val="20"/>
        </w:rPr>
        <w:t xml:space="preserve"> os bens móveis apresentaram as seguintes movimentações:</w:t>
      </w:r>
    </w:p>
    <w:p w14:paraId="602B7C86" w14:textId="56E503AB" w:rsidR="00093B23" w:rsidRPr="006B7D67" w:rsidRDefault="00093B23" w:rsidP="00C000AF">
      <w:pPr>
        <w:pStyle w:val="NormalWeb"/>
        <w:numPr>
          <w:ilvl w:val="0"/>
          <w:numId w:val="12"/>
        </w:numPr>
        <w:spacing w:before="120" w:beforeAutospacing="0" w:after="120" w:afterAutospacing="0"/>
        <w:jc w:val="both"/>
        <w:rPr>
          <w:rFonts w:cstheme="minorHAnsi"/>
          <w:b/>
          <w:sz w:val="20"/>
        </w:rPr>
      </w:pPr>
      <w:r w:rsidRPr="006B7D67">
        <w:rPr>
          <w:rFonts w:cstheme="minorHAnsi"/>
          <w:b/>
          <w:sz w:val="20"/>
        </w:rPr>
        <w:t>Aquisições:</w:t>
      </w:r>
    </w:p>
    <w:p w14:paraId="74897709" w14:textId="11E9F1ED" w:rsidR="00093B23" w:rsidRPr="006B7D67" w:rsidRDefault="00B220E5" w:rsidP="00C000AF">
      <w:pPr>
        <w:pStyle w:val="NormalWeb"/>
        <w:numPr>
          <w:ilvl w:val="2"/>
          <w:numId w:val="12"/>
        </w:numPr>
        <w:spacing w:before="120" w:line="240" w:lineRule="auto"/>
        <w:ind w:left="993"/>
        <w:jc w:val="both"/>
        <w:rPr>
          <w:rFonts w:cstheme="minorHAnsi"/>
          <w:sz w:val="20"/>
        </w:rPr>
      </w:pPr>
      <w:r w:rsidRPr="00B220E5">
        <w:rPr>
          <w:sz w:val="20"/>
          <w:szCs w:val="20"/>
        </w:rPr>
        <w:t>Aquisição de 7 (sete) Televisores Tamanho Tela 55</w:t>
      </w:r>
      <w:r w:rsidR="004A20CF">
        <w:rPr>
          <w:sz w:val="20"/>
          <w:szCs w:val="20"/>
        </w:rPr>
        <w:t xml:space="preserve">, </w:t>
      </w:r>
      <w:r w:rsidRPr="006B7D67">
        <w:rPr>
          <w:sz w:val="20"/>
          <w:szCs w:val="20"/>
        </w:rPr>
        <w:t>no valor de R$ 15</w:t>
      </w:r>
      <w:r w:rsidR="00C47CB5">
        <w:rPr>
          <w:sz w:val="20"/>
          <w:szCs w:val="20"/>
        </w:rPr>
        <w:t>,</w:t>
      </w:r>
      <w:r w:rsidRPr="006B7D67">
        <w:rPr>
          <w:sz w:val="20"/>
          <w:szCs w:val="20"/>
        </w:rPr>
        <w:t>40</w:t>
      </w:r>
      <w:r w:rsidR="00C47CB5">
        <w:rPr>
          <w:sz w:val="20"/>
          <w:szCs w:val="20"/>
        </w:rPr>
        <w:t xml:space="preserve"> mil, conforme </w:t>
      </w:r>
      <w:r w:rsidR="00196499">
        <w:rPr>
          <w:sz w:val="20"/>
          <w:szCs w:val="20"/>
        </w:rPr>
        <w:t>o</w:t>
      </w:r>
      <w:r w:rsidRPr="006B7D67">
        <w:rPr>
          <w:sz w:val="20"/>
          <w:szCs w:val="20"/>
        </w:rPr>
        <w:t xml:space="preserve"> Processo</w:t>
      </w:r>
      <w:r w:rsidR="00196499">
        <w:rPr>
          <w:sz w:val="20"/>
          <w:szCs w:val="20"/>
        </w:rPr>
        <w:t xml:space="preserve"> SEI n°</w:t>
      </w:r>
      <w:r w:rsidRPr="006B7D67">
        <w:rPr>
          <w:sz w:val="20"/>
          <w:szCs w:val="20"/>
        </w:rPr>
        <w:t xml:space="preserve"> 50050.008471/2023-43</w:t>
      </w:r>
      <w:r w:rsidRPr="006B7D67">
        <w:rPr>
          <w:rFonts w:cstheme="minorHAnsi"/>
          <w:sz w:val="20"/>
        </w:rPr>
        <w:t>.</w:t>
      </w:r>
    </w:p>
    <w:p w14:paraId="6392A506" w14:textId="77777777" w:rsidR="007C194C" w:rsidRPr="00645DFB" w:rsidRDefault="0007560C" w:rsidP="00C000AF">
      <w:pPr>
        <w:pStyle w:val="NormalWeb"/>
        <w:numPr>
          <w:ilvl w:val="0"/>
          <w:numId w:val="12"/>
        </w:numPr>
        <w:spacing w:before="120" w:beforeAutospacing="0" w:after="120" w:afterAutospacing="0" w:line="240" w:lineRule="auto"/>
        <w:jc w:val="both"/>
        <w:rPr>
          <w:rFonts w:cstheme="minorHAnsi"/>
          <w:b/>
          <w:sz w:val="20"/>
        </w:rPr>
      </w:pPr>
      <w:r w:rsidRPr="00645DFB">
        <w:rPr>
          <w:rFonts w:cstheme="minorHAnsi"/>
          <w:b/>
          <w:sz w:val="20"/>
        </w:rPr>
        <w:t xml:space="preserve">Baixas: </w:t>
      </w:r>
    </w:p>
    <w:p w14:paraId="18039071" w14:textId="03B99559" w:rsidR="00E87975" w:rsidRPr="006B7D67" w:rsidRDefault="00E87975" w:rsidP="00C000AF">
      <w:pPr>
        <w:pStyle w:val="NormalWeb"/>
        <w:numPr>
          <w:ilvl w:val="2"/>
          <w:numId w:val="12"/>
        </w:numPr>
        <w:spacing w:after="120" w:afterAutospacing="0" w:line="240" w:lineRule="auto"/>
        <w:ind w:left="992" w:hanging="181"/>
        <w:jc w:val="both"/>
        <w:rPr>
          <w:sz w:val="20"/>
          <w:szCs w:val="20"/>
        </w:rPr>
      </w:pPr>
      <w:r w:rsidRPr="006B7D67">
        <w:rPr>
          <w:sz w:val="20"/>
          <w:szCs w:val="20"/>
        </w:rPr>
        <w:t>Em janeiro de 2024: Baixa de R$ 396</w:t>
      </w:r>
      <w:r w:rsidR="00BD6A53">
        <w:rPr>
          <w:sz w:val="20"/>
          <w:szCs w:val="20"/>
        </w:rPr>
        <w:t>,</w:t>
      </w:r>
      <w:r w:rsidRPr="006B7D67">
        <w:rPr>
          <w:sz w:val="20"/>
          <w:szCs w:val="20"/>
        </w:rPr>
        <w:t>7</w:t>
      </w:r>
      <w:r w:rsidR="00BD6A53">
        <w:rPr>
          <w:sz w:val="20"/>
          <w:szCs w:val="20"/>
        </w:rPr>
        <w:t>2 mil</w:t>
      </w:r>
      <w:r w:rsidRPr="006B7D67">
        <w:rPr>
          <w:sz w:val="20"/>
          <w:szCs w:val="20"/>
        </w:rPr>
        <w:t xml:space="preserve"> (custo histórico) relativa à doação de bens à Administração Regional de Samambaia relativa ao Termo de Doação Nº 08/2023 (SEI 7866144)</w:t>
      </w:r>
      <w:r w:rsidR="00BD6A53">
        <w:rPr>
          <w:sz w:val="20"/>
          <w:szCs w:val="20"/>
        </w:rPr>
        <w:t>, conforme o</w:t>
      </w:r>
      <w:r w:rsidRPr="006B7D67">
        <w:rPr>
          <w:sz w:val="20"/>
          <w:szCs w:val="20"/>
        </w:rPr>
        <w:t xml:space="preserve"> Processo </w:t>
      </w:r>
      <w:r w:rsidR="00BD6A53">
        <w:rPr>
          <w:sz w:val="20"/>
          <w:szCs w:val="20"/>
        </w:rPr>
        <w:t>SEI n</w:t>
      </w:r>
      <w:r w:rsidR="00241B95">
        <w:rPr>
          <w:sz w:val="20"/>
          <w:szCs w:val="20"/>
        </w:rPr>
        <w:t>°</w:t>
      </w:r>
      <w:r w:rsidR="00241B95" w:rsidRPr="006B7D67">
        <w:rPr>
          <w:sz w:val="20"/>
          <w:szCs w:val="20"/>
        </w:rPr>
        <w:t xml:space="preserve"> </w:t>
      </w:r>
      <w:r w:rsidRPr="006B7D67">
        <w:rPr>
          <w:sz w:val="20"/>
          <w:szCs w:val="20"/>
        </w:rPr>
        <w:t>50050.007717/2023-60;</w:t>
      </w:r>
      <w:r w:rsidR="00241B95">
        <w:rPr>
          <w:sz w:val="20"/>
          <w:szCs w:val="20"/>
        </w:rPr>
        <w:t xml:space="preserve"> e</w:t>
      </w:r>
    </w:p>
    <w:p w14:paraId="69A62450" w14:textId="57283B4A" w:rsidR="00DF43D5" w:rsidRPr="000321BF" w:rsidRDefault="006B7D67" w:rsidP="00C000AF">
      <w:pPr>
        <w:pStyle w:val="NormalWeb"/>
        <w:numPr>
          <w:ilvl w:val="2"/>
          <w:numId w:val="12"/>
        </w:numPr>
        <w:spacing w:after="120" w:afterAutospacing="0" w:line="240" w:lineRule="auto"/>
        <w:ind w:left="993" w:hanging="142"/>
        <w:jc w:val="both"/>
        <w:rPr>
          <w:rFonts w:cstheme="minorHAnsi"/>
          <w:sz w:val="20"/>
        </w:rPr>
      </w:pPr>
      <w:r w:rsidRPr="000321BF">
        <w:rPr>
          <w:sz w:val="20"/>
          <w:szCs w:val="20"/>
        </w:rPr>
        <w:t>Em janeiro de 2024: Baixa de R$ 2</w:t>
      </w:r>
      <w:r w:rsidR="00BC77EF">
        <w:rPr>
          <w:sz w:val="20"/>
          <w:szCs w:val="20"/>
        </w:rPr>
        <w:t>.</w:t>
      </w:r>
      <w:r w:rsidRPr="000321BF">
        <w:rPr>
          <w:sz w:val="20"/>
          <w:szCs w:val="20"/>
        </w:rPr>
        <w:t>05</w:t>
      </w:r>
      <w:r w:rsidR="00241B95">
        <w:rPr>
          <w:sz w:val="20"/>
          <w:szCs w:val="20"/>
        </w:rPr>
        <w:t>2 milhões</w:t>
      </w:r>
      <w:r w:rsidRPr="000321BF">
        <w:rPr>
          <w:sz w:val="20"/>
          <w:szCs w:val="20"/>
        </w:rPr>
        <w:t xml:space="preserve"> (custo histórico) relativa à doação ao Instituto Nova Ágora de Cidadania - </w:t>
      </w:r>
      <w:r w:rsidR="000B5D82">
        <w:rPr>
          <w:sz w:val="20"/>
          <w:szCs w:val="20"/>
        </w:rPr>
        <w:t>INAC</w:t>
      </w:r>
      <w:r w:rsidRPr="000321BF">
        <w:rPr>
          <w:sz w:val="20"/>
          <w:szCs w:val="20"/>
        </w:rPr>
        <w:t>, relativa ao Termo de Doação Nº 09/2023 (</w:t>
      </w:r>
      <w:r w:rsidR="00241B95">
        <w:rPr>
          <w:sz w:val="20"/>
          <w:szCs w:val="20"/>
        </w:rPr>
        <w:t>SEI</w:t>
      </w:r>
      <w:r w:rsidRPr="000321BF">
        <w:rPr>
          <w:sz w:val="20"/>
          <w:szCs w:val="20"/>
        </w:rPr>
        <w:t xml:space="preserve"> 7880747)</w:t>
      </w:r>
      <w:r w:rsidR="00241B95">
        <w:rPr>
          <w:sz w:val="20"/>
          <w:szCs w:val="20"/>
        </w:rPr>
        <w:t>, conforme o</w:t>
      </w:r>
      <w:r w:rsidRPr="000321BF">
        <w:rPr>
          <w:sz w:val="20"/>
          <w:szCs w:val="20"/>
        </w:rPr>
        <w:t xml:space="preserve"> Processo </w:t>
      </w:r>
      <w:r w:rsidR="00241B95">
        <w:rPr>
          <w:sz w:val="20"/>
          <w:szCs w:val="20"/>
        </w:rPr>
        <w:t>SEI n°</w:t>
      </w:r>
      <w:r w:rsidRPr="000321BF">
        <w:rPr>
          <w:sz w:val="20"/>
          <w:szCs w:val="20"/>
        </w:rPr>
        <w:t xml:space="preserve"> 50050.007774/2023-49</w:t>
      </w:r>
      <w:r w:rsidR="00AB4D07" w:rsidRPr="000321BF">
        <w:rPr>
          <w:sz w:val="20"/>
          <w:szCs w:val="20"/>
        </w:rPr>
        <w:t>.</w:t>
      </w:r>
    </w:p>
    <w:p w14:paraId="7BB3209F" w14:textId="0AF5DB83" w:rsidR="000957B4" w:rsidRPr="000321BF" w:rsidRDefault="003D541C" w:rsidP="009D6B9C">
      <w:pPr>
        <w:pStyle w:val="NormalWeb"/>
        <w:spacing w:before="120" w:beforeAutospacing="0" w:after="120" w:afterAutospacing="0" w:line="240" w:lineRule="auto"/>
        <w:jc w:val="both"/>
        <w:rPr>
          <w:rFonts w:cstheme="minorHAnsi"/>
          <w:sz w:val="20"/>
        </w:rPr>
      </w:pPr>
      <w:r w:rsidRPr="00C61B27">
        <w:rPr>
          <w:sz w:val="20"/>
          <w:szCs w:val="20"/>
        </w:rPr>
        <w:t>Tendo em vista a incorporação dos bens da EPL no Sistema Integrado de Administração Patrimonial – SIADS, a Gerência de Patrimônio – GEPAT solicitou reclassificações de saldos entre contas contábeis, a fim de adequá-los aos saldos do SIADS.</w:t>
      </w:r>
    </w:p>
    <w:p w14:paraId="1D24E6C1" w14:textId="602DC1FA" w:rsidR="00A8678A" w:rsidRPr="00277855" w:rsidRDefault="00664E1F" w:rsidP="009D6B9C">
      <w:pPr>
        <w:pStyle w:val="Ttulo2"/>
        <w:spacing w:before="120" w:after="0"/>
      </w:pPr>
      <w:bookmarkStart w:id="49" w:name="_Toc184926681"/>
      <w:r w:rsidRPr="00277855">
        <w:t>13</w:t>
      </w:r>
      <w:r w:rsidR="00A8678A" w:rsidRPr="00277855">
        <w:t>.</w:t>
      </w:r>
      <w:r w:rsidR="00E158AE" w:rsidRPr="00277855">
        <w:t>2</w:t>
      </w:r>
      <w:r w:rsidR="00A8678A" w:rsidRPr="00277855">
        <w:t xml:space="preserve"> – Bens Imóveis</w:t>
      </w:r>
      <w:bookmarkEnd w:id="48"/>
      <w:bookmarkEnd w:id="49"/>
    </w:p>
    <w:p w14:paraId="61A37B21" w14:textId="7CDD7352" w:rsidR="00A877E2" w:rsidRPr="00FC136C" w:rsidRDefault="00A877E2" w:rsidP="00A877E2">
      <w:pPr>
        <w:spacing w:before="60"/>
        <w:jc w:val="both"/>
        <w:rPr>
          <w:sz w:val="20"/>
          <w:szCs w:val="20"/>
        </w:rPr>
      </w:pPr>
      <w:r w:rsidRPr="045BCFDE">
        <w:rPr>
          <w:sz w:val="20"/>
          <w:szCs w:val="20"/>
        </w:rPr>
        <w:t xml:space="preserve">No primeiro trimestre de 2024, os Bens Imóveis da Infra S.A. correspondiam ao montante de R$ </w:t>
      </w:r>
      <w:r w:rsidRPr="00316408">
        <w:rPr>
          <w:sz w:val="20"/>
          <w:szCs w:val="20"/>
        </w:rPr>
        <w:t>4,9</w:t>
      </w:r>
      <w:r w:rsidR="006B062A">
        <w:rPr>
          <w:sz w:val="20"/>
          <w:szCs w:val="20"/>
        </w:rPr>
        <w:t>6</w:t>
      </w:r>
      <w:r w:rsidRPr="045BCFDE">
        <w:rPr>
          <w:sz w:val="20"/>
          <w:szCs w:val="20"/>
        </w:rPr>
        <w:t xml:space="preserve"> bilhões de reais, conforme demonstrado a seguir:</w:t>
      </w:r>
    </w:p>
    <w:tbl>
      <w:tblPr>
        <w:tblW w:w="5000" w:type="pct"/>
        <w:tblCellMar>
          <w:left w:w="70" w:type="dxa"/>
          <w:right w:w="70" w:type="dxa"/>
        </w:tblCellMar>
        <w:tblLook w:val="04A0" w:firstRow="1" w:lastRow="0" w:firstColumn="1" w:lastColumn="0" w:noHBand="0" w:noVBand="1"/>
      </w:tblPr>
      <w:tblGrid>
        <w:gridCol w:w="2715"/>
        <w:gridCol w:w="1161"/>
        <w:gridCol w:w="1055"/>
        <w:gridCol w:w="1260"/>
        <w:gridCol w:w="1080"/>
        <w:gridCol w:w="956"/>
        <w:gridCol w:w="1160"/>
        <w:gridCol w:w="1080"/>
      </w:tblGrid>
      <w:tr w:rsidR="00117E79" w:rsidRPr="00117E79" w14:paraId="7378171D" w14:textId="77777777" w:rsidTr="00117E79">
        <w:trPr>
          <w:trHeight w:val="227"/>
        </w:trPr>
        <w:tc>
          <w:tcPr>
            <w:tcW w:w="1297" w:type="pct"/>
            <w:tcBorders>
              <w:top w:val="nil"/>
              <w:left w:val="nil"/>
              <w:bottom w:val="single" w:sz="8" w:space="0" w:color="auto"/>
              <w:right w:val="nil"/>
            </w:tcBorders>
            <w:shd w:val="clear" w:color="000000" w:fill="DEEAF6"/>
            <w:vAlign w:val="center"/>
            <w:hideMark/>
          </w:tcPr>
          <w:p w14:paraId="5545B32A" w14:textId="77777777" w:rsidR="00117E79" w:rsidRPr="00117E79" w:rsidRDefault="00117E79" w:rsidP="00117E79">
            <w:pPr>
              <w:spacing w:after="0" w:line="240" w:lineRule="auto"/>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Bens Imóveis</w:t>
            </w:r>
          </w:p>
        </w:tc>
        <w:tc>
          <w:tcPr>
            <w:tcW w:w="555" w:type="pct"/>
            <w:tcBorders>
              <w:top w:val="nil"/>
              <w:left w:val="nil"/>
              <w:bottom w:val="single" w:sz="8" w:space="0" w:color="auto"/>
              <w:right w:val="nil"/>
            </w:tcBorders>
            <w:shd w:val="clear" w:color="000000" w:fill="DEEAF6"/>
            <w:vAlign w:val="center"/>
            <w:hideMark/>
          </w:tcPr>
          <w:p w14:paraId="6DF73516" w14:textId="77777777" w:rsidR="00117E79" w:rsidRPr="00117E79" w:rsidRDefault="00117E79" w:rsidP="00117E79">
            <w:pPr>
              <w:spacing w:after="0" w:line="240" w:lineRule="auto"/>
              <w:jc w:val="center"/>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Custo Histórico</w:t>
            </w:r>
          </w:p>
        </w:tc>
        <w:tc>
          <w:tcPr>
            <w:tcW w:w="504" w:type="pct"/>
            <w:tcBorders>
              <w:top w:val="nil"/>
              <w:left w:val="nil"/>
              <w:bottom w:val="single" w:sz="8" w:space="0" w:color="auto"/>
              <w:right w:val="nil"/>
            </w:tcBorders>
            <w:shd w:val="clear" w:color="000000" w:fill="DEEAF6"/>
            <w:vAlign w:val="center"/>
            <w:hideMark/>
          </w:tcPr>
          <w:p w14:paraId="3FBC7D3C" w14:textId="77777777" w:rsidR="00117E79" w:rsidRPr="00117E79" w:rsidRDefault="00117E79" w:rsidP="00117E79">
            <w:pPr>
              <w:spacing w:after="0" w:line="240" w:lineRule="auto"/>
              <w:jc w:val="center"/>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Depreciação</w:t>
            </w:r>
          </w:p>
        </w:tc>
        <w:tc>
          <w:tcPr>
            <w:tcW w:w="602" w:type="pct"/>
            <w:tcBorders>
              <w:top w:val="nil"/>
              <w:left w:val="nil"/>
              <w:bottom w:val="single" w:sz="8" w:space="0" w:color="auto"/>
              <w:right w:val="nil"/>
            </w:tcBorders>
            <w:shd w:val="clear" w:color="000000" w:fill="DEEAF6"/>
            <w:vAlign w:val="center"/>
            <w:hideMark/>
          </w:tcPr>
          <w:p w14:paraId="3D1D4488" w14:textId="77777777" w:rsidR="00117E79" w:rsidRPr="00117E79" w:rsidRDefault="00117E79" w:rsidP="00117E79">
            <w:pPr>
              <w:spacing w:after="0" w:line="240" w:lineRule="auto"/>
              <w:jc w:val="center"/>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Redução ao Valor Recuperável</w:t>
            </w:r>
          </w:p>
        </w:tc>
        <w:tc>
          <w:tcPr>
            <w:tcW w:w="516" w:type="pct"/>
            <w:tcBorders>
              <w:top w:val="nil"/>
              <w:left w:val="nil"/>
              <w:bottom w:val="single" w:sz="8" w:space="0" w:color="auto"/>
              <w:right w:val="nil"/>
            </w:tcBorders>
            <w:shd w:val="clear" w:color="000000" w:fill="DEEAF6"/>
            <w:vAlign w:val="center"/>
            <w:hideMark/>
          </w:tcPr>
          <w:p w14:paraId="26DAF82A" w14:textId="77777777"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Saldo em 31/12/2023</w:t>
            </w:r>
          </w:p>
        </w:tc>
        <w:tc>
          <w:tcPr>
            <w:tcW w:w="457" w:type="pct"/>
            <w:tcBorders>
              <w:top w:val="nil"/>
              <w:left w:val="nil"/>
              <w:bottom w:val="single" w:sz="8" w:space="0" w:color="auto"/>
              <w:right w:val="nil"/>
            </w:tcBorders>
            <w:shd w:val="clear" w:color="000000" w:fill="DEEAF6"/>
            <w:vAlign w:val="center"/>
            <w:hideMark/>
          </w:tcPr>
          <w:p w14:paraId="396F262B" w14:textId="77777777"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Entradas</w:t>
            </w:r>
          </w:p>
        </w:tc>
        <w:tc>
          <w:tcPr>
            <w:tcW w:w="554" w:type="pct"/>
            <w:tcBorders>
              <w:top w:val="nil"/>
              <w:left w:val="nil"/>
              <w:bottom w:val="single" w:sz="8" w:space="0" w:color="auto"/>
              <w:right w:val="nil"/>
            </w:tcBorders>
            <w:shd w:val="clear" w:color="000000" w:fill="DEEAF6"/>
            <w:vAlign w:val="center"/>
            <w:hideMark/>
          </w:tcPr>
          <w:p w14:paraId="78182153" w14:textId="77777777"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Depreciação</w:t>
            </w:r>
          </w:p>
        </w:tc>
        <w:tc>
          <w:tcPr>
            <w:tcW w:w="516" w:type="pct"/>
            <w:tcBorders>
              <w:top w:val="nil"/>
              <w:left w:val="nil"/>
              <w:bottom w:val="single" w:sz="8" w:space="0" w:color="auto"/>
              <w:right w:val="nil"/>
            </w:tcBorders>
            <w:shd w:val="clear" w:color="000000" w:fill="DEEAF6"/>
            <w:vAlign w:val="center"/>
            <w:hideMark/>
          </w:tcPr>
          <w:p w14:paraId="50C367F6" w14:textId="77777777"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Saldo em 31/03/2024</w:t>
            </w:r>
          </w:p>
        </w:tc>
      </w:tr>
      <w:tr w:rsidR="00117E79" w:rsidRPr="00117E79" w14:paraId="3CF729DB"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611BB010"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Ferrovia Norte-Sul </w:t>
            </w:r>
            <w:r w:rsidRPr="00117E79">
              <w:rPr>
                <w:rFonts w:ascii="Calibri" w:eastAsia="Times New Roman" w:hAnsi="Calibri" w:cs="Calibri"/>
                <w:color w:val="2E74B5"/>
                <w:sz w:val="16"/>
                <w:szCs w:val="16"/>
              </w:rPr>
              <w:t>(a)</w:t>
            </w:r>
          </w:p>
        </w:tc>
        <w:tc>
          <w:tcPr>
            <w:tcW w:w="555" w:type="pct"/>
            <w:tcBorders>
              <w:top w:val="nil"/>
              <w:left w:val="nil"/>
              <w:bottom w:val="dotted" w:sz="4" w:space="0" w:color="auto"/>
              <w:right w:val="nil"/>
            </w:tcBorders>
            <w:shd w:val="clear" w:color="auto" w:fill="auto"/>
            <w:noWrap/>
            <w:vAlign w:val="center"/>
            <w:hideMark/>
          </w:tcPr>
          <w:p w14:paraId="7E3E51D1" w14:textId="0732B4A9"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12.280.794.453 </w:t>
            </w:r>
          </w:p>
        </w:tc>
        <w:tc>
          <w:tcPr>
            <w:tcW w:w="504" w:type="pct"/>
            <w:tcBorders>
              <w:top w:val="nil"/>
              <w:left w:val="nil"/>
              <w:bottom w:val="dotted" w:sz="4" w:space="0" w:color="auto"/>
              <w:right w:val="nil"/>
            </w:tcBorders>
            <w:shd w:val="clear" w:color="auto" w:fill="auto"/>
            <w:noWrap/>
            <w:vAlign w:val="center"/>
            <w:hideMark/>
          </w:tcPr>
          <w:p w14:paraId="37D5B05E" w14:textId="6A0ADEE9"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(916.675.782)</w:t>
            </w:r>
          </w:p>
        </w:tc>
        <w:tc>
          <w:tcPr>
            <w:tcW w:w="602" w:type="pct"/>
            <w:tcBorders>
              <w:top w:val="nil"/>
              <w:left w:val="nil"/>
              <w:bottom w:val="dotted" w:sz="4" w:space="0" w:color="auto"/>
              <w:right w:val="nil"/>
            </w:tcBorders>
            <w:shd w:val="clear" w:color="auto" w:fill="auto"/>
            <w:noWrap/>
            <w:vAlign w:val="center"/>
            <w:hideMark/>
          </w:tcPr>
          <w:p w14:paraId="1BDBE04A" w14:textId="0DD05E6A"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(11.364.118.671)</w:t>
            </w:r>
          </w:p>
        </w:tc>
        <w:tc>
          <w:tcPr>
            <w:tcW w:w="516" w:type="pct"/>
            <w:tcBorders>
              <w:top w:val="nil"/>
              <w:left w:val="nil"/>
              <w:bottom w:val="dotted" w:sz="4" w:space="0" w:color="auto"/>
              <w:right w:val="nil"/>
            </w:tcBorders>
            <w:shd w:val="clear" w:color="auto" w:fill="auto"/>
            <w:noWrap/>
            <w:vAlign w:val="center"/>
            <w:hideMark/>
          </w:tcPr>
          <w:p w14:paraId="5D383E10"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457" w:type="pct"/>
            <w:tcBorders>
              <w:top w:val="nil"/>
              <w:left w:val="nil"/>
              <w:bottom w:val="dotted" w:sz="4" w:space="0" w:color="auto"/>
              <w:right w:val="nil"/>
            </w:tcBorders>
            <w:shd w:val="clear" w:color="auto" w:fill="auto"/>
            <w:noWrap/>
            <w:vAlign w:val="center"/>
            <w:hideMark/>
          </w:tcPr>
          <w:p w14:paraId="51B1DB15"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54" w:type="pct"/>
            <w:tcBorders>
              <w:top w:val="nil"/>
              <w:left w:val="nil"/>
              <w:bottom w:val="dotted" w:sz="4" w:space="0" w:color="auto"/>
              <w:right w:val="nil"/>
            </w:tcBorders>
            <w:shd w:val="clear" w:color="auto" w:fill="auto"/>
            <w:noWrap/>
            <w:vAlign w:val="center"/>
            <w:hideMark/>
          </w:tcPr>
          <w:p w14:paraId="2F2E845B"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269854BA"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r>
      <w:tr w:rsidR="00117E79" w:rsidRPr="00117E79" w14:paraId="437930DD"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710D7891"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Ferrovia de Integração Oeste-Leste </w:t>
            </w:r>
            <w:r w:rsidRPr="00117E79">
              <w:rPr>
                <w:rFonts w:ascii="Calibri" w:eastAsia="Times New Roman" w:hAnsi="Calibri" w:cs="Calibri"/>
                <w:color w:val="2E74B5"/>
                <w:sz w:val="16"/>
                <w:szCs w:val="16"/>
              </w:rPr>
              <w:t xml:space="preserve">(b) </w:t>
            </w:r>
          </w:p>
        </w:tc>
        <w:tc>
          <w:tcPr>
            <w:tcW w:w="555" w:type="pct"/>
            <w:tcBorders>
              <w:top w:val="nil"/>
              <w:left w:val="nil"/>
              <w:bottom w:val="dotted" w:sz="4" w:space="0" w:color="auto"/>
              <w:right w:val="nil"/>
            </w:tcBorders>
            <w:shd w:val="clear" w:color="auto" w:fill="auto"/>
            <w:noWrap/>
            <w:vAlign w:val="center"/>
            <w:hideMark/>
          </w:tcPr>
          <w:p w14:paraId="2CD753DB" w14:textId="0B66674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6.469.306.753 </w:t>
            </w:r>
          </w:p>
        </w:tc>
        <w:tc>
          <w:tcPr>
            <w:tcW w:w="504" w:type="pct"/>
            <w:tcBorders>
              <w:top w:val="nil"/>
              <w:left w:val="nil"/>
              <w:bottom w:val="dotted" w:sz="4" w:space="0" w:color="auto"/>
              <w:right w:val="nil"/>
            </w:tcBorders>
            <w:shd w:val="clear" w:color="auto" w:fill="auto"/>
            <w:noWrap/>
            <w:vAlign w:val="center"/>
            <w:hideMark/>
          </w:tcPr>
          <w:p w14:paraId="5BB8B1BA"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602" w:type="pct"/>
            <w:tcBorders>
              <w:top w:val="nil"/>
              <w:left w:val="nil"/>
              <w:bottom w:val="dotted" w:sz="4" w:space="0" w:color="auto"/>
              <w:right w:val="nil"/>
            </w:tcBorders>
            <w:shd w:val="clear" w:color="auto" w:fill="auto"/>
            <w:noWrap/>
            <w:vAlign w:val="center"/>
            <w:hideMark/>
          </w:tcPr>
          <w:p w14:paraId="57871D1D" w14:textId="072CAA02"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(3.170.879.823)</w:t>
            </w:r>
          </w:p>
        </w:tc>
        <w:tc>
          <w:tcPr>
            <w:tcW w:w="516" w:type="pct"/>
            <w:tcBorders>
              <w:top w:val="nil"/>
              <w:left w:val="nil"/>
              <w:bottom w:val="dotted" w:sz="4" w:space="0" w:color="auto"/>
              <w:right w:val="nil"/>
            </w:tcBorders>
            <w:shd w:val="clear" w:color="auto" w:fill="auto"/>
            <w:noWrap/>
            <w:vAlign w:val="center"/>
            <w:hideMark/>
          </w:tcPr>
          <w:p w14:paraId="7574B4A1" w14:textId="5AD59FE9"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3.298.426.929 </w:t>
            </w:r>
          </w:p>
        </w:tc>
        <w:tc>
          <w:tcPr>
            <w:tcW w:w="457" w:type="pct"/>
            <w:tcBorders>
              <w:top w:val="nil"/>
              <w:left w:val="nil"/>
              <w:bottom w:val="dotted" w:sz="4" w:space="0" w:color="auto"/>
              <w:right w:val="nil"/>
            </w:tcBorders>
            <w:shd w:val="clear" w:color="auto" w:fill="auto"/>
            <w:noWrap/>
            <w:vAlign w:val="center"/>
            <w:hideMark/>
          </w:tcPr>
          <w:p w14:paraId="19426F30" w14:textId="3C980500"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21.077.716 </w:t>
            </w:r>
          </w:p>
        </w:tc>
        <w:tc>
          <w:tcPr>
            <w:tcW w:w="554" w:type="pct"/>
            <w:tcBorders>
              <w:top w:val="nil"/>
              <w:left w:val="nil"/>
              <w:bottom w:val="dotted" w:sz="4" w:space="0" w:color="auto"/>
              <w:right w:val="nil"/>
            </w:tcBorders>
            <w:shd w:val="clear" w:color="auto" w:fill="auto"/>
            <w:noWrap/>
            <w:vAlign w:val="center"/>
            <w:hideMark/>
          </w:tcPr>
          <w:p w14:paraId="24B05117"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1B23B23B" w14:textId="0CEE4E0B"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3.319.504.645 </w:t>
            </w:r>
          </w:p>
        </w:tc>
      </w:tr>
      <w:tr w:rsidR="00117E79" w:rsidRPr="00117E79" w14:paraId="5D232083"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1B54674D"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Ferrovia de Integração Centro-Oeste </w:t>
            </w:r>
            <w:r w:rsidRPr="00117E79">
              <w:rPr>
                <w:rFonts w:ascii="Calibri" w:eastAsia="Times New Roman" w:hAnsi="Calibri" w:cs="Calibri"/>
                <w:color w:val="2E74B5"/>
                <w:sz w:val="16"/>
                <w:szCs w:val="16"/>
              </w:rPr>
              <w:t>(c)</w:t>
            </w:r>
          </w:p>
        </w:tc>
        <w:tc>
          <w:tcPr>
            <w:tcW w:w="555" w:type="pct"/>
            <w:tcBorders>
              <w:top w:val="nil"/>
              <w:left w:val="nil"/>
              <w:bottom w:val="dotted" w:sz="4" w:space="0" w:color="auto"/>
              <w:right w:val="nil"/>
            </w:tcBorders>
            <w:shd w:val="clear" w:color="auto" w:fill="auto"/>
            <w:noWrap/>
            <w:vAlign w:val="center"/>
            <w:hideMark/>
          </w:tcPr>
          <w:p w14:paraId="100BC6B9" w14:textId="5FD96EDF"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825.363.284 </w:t>
            </w:r>
          </w:p>
        </w:tc>
        <w:tc>
          <w:tcPr>
            <w:tcW w:w="504" w:type="pct"/>
            <w:tcBorders>
              <w:top w:val="nil"/>
              <w:left w:val="nil"/>
              <w:bottom w:val="dotted" w:sz="4" w:space="0" w:color="auto"/>
              <w:right w:val="nil"/>
            </w:tcBorders>
            <w:shd w:val="clear" w:color="auto" w:fill="auto"/>
            <w:noWrap/>
            <w:vAlign w:val="center"/>
            <w:hideMark/>
          </w:tcPr>
          <w:p w14:paraId="2ED36134"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602" w:type="pct"/>
            <w:tcBorders>
              <w:top w:val="nil"/>
              <w:left w:val="nil"/>
              <w:bottom w:val="dotted" w:sz="4" w:space="0" w:color="auto"/>
              <w:right w:val="nil"/>
            </w:tcBorders>
            <w:shd w:val="clear" w:color="auto" w:fill="auto"/>
            <w:noWrap/>
            <w:vAlign w:val="center"/>
            <w:hideMark/>
          </w:tcPr>
          <w:p w14:paraId="7E44D1FE"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3138EFC4" w14:textId="6FE43078"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825.363.284 </w:t>
            </w:r>
          </w:p>
        </w:tc>
        <w:tc>
          <w:tcPr>
            <w:tcW w:w="457" w:type="pct"/>
            <w:tcBorders>
              <w:top w:val="nil"/>
              <w:left w:val="nil"/>
              <w:bottom w:val="dotted" w:sz="4" w:space="0" w:color="auto"/>
              <w:right w:val="nil"/>
            </w:tcBorders>
            <w:shd w:val="clear" w:color="auto" w:fill="auto"/>
            <w:noWrap/>
            <w:vAlign w:val="center"/>
            <w:hideMark/>
          </w:tcPr>
          <w:p w14:paraId="7052FAA8" w14:textId="4575DA09"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157.314.290 </w:t>
            </w:r>
          </w:p>
        </w:tc>
        <w:tc>
          <w:tcPr>
            <w:tcW w:w="554" w:type="pct"/>
            <w:tcBorders>
              <w:top w:val="nil"/>
              <w:left w:val="nil"/>
              <w:bottom w:val="dotted" w:sz="4" w:space="0" w:color="auto"/>
              <w:right w:val="nil"/>
            </w:tcBorders>
            <w:shd w:val="clear" w:color="auto" w:fill="auto"/>
            <w:noWrap/>
            <w:vAlign w:val="center"/>
            <w:hideMark/>
          </w:tcPr>
          <w:p w14:paraId="3A66F1AC"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1A522A07" w14:textId="3EEF9C50"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982.677.574 </w:t>
            </w:r>
          </w:p>
        </w:tc>
      </w:tr>
      <w:tr w:rsidR="00117E79" w:rsidRPr="00117E79" w14:paraId="2AD53E8E"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27A336DB"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Terrenos </w:t>
            </w:r>
            <w:r w:rsidRPr="00117E79">
              <w:rPr>
                <w:rFonts w:ascii="Calibri" w:eastAsia="Times New Roman" w:hAnsi="Calibri" w:cs="Calibri"/>
                <w:color w:val="2E74B5"/>
                <w:sz w:val="16"/>
                <w:szCs w:val="16"/>
              </w:rPr>
              <w:t>(e)</w:t>
            </w:r>
          </w:p>
        </w:tc>
        <w:tc>
          <w:tcPr>
            <w:tcW w:w="555" w:type="pct"/>
            <w:tcBorders>
              <w:top w:val="nil"/>
              <w:left w:val="nil"/>
              <w:bottom w:val="dotted" w:sz="4" w:space="0" w:color="auto"/>
              <w:right w:val="nil"/>
            </w:tcBorders>
            <w:shd w:val="clear" w:color="auto" w:fill="auto"/>
            <w:noWrap/>
            <w:vAlign w:val="center"/>
            <w:hideMark/>
          </w:tcPr>
          <w:p w14:paraId="3B7C2D4D" w14:textId="28121C98"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476.587.233 </w:t>
            </w:r>
          </w:p>
        </w:tc>
        <w:tc>
          <w:tcPr>
            <w:tcW w:w="504" w:type="pct"/>
            <w:tcBorders>
              <w:top w:val="nil"/>
              <w:left w:val="nil"/>
              <w:bottom w:val="dotted" w:sz="4" w:space="0" w:color="auto"/>
              <w:right w:val="nil"/>
            </w:tcBorders>
            <w:shd w:val="clear" w:color="auto" w:fill="auto"/>
            <w:noWrap/>
            <w:vAlign w:val="center"/>
            <w:hideMark/>
          </w:tcPr>
          <w:p w14:paraId="25E2B03A"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602" w:type="pct"/>
            <w:tcBorders>
              <w:top w:val="nil"/>
              <w:left w:val="nil"/>
              <w:bottom w:val="dotted" w:sz="4" w:space="0" w:color="auto"/>
              <w:right w:val="nil"/>
            </w:tcBorders>
            <w:shd w:val="clear" w:color="auto" w:fill="auto"/>
            <w:noWrap/>
            <w:vAlign w:val="center"/>
            <w:hideMark/>
          </w:tcPr>
          <w:p w14:paraId="048F5EF7"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0B3ADE8F" w14:textId="5CF53DAF"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476.587.233 </w:t>
            </w:r>
          </w:p>
        </w:tc>
        <w:tc>
          <w:tcPr>
            <w:tcW w:w="457" w:type="pct"/>
            <w:tcBorders>
              <w:top w:val="nil"/>
              <w:left w:val="nil"/>
              <w:bottom w:val="dotted" w:sz="4" w:space="0" w:color="auto"/>
              <w:right w:val="nil"/>
            </w:tcBorders>
            <w:shd w:val="clear" w:color="auto" w:fill="auto"/>
            <w:noWrap/>
            <w:vAlign w:val="center"/>
            <w:hideMark/>
          </w:tcPr>
          <w:p w14:paraId="6C78C998" w14:textId="7BCC0426"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9.189.566 </w:t>
            </w:r>
          </w:p>
        </w:tc>
        <w:tc>
          <w:tcPr>
            <w:tcW w:w="554" w:type="pct"/>
            <w:tcBorders>
              <w:top w:val="nil"/>
              <w:left w:val="nil"/>
              <w:bottom w:val="dotted" w:sz="4" w:space="0" w:color="auto"/>
              <w:right w:val="nil"/>
            </w:tcBorders>
            <w:shd w:val="clear" w:color="auto" w:fill="auto"/>
            <w:noWrap/>
            <w:vAlign w:val="center"/>
            <w:hideMark/>
          </w:tcPr>
          <w:p w14:paraId="70DACE84"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1531995D" w14:textId="485C087E"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485.776.799 </w:t>
            </w:r>
          </w:p>
        </w:tc>
      </w:tr>
      <w:tr w:rsidR="00117E79" w:rsidRPr="00117E79" w14:paraId="1D1B2B8B"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51CDA926"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Ferrovia Transcontinental </w:t>
            </w:r>
            <w:r w:rsidRPr="00117E79">
              <w:rPr>
                <w:rFonts w:ascii="Calibri" w:eastAsia="Times New Roman" w:hAnsi="Calibri" w:cs="Calibri"/>
                <w:color w:val="2E74B5"/>
                <w:sz w:val="16"/>
                <w:szCs w:val="16"/>
              </w:rPr>
              <w:t>(c)</w:t>
            </w:r>
          </w:p>
        </w:tc>
        <w:tc>
          <w:tcPr>
            <w:tcW w:w="555" w:type="pct"/>
            <w:tcBorders>
              <w:top w:val="nil"/>
              <w:left w:val="nil"/>
              <w:bottom w:val="dotted" w:sz="4" w:space="0" w:color="auto"/>
              <w:right w:val="nil"/>
            </w:tcBorders>
            <w:shd w:val="clear" w:color="auto" w:fill="auto"/>
            <w:noWrap/>
            <w:vAlign w:val="center"/>
            <w:hideMark/>
          </w:tcPr>
          <w:p w14:paraId="59DEEF4B" w14:textId="04EF19D4"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132.153.320 </w:t>
            </w:r>
          </w:p>
        </w:tc>
        <w:tc>
          <w:tcPr>
            <w:tcW w:w="504" w:type="pct"/>
            <w:tcBorders>
              <w:top w:val="nil"/>
              <w:left w:val="nil"/>
              <w:bottom w:val="dotted" w:sz="4" w:space="0" w:color="auto"/>
              <w:right w:val="nil"/>
            </w:tcBorders>
            <w:shd w:val="clear" w:color="auto" w:fill="auto"/>
            <w:noWrap/>
            <w:vAlign w:val="center"/>
            <w:hideMark/>
          </w:tcPr>
          <w:p w14:paraId="588EFDF1"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602" w:type="pct"/>
            <w:tcBorders>
              <w:top w:val="nil"/>
              <w:left w:val="nil"/>
              <w:bottom w:val="dotted" w:sz="4" w:space="0" w:color="auto"/>
              <w:right w:val="nil"/>
            </w:tcBorders>
            <w:shd w:val="clear" w:color="auto" w:fill="auto"/>
            <w:noWrap/>
            <w:vAlign w:val="center"/>
            <w:hideMark/>
          </w:tcPr>
          <w:p w14:paraId="00B0DD66"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1C2A332D" w14:textId="579DA7F1"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132.153.320 </w:t>
            </w:r>
          </w:p>
        </w:tc>
        <w:tc>
          <w:tcPr>
            <w:tcW w:w="457" w:type="pct"/>
            <w:tcBorders>
              <w:top w:val="nil"/>
              <w:left w:val="nil"/>
              <w:bottom w:val="dotted" w:sz="4" w:space="0" w:color="auto"/>
              <w:right w:val="nil"/>
            </w:tcBorders>
            <w:shd w:val="clear" w:color="auto" w:fill="auto"/>
            <w:noWrap/>
            <w:vAlign w:val="center"/>
            <w:hideMark/>
          </w:tcPr>
          <w:p w14:paraId="19FA03C4"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54" w:type="pct"/>
            <w:tcBorders>
              <w:top w:val="nil"/>
              <w:left w:val="nil"/>
              <w:bottom w:val="dotted" w:sz="4" w:space="0" w:color="auto"/>
              <w:right w:val="nil"/>
            </w:tcBorders>
            <w:shd w:val="clear" w:color="auto" w:fill="auto"/>
            <w:noWrap/>
            <w:vAlign w:val="center"/>
            <w:hideMark/>
          </w:tcPr>
          <w:p w14:paraId="276F40F2"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721B51B9" w14:textId="56BB72AF"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132.153.320 </w:t>
            </w:r>
          </w:p>
        </w:tc>
      </w:tr>
      <w:tr w:rsidR="00117E79" w:rsidRPr="00117E79" w14:paraId="06565A52" w14:textId="77777777" w:rsidTr="00117E79">
        <w:trPr>
          <w:trHeight w:val="227"/>
        </w:trPr>
        <w:tc>
          <w:tcPr>
            <w:tcW w:w="1297" w:type="pct"/>
            <w:tcBorders>
              <w:top w:val="nil"/>
              <w:left w:val="nil"/>
              <w:bottom w:val="dotted" w:sz="4" w:space="0" w:color="auto"/>
              <w:right w:val="nil"/>
            </w:tcBorders>
            <w:shd w:val="clear" w:color="auto" w:fill="auto"/>
            <w:noWrap/>
            <w:vAlign w:val="center"/>
            <w:hideMark/>
          </w:tcPr>
          <w:p w14:paraId="366242FF"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Outros Empreendimentos </w:t>
            </w:r>
            <w:r w:rsidRPr="00117E79">
              <w:rPr>
                <w:rFonts w:ascii="Calibri" w:eastAsia="Times New Roman" w:hAnsi="Calibri" w:cs="Calibri"/>
                <w:color w:val="2E74B5"/>
                <w:sz w:val="16"/>
                <w:szCs w:val="16"/>
              </w:rPr>
              <w:t>(f)</w:t>
            </w:r>
          </w:p>
        </w:tc>
        <w:tc>
          <w:tcPr>
            <w:tcW w:w="555" w:type="pct"/>
            <w:tcBorders>
              <w:top w:val="nil"/>
              <w:left w:val="nil"/>
              <w:bottom w:val="dotted" w:sz="4" w:space="0" w:color="auto"/>
              <w:right w:val="nil"/>
            </w:tcBorders>
            <w:shd w:val="clear" w:color="auto" w:fill="auto"/>
            <w:noWrap/>
            <w:vAlign w:val="center"/>
            <w:hideMark/>
          </w:tcPr>
          <w:p w14:paraId="72B0FFC2" w14:textId="212011B6"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25.557.961 </w:t>
            </w:r>
          </w:p>
        </w:tc>
        <w:tc>
          <w:tcPr>
            <w:tcW w:w="504" w:type="pct"/>
            <w:tcBorders>
              <w:top w:val="nil"/>
              <w:left w:val="nil"/>
              <w:bottom w:val="dotted" w:sz="4" w:space="0" w:color="auto"/>
              <w:right w:val="nil"/>
            </w:tcBorders>
            <w:shd w:val="clear" w:color="auto" w:fill="auto"/>
            <w:noWrap/>
            <w:vAlign w:val="center"/>
            <w:hideMark/>
          </w:tcPr>
          <w:p w14:paraId="0B50AE7D"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602" w:type="pct"/>
            <w:tcBorders>
              <w:top w:val="nil"/>
              <w:left w:val="nil"/>
              <w:bottom w:val="dotted" w:sz="4" w:space="0" w:color="auto"/>
              <w:right w:val="nil"/>
            </w:tcBorders>
            <w:shd w:val="clear" w:color="auto" w:fill="auto"/>
            <w:noWrap/>
            <w:vAlign w:val="center"/>
            <w:hideMark/>
          </w:tcPr>
          <w:p w14:paraId="3142B260"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66C1D2DB" w14:textId="55C66D6D"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25.557.961 </w:t>
            </w:r>
          </w:p>
        </w:tc>
        <w:tc>
          <w:tcPr>
            <w:tcW w:w="457" w:type="pct"/>
            <w:tcBorders>
              <w:top w:val="nil"/>
              <w:left w:val="nil"/>
              <w:bottom w:val="dotted" w:sz="4" w:space="0" w:color="auto"/>
              <w:right w:val="nil"/>
            </w:tcBorders>
            <w:shd w:val="clear" w:color="auto" w:fill="auto"/>
            <w:noWrap/>
            <w:vAlign w:val="center"/>
            <w:hideMark/>
          </w:tcPr>
          <w:p w14:paraId="34C30E6D"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54" w:type="pct"/>
            <w:tcBorders>
              <w:top w:val="nil"/>
              <w:left w:val="nil"/>
              <w:bottom w:val="dotted" w:sz="4" w:space="0" w:color="auto"/>
              <w:right w:val="nil"/>
            </w:tcBorders>
            <w:shd w:val="clear" w:color="auto" w:fill="auto"/>
            <w:noWrap/>
            <w:vAlign w:val="center"/>
            <w:hideMark/>
          </w:tcPr>
          <w:p w14:paraId="3A0D3088"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270BAF71" w14:textId="3A85C245"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25.557.961 </w:t>
            </w:r>
          </w:p>
        </w:tc>
      </w:tr>
      <w:tr w:rsidR="00117E79" w:rsidRPr="00117E79" w14:paraId="3D9CCD05" w14:textId="77777777" w:rsidTr="00117E79">
        <w:trPr>
          <w:trHeight w:val="227"/>
        </w:trPr>
        <w:tc>
          <w:tcPr>
            <w:tcW w:w="1297" w:type="pct"/>
            <w:tcBorders>
              <w:top w:val="nil"/>
              <w:left w:val="nil"/>
              <w:bottom w:val="dotted" w:sz="4" w:space="0" w:color="auto"/>
              <w:right w:val="nil"/>
            </w:tcBorders>
            <w:shd w:val="clear" w:color="auto" w:fill="auto"/>
            <w:vAlign w:val="center"/>
            <w:hideMark/>
          </w:tcPr>
          <w:p w14:paraId="39D3AE37"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Direito de Uso de Imóveis</w:t>
            </w:r>
            <w:r w:rsidRPr="00117E79">
              <w:rPr>
                <w:rFonts w:ascii="Calibri" w:eastAsia="Times New Roman" w:hAnsi="Calibri" w:cs="Calibri"/>
                <w:color w:val="0070C0"/>
                <w:sz w:val="16"/>
                <w:szCs w:val="16"/>
              </w:rPr>
              <w:t xml:space="preserve"> </w:t>
            </w:r>
            <w:r w:rsidRPr="00117E79">
              <w:rPr>
                <w:rFonts w:ascii="Calibri" w:eastAsia="Times New Roman" w:hAnsi="Calibri" w:cs="Calibri"/>
                <w:color w:val="2E74B5"/>
                <w:sz w:val="14"/>
                <w:szCs w:val="14"/>
              </w:rPr>
              <w:t>(Nota Explicativa 21)</w:t>
            </w:r>
          </w:p>
        </w:tc>
        <w:tc>
          <w:tcPr>
            <w:tcW w:w="555" w:type="pct"/>
            <w:tcBorders>
              <w:top w:val="nil"/>
              <w:left w:val="nil"/>
              <w:bottom w:val="dotted" w:sz="4" w:space="0" w:color="auto"/>
              <w:right w:val="nil"/>
            </w:tcBorders>
            <w:shd w:val="clear" w:color="auto" w:fill="auto"/>
            <w:noWrap/>
            <w:vAlign w:val="center"/>
            <w:hideMark/>
          </w:tcPr>
          <w:p w14:paraId="08CF5730" w14:textId="15C3D30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19.099.122 </w:t>
            </w:r>
          </w:p>
        </w:tc>
        <w:tc>
          <w:tcPr>
            <w:tcW w:w="504" w:type="pct"/>
            <w:tcBorders>
              <w:top w:val="nil"/>
              <w:left w:val="nil"/>
              <w:bottom w:val="dotted" w:sz="4" w:space="0" w:color="auto"/>
              <w:right w:val="nil"/>
            </w:tcBorders>
            <w:shd w:val="clear" w:color="auto" w:fill="auto"/>
            <w:noWrap/>
            <w:vAlign w:val="center"/>
            <w:hideMark/>
          </w:tcPr>
          <w:p w14:paraId="155092CC" w14:textId="3A3C1335"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(7.961.498)</w:t>
            </w:r>
          </w:p>
        </w:tc>
        <w:tc>
          <w:tcPr>
            <w:tcW w:w="602" w:type="pct"/>
            <w:tcBorders>
              <w:top w:val="nil"/>
              <w:left w:val="nil"/>
              <w:bottom w:val="dotted" w:sz="4" w:space="0" w:color="auto"/>
              <w:right w:val="nil"/>
            </w:tcBorders>
            <w:shd w:val="clear" w:color="auto" w:fill="auto"/>
            <w:noWrap/>
            <w:vAlign w:val="center"/>
            <w:hideMark/>
          </w:tcPr>
          <w:p w14:paraId="4F1C6517"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0F5EFA0D" w14:textId="1486C2A6"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11.137.623 </w:t>
            </w:r>
          </w:p>
        </w:tc>
        <w:tc>
          <w:tcPr>
            <w:tcW w:w="457" w:type="pct"/>
            <w:tcBorders>
              <w:top w:val="nil"/>
              <w:left w:val="nil"/>
              <w:bottom w:val="dotted" w:sz="4" w:space="0" w:color="auto"/>
              <w:right w:val="nil"/>
            </w:tcBorders>
            <w:shd w:val="clear" w:color="auto" w:fill="auto"/>
            <w:noWrap/>
            <w:vAlign w:val="center"/>
            <w:hideMark/>
          </w:tcPr>
          <w:p w14:paraId="49AB7E44" w14:textId="6D2232CE"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254.702 </w:t>
            </w:r>
          </w:p>
        </w:tc>
        <w:tc>
          <w:tcPr>
            <w:tcW w:w="554" w:type="pct"/>
            <w:tcBorders>
              <w:top w:val="nil"/>
              <w:left w:val="nil"/>
              <w:bottom w:val="dotted" w:sz="4" w:space="0" w:color="auto"/>
              <w:right w:val="nil"/>
            </w:tcBorders>
            <w:shd w:val="clear" w:color="auto" w:fill="auto"/>
            <w:noWrap/>
            <w:vAlign w:val="center"/>
            <w:hideMark/>
          </w:tcPr>
          <w:p w14:paraId="5317E3B9" w14:textId="19B1F303"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(1.026.816)</w:t>
            </w:r>
          </w:p>
        </w:tc>
        <w:tc>
          <w:tcPr>
            <w:tcW w:w="516" w:type="pct"/>
            <w:tcBorders>
              <w:top w:val="nil"/>
              <w:left w:val="nil"/>
              <w:bottom w:val="dotted" w:sz="4" w:space="0" w:color="auto"/>
              <w:right w:val="nil"/>
            </w:tcBorders>
            <w:shd w:val="clear" w:color="auto" w:fill="auto"/>
            <w:noWrap/>
            <w:vAlign w:val="center"/>
            <w:hideMark/>
          </w:tcPr>
          <w:p w14:paraId="5688150F" w14:textId="673E4014"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10.365.509 </w:t>
            </w:r>
          </w:p>
        </w:tc>
      </w:tr>
      <w:tr w:rsidR="00117E79" w:rsidRPr="00117E79" w14:paraId="099AA968" w14:textId="77777777" w:rsidTr="00117E79">
        <w:trPr>
          <w:trHeight w:val="227"/>
        </w:trPr>
        <w:tc>
          <w:tcPr>
            <w:tcW w:w="1297" w:type="pct"/>
            <w:tcBorders>
              <w:top w:val="nil"/>
              <w:left w:val="nil"/>
              <w:bottom w:val="dotted" w:sz="4" w:space="0" w:color="auto"/>
              <w:right w:val="nil"/>
            </w:tcBorders>
            <w:shd w:val="clear" w:color="auto" w:fill="auto"/>
            <w:vAlign w:val="center"/>
            <w:hideMark/>
          </w:tcPr>
          <w:p w14:paraId="43721A39"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Pátio Porto Franco </w:t>
            </w:r>
            <w:r w:rsidRPr="00117E79">
              <w:rPr>
                <w:rFonts w:ascii="Calibri" w:eastAsia="Times New Roman" w:hAnsi="Calibri" w:cs="Calibri"/>
                <w:color w:val="2E74B5"/>
                <w:sz w:val="16"/>
                <w:szCs w:val="16"/>
              </w:rPr>
              <w:t xml:space="preserve">(d) </w:t>
            </w:r>
          </w:p>
        </w:tc>
        <w:tc>
          <w:tcPr>
            <w:tcW w:w="555" w:type="pct"/>
            <w:tcBorders>
              <w:top w:val="nil"/>
              <w:left w:val="nil"/>
              <w:bottom w:val="dotted" w:sz="4" w:space="0" w:color="auto"/>
              <w:right w:val="nil"/>
            </w:tcBorders>
            <w:shd w:val="clear" w:color="auto" w:fill="auto"/>
            <w:noWrap/>
            <w:vAlign w:val="center"/>
            <w:hideMark/>
          </w:tcPr>
          <w:p w14:paraId="0B64DBA5" w14:textId="3C405A95"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9.009.461 </w:t>
            </w:r>
          </w:p>
        </w:tc>
        <w:tc>
          <w:tcPr>
            <w:tcW w:w="504" w:type="pct"/>
            <w:tcBorders>
              <w:top w:val="nil"/>
              <w:left w:val="nil"/>
              <w:bottom w:val="dotted" w:sz="4" w:space="0" w:color="auto"/>
              <w:right w:val="nil"/>
            </w:tcBorders>
            <w:shd w:val="clear" w:color="auto" w:fill="auto"/>
            <w:noWrap/>
            <w:vAlign w:val="center"/>
            <w:hideMark/>
          </w:tcPr>
          <w:p w14:paraId="374B01BD" w14:textId="0356369A"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(1.898.878)</w:t>
            </w:r>
          </w:p>
        </w:tc>
        <w:tc>
          <w:tcPr>
            <w:tcW w:w="602" w:type="pct"/>
            <w:tcBorders>
              <w:top w:val="nil"/>
              <w:left w:val="nil"/>
              <w:bottom w:val="dotted" w:sz="4" w:space="0" w:color="auto"/>
              <w:right w:val="nil"/>
            </w:tcBorders>
            <w:shd w:val="clear" w:color="auto" w:fill="auto"/>
            <w:noWrap/>
            <w:vAlign w:val="center"/>
            <w:hideMark/>
          </w:tcPr>
          <w:p w14:paraId="538E7D5C"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dotted" w:sz="4" w:space="0" w:color="auto"/>
              <w:right w:val="nil"/>
            </w:tcBorders>
            <w:shd w:val="clear" w:color="auto" w:fill="auto"/>
            <w:noWrap/>
            <w:vAlign w:val="center"/>
            <w:hideMark/>
          </w:tcPr>
          <w:p w14:paraId="1C6C1A20" w14:textId="32EF25C8"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7.110.583 </w:t>
            </w:r>
          </w:p>
        </w:tc>
        <w:tc>
          <w:tcPr>
            <w:tcW w:w="457" w:type="pct"/>
            <w:tcBorders>
              <w:top w:val="nil"/>
              <w:left w:val="nil"/>
              <w:bottom w:val="dotted" w:sz="4" w:space="0" w:color="auto"/>
              <w:right w:val="nil"/>
            </w:tcBorders>
            <w:shd w:val="clear" w:color="auto" w:fill="auto"/>
            <w:noWrap/>
            <w:vAlign w:val="center"/>
            <w:hideMark/>
          </w:tcPr>
          <w:p w14:paraId="7A330015"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54" w:type="pct"/>
            <w:tcBorders>
              <w:top w:val="nil"/>
              <w:left w:val="nil"/>
              <w:bottom w:val="dotted" w:sz="4" w:space="0" w:color="auto"/>
              <w:right w:val="nil"/>
            </w:tcBorders>
            <w:shd w:val="clear" w:color="auto" w:fill="auto"/>
            <w:noWrap/>
            <w:vAlign w:val="center"/>
            <w:hideMark/>
          </w:tcPr>
          <w:p w14:paraId="11972A41" w14:textId="1AC7540E"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(60.282)</w:t>
            </w:r>
          </w:p>
        </w:tc>
        <w:tc>
          <w:tcPr>
            <w:tcW w:w="516" w:type="pct"/>
            <w:tcBorders>
              <w:top w:val="nil"/>
              <w:left w:val="nil"/>
              <w:bottom w:val="dotted" w:sz="4" w:space="0" w:color="auto"/>
              <w:right w:val="nil"/>
            </w:tcBorders>
            <w:shd w:val="clear" w:color="auto" w:fill="auto"/>
            <w:noWrap/>
            <w:vAlign w:val="center"/>
            <w:hideMark/>
          </w:tcPr>
          <w:p w14:paraId="6F3CC691" w14:textId="3FC858D2"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7.050.301 </w:t>
            </w:r>
          </w:p>
        </w:tc>
      </w:tr>
      <w:tr w:rsidR="00117E79" w:rsidRPr="00117E79" w14:paraId="2A76085F" w14:textId="77777777" w:rsidTr="00117E79">
        <w:trPr>
          <w:trHeight w:val="227"/>
        </w:trPr>
        <w:tc>
          <w:tcPr>
            <w:tcW w:w="1297" w:type="pct"/>
            <w:tcBorders>
              <w:top w:val="nil"/>
              <w:left w:val="nil"/>
              <w:bottom w:val="single" w:sz="8" w:space="0" w:color="auto"/>
              <w:right w:val="nil"/>
            </w:tcBorders>
            <w:shd w:val="clear" w:color="auto" w:fill="auto"/>
            <w:noWrap/>
            <w:vAlign w:val="center"/>
            <w:hideMark/>
          </w:tcPr>
          <w:p w14:paraId="0D61B0A8" w14:textId="77777777" w:rsidR="00117E79" w:rsidRPr="00117E79" w:rsidRDefault="00117E79" w:rsidP="00117E79">
            <w:pPr>
              <w:spacing w:after="0" w:line="240" w:lineRule="auto"/>
              <w:jc w:val="both"/>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Outros Bens </w:t>
            </w:r>
            <w:r w:rsidRPr="00117E79">
              <w:rPr>
                <w:rFonts w:ascii="Calibri" w:eastAsia="Times New Roman" w:hAnsi="Calibri" w:cs="Calibri"/>
                <w:color w:val="2E74B5"/>
                <w:sz w:val="16"/>
                <w:szCs w:val="16"/>
              </w:rPr>
              <w:t>(g)</w:t>
            </w:r>
          </w:p>
        </w:tc>
        <w:tc>
          <w:tcPr>
            <w:tcW w:w="555" w:type="pct"/>
            <w:tcBorders>
              <w:top w:val="nil"/>
              <w:left w:val="nil"/>
              <w:bottom w:val="single" w:sz="8" w:space="0" w:color="auto"/>
              <w:right w:val="nil"/>
            </w:tcBorders>
            <w:shd w:val="clear" w:color="auto" w:fill="auto"/>
            <w:noWrap/>
            <w:vAlign w:val="center"/>
            <w:hideMark/>
          </w:tcPr>
          <w:p w14:paraId="77C2E782" w14:textId="7B12C561"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2.725.253 </w:t>
            </w:r>
          </w:p>
        </w:tc>
        <w:tc>
          <w:tcPr>
            <w:tcW w:w="504" w:type="pct"/>
            <w:tcBorders>
              <w:top w:val="nil"/>
              <w:left w:val="nil"/>
              <w:bottom w:val="single" w:sz="8" w:space="0" w:color="auto"/>
              <w:right w:val="nil"/>
            </w:tcBorders>
            <w:shd w:val="clear" w:color="auto" w:fill="auto"/>
            <w:noWrap/>
            <w:vAlign w:val="center"/>
            <w:hideMark/>
          </w:tcPr>
          <w:p w14:paraId="0B385533" w14:textId="1F1E64DA"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(2.662.006)</w:t>
            </w:r>
          </w:p>
        </w:tc>
        <w:tc>
          <w:tcPr>
            <w:tcW w:w="602" w:type="pct"/>
            <w:tcBorders>
              <w:top w:val="nil"/>
              <w:left w:val="nil"/>
              <w:bottom w:val="single" w:sz="8" w:space="0" w:color="auto"/>
              <w:right w:val="nil"/>
            </w:tcBorders>
            <w:shd w:val="clear" w:color="auto" w:fill="auto"/>
            <w:noWrap/>
            <w:vAlign w:val="center"/>
            <w:hideMark/>
          </w:tcPr>
          <w:p w14:paraId="0B293975" w14:textId="77777777" w:rsidR="00117E79" w:rsidRPr="00117E79" w:rsidRDefault="00117E79" w:rsidP="00117E79">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16" w:type="pct"/>
            <w:tcBorders>
              <w:top w:val="nil"/>
              <w:left w:val="nil"/>
              <w:bottom w:val="single" w:sz="8" w:space="0" w:color="auto"/>
              <w:right w:val="nil"/>
            </w:tcBorders>
            <w:shd w:val="clear" w:color="auto" w:fill="auto"/>
            <w:noWrap/>
            <w:vAlign w:val="center"/>
            <w:hideMark/>
          </w:tcPr>
          <w:p w14:paraId="478DEC42" w14:textId="272C5158"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63.248 </w:t>
            </w:r>
          </w:p>
        </w:tc>
        <w:tc>
          <w:tcPr>
            <w:tcW w:w="457" w:type="pct"/>
            <w:tcBorders>
              <w:top w:val="nil"/>
              <w:left w:val="nil"/>
              <w:bottom w:val="single" w:sz="8" w:space="0" w:color="auto"/>
              <w:right w:val="nil"/>
            </w:tcBorders>
            <w:shd w:val="clear" w:color="auto" w:fill="auto"/>
            <w:noWrap/>
            <w:vAlign w:val="center"/>
            <w:hideMark/>
          </w:tcPr>
          <w:p w14:paraId="2AAD8701" w14:textId="77777777"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 - </w:t>
            </w:r>
          </w:p>
        </w:tc>
        <w:tc>
          <w:tcPr>
            <w:tcW w:w="554" w:type="pct"/>
            <w:tcBorders>
              <w:top w:val="nil"/>
              <w:left w:val="nil"/>
              <w:bottom w:val="single" w:sz="8" w:space="0" w:color="auto"/>
              <w:right w:val="nil"/>
            </w:tcBorders>
            <w:shd w:val="clear" w:color="auto" w:fill="auto"/>
            <w:noWrap/>
            <w:vAlign w:val="center"/>
            <w:hideMark/>
          </w:tcPr>
          <w:p w14:paraId="5E2101D6" w14:textId="2FDE8FA3"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(7.520)</w:t>
            </w:r>
          </w:p>
        </w:tc>
        <w:tc>
          <w:tcPr>
            <w:tcW w:w="516" w:type="pct"/>
            <w:tcBorders>
              <w:top w:val="nil"/>
              <w:left w:val="nil"/>
              <w:bottom w:val="single" w:sz="8" w:space="0" w:color="auto"/>
              <w:right w:val="nil"/>
            </w:tcBorders>
            <w:shd w:val="clear" w:color="auto" w:fill="auto"/>
            <w:noWrap/>
            <w:vAlign w:val="center"/>
            <w:hideMark/>
          </w:tcPr>
          <w:p w14:paraId="33504BBB" w14:textId="06AE0B9A" w:rsidR="00117E79" w:rsidRPr="00117E79" w:rsidRDefault="00117E79" w:rsidP="00484277">
            <w:pPr>
              <w:spacing w:after="0" w:line="240" w:lineRule="auto"/>
              <w:jc w:val="right"/>
              <w:rPr>
                <w:rFonts w:ascii="Calibri" w:eastAsia="Times New Roman" w:hAnsi="Calibri" w:cs="Calibri"/>
                <w:color w:val="000000"/>
                <w:sz w:val="16"/>
                <w:szCs w:val="16"/>
              </w:rPr>
            </w:pPr>
            <w:r w:rsidRPr="00117E79">
              <w:rPr>
                <w:rFonts w:ascii="Calibri" w:eastAsia="Times New Roman" w:hAnsi="Calibri" w:cs="Calibri"/>
                <w:color w:val="000000"/>
                <w:sz w:val="16"/>
                <w:szCs w:val="16"/>
              </w:rPr>
              <w:t xml:space="preserve">55.728 </w:t>
            </w:r>
          </w:p>
        </w:tc>
      </w:tr>
      <w:tr w:rsidR="00117E79" w:rsidRPr="00117E79" w14:paraId="275B1936" w14:textId="77777777" w:rsidTr="00117E79">
        <w:trPr>
          <w:trHeight w:val="227"/>
        </w:trPr>
        <w:tc>
          <w:tcPr>
            <w:tcW w:w="1297" w:type="pct"/>
            <w:tcBorders>
              <w:top w:val="nil"/>
              <w:left w:val="nil"/>
              <w:bottom w:val="single" w:sz="8" w:space="0" w:color="auto"/>
              <w:right w:val="nil"/>
            </w:tcBorders>
            <w:shd w:val="clear" w:color="000000" w:fill="DEEAF6"/>
            <w:noWrap/>
            <w:vAlign w:val="center"/>
            <w:hideMark/>
          </w:tcPr>
          <w:p w14:paraId="0D2BEA46" w14:textId="77777777" w:rsidR="00117E79" w:rsidRPr="00117E79" w:rsidRDefault="00117E79" w:rsidP="00117E79">
            <w:pPr>
              <w:spacing w:after="0" w:line="240" w:lineRule="auto"/>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Total</w:t>
            </w:r>
          </w:p>
        </w:tc>
        <w:tc>
          <w:tcPr>
            <w:tcW w:w="555" w:type="pct"/>
            <w:tcBorders>
              <w:top w:val="nil"/>
              <w:left w:val="nil"/>
              <w:bottom w:val="single" w:sz="8" w:space="0" w:color="auto"/>
              <w:right w:val="nil"/>
            </w:tcBorders>
            <w:shd w:val="clear" w:color="000000" w:fill="DEEAF6"/>
            <w:noWrap/>
            <w:vAlign w:val="center"/>
            <w:hideMark/>
          </w:tcPr>
          <w:p w14:paraId="68C73706" w14:textId="70EBC589" w:rsidR="00117E79" w:rsidRPr="00117E79" w:rsidRDefault="00117E79" w:rsidP="00117E79">
            <w:pPr>
              <w:spacing w:after="0" w:line="240" w:lineRule="auto"/>
              <w:jc w:val="right"/>
              <w:rPr>
                <w:rFonts w:ascii="Calibri" w:eastAsia="Times New Roman" w:hAnsi="Calibri" w:cs="Calibri"/>
                <w:b/>
                <w:bCs/>
                <w:color w:val="000000"/>
                <w:sz w:val="16"/>
                <w:szCs w:val="16"/>
              </w:rPr>
            </w:pPr>
            <w:r w:rsidRPr="003319A4">
              <w:rPr>
                <w:rFonts w:ascii="Calibri" w:eastAsia="Times New Roman" w:hAnsi="Calibri" w:cs="Calibri"/>
                <w:b/>
                <w:color w:val="000000"/>
                <w:sz w:val="16"/>
                <w:szCs w:val="16"/>
              </w:rPr>
              <w:t>20.240.596.8</w:t>
            </w:r>
            <w:r w:rsidR="007712CD">
              <w:rPr>
                <w:rFonts w:ascii="Calibri" w:eastAsia="Times New Roman" w:hAnsi="Calibri" w:cs="Calibri"/>
                <w:b/>
                <w:bCs/>
                <w:color w:val="000000"/>
                <w:sz w:val="16"/>
                <w:szCs w:val="16"/>
              </w:rPr>
              <w:t>39</w:t>
            </w:r>
            <w:r w:rsidRPr="00117E79">
              <w:rPr>
                <w:rFonts w:ascii="Calibri" w:eastAsia="Times New Roman" w:hAnsi="Calibri" w:cs="Calibri"/>
                <w:b/>
                <w:bCs/>
                <w:color w:val="000000"/>
                <w:sz w:val="16"/>
                <w:szCs w:val="16"/>
              </w:rPr>
              <w:t xml:space="preserve"> </w:t>
            </w:r>
          </w:p>
        </w:tc>
        <w:tc>
          <w:tcPr>
            <w:tcW w:w="504" w:type="pct"/>
            <w:tcBorders>
              <w:top w:val="nil"/>
              <w:left w:val="nil"/>
              <w:bottom w:val="single" w:sz="8" w:space="0" w:color="auto"/>
              <w:right w:val="nil"/>
            </w:tcBorders>
            <w:shd w:val="clear" w:color="000000" w:fill="DEEAF6"/>
            <w:noWrap/>
            <w:vAlign w:val="center"/>
            <w:hideMark/>
          </w:tcPr>
          <w:p w14:paraId="3D96D8D7" w14:textId="75211809" w:rsidR="00117E79" w:rsidRPr="00117E79" w:rsidRDefault="00117E79" w:rsidP="00117E79">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(929.198.164)</w:t>
            </w:r>
          </w:p>
        </w:tc>
        <w:tc>
          <w:tcPr>
            <w:tcW w:w="602" w:type="pct"/>
            <w:tcBorders>
              <w:top w:val="nil"/>
              <w:left w:val="nil"/>
              <w:bottom w:val="single" w:sz="8" w:space="0" w:color="auto"/>
              <w:right w:val="nil"/>
            </w:tcBorders>
            <w:shd w:val="clear" w:color="000000" w:fill="DEEAF6"/>
            <w:noWrap/>
            <w:vAlign w:val="center"/>
            <w:hideMark/>
          </w:tcPr>
          <w:p w14:paraId="5F098D04" w14:textId="3BC749E2" w:rsidR="00117E79" w:rsidRPr="00117E79" w:rsidRDefault="00117E79" w:rsidP="00117E79">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(14.534.998.494)</w:t>
            </w:r>
          </w:p>
        </w:tc>
        <w:tc>
          <w:tcPr>
            <w:tcW w:w="516" w:type="pct"/>
            <w:tcBorders>
              <w:top w:val="nil"/>
              <w:left w:val="nil"/>
              <w:bottom w:val="single" w:sz="8" w:space="0" w:color="auto"/>
              <w:right w:val="nil"/>
            </w:tcBorders>
            <w:shd w:val="clear" w:color="000000" w:fill="DEEAF6"/>
            <w:noWrap/>
            <w:vAlign w:val="center"/>
            <w:hideMark/>
          </w:tcPr>
          <w:p w14:paraId="0C73B549" w14:textId="122FDE9F"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 xml:space="preserve">4.776.400.181 </w:t>
            </w:r>
          </w:p>
        </w:tc>
        <w:tc>
          <w:tcPr>
            <w:tcW w:w="457" w:type="pct"/>
            <w:tcBorders>
              <w:top w:val="nil"/>
              <w:left w:val="nil"/>
              <w:bottom w:val="single" w:sz="8" w:space="0" w:color="auto"/>
              <w:right w:val="nil"/>
            </w:tcBorders>
            <w:shd w:val="clear" w:color="000000" w:fill="DEEAF6"/>
            <w:noWrap/>
            <w:vAlign w:val="center"/>
            <w:hideMark/>
          </w:tcPr>
          <w:p w14:paraId="4DFE7B66" w14:textId="18ABB458"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 xml:space="preserve">187.836.274 </w:t>
            </w:r>
          </w:p>
        </w:tc>
        <w:tc>
          <w:tcPr>
            <w:tcW w:w="554" w:type="pct"/>
            <w:tcBorders>
              <w:top w:val="nil"/>
              <w:left w:val="nil"/>
              <w:bottom w:val="single" w:sz="8" w:space="0" w:color="auto"/>
              <w:right w:val="nil"/>
            </w:tcBorders>
            <w:shd w:val="clear" w:color="000000" w:fill="DEEAF6"/>
            <w:noWrap/>
            <w:vAlign w:val="center"/>
            <w:hideMark/>
          </w:tcPr>
          <w:p w14:paraId="36D0D5A4" w14:textId="2497E235"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 xml:space="preserve"> (1.094.618)</w:t>
            </w:r>
          </w:p>
        </w:tc>
        <w:tc>
          <w:tcPr>
            <w:tcW w:w="516" w:type="pct"/>
            <w:tcBorders>
              <w:top w:val="nil"/>
              <w:left w:val="nil"/>
              <w:bottom w:val="single" w:sz="8" w:space="0" w:color="auto"/>
              <w:right w:val="nil"/>
            </w:tcBorders>
            <w:shd w:val="clear" w:color="000000" w:fill="DEEAF6"/>
            <w:noWrap/>
            <w:vAlign w:val="center"/>
            <w:hideMark/>
          </w:tcPr>
          <w:p w14:paraId="04A0C967" w14:textId="7B545314" w:rsidR="00117E79" w:rsidRPr="00117E79" w:rsidRDefault="00117E79" w:rsidP="00484277">
            <w:pPr>
              <w:spacing w:after="0" w:line="240" w:lineRule="auto"/>
              <w:jc w:val="right"/>
              <w:rPr>
                <w:rFonts w:ascii="Calibri" w:eastAsia="Times New Roman" w:hAnsi="Calibri" w:cs="Calibri"/>
                <w:b/>
                <w:bCs/>
                <w:color w:val="000000"/>
                <w:sz w:val="16"/>
                <w:szCs w:val="16"/>
              </w:rPr>
            </w:pPr>
            <w:r w:rsidRPr="00117E79">
              <w:rPr>
                <w:rFonts w:ascii="Calibri" w:eastAsia="Times New Roman" w:hAnsi="Calibri" w:cs="Calibri"/>
                <w:b/>
                <w:bCs/>
                <w:color w:val="000000"/>
                <w:sz w:val="16"/>
                <w:szCs w:val="16"/>
              </w:rPr>
              <w:t xml:space="preserve">4.963.141.837 </w:t>
            </w:r>
          </w:p>
        </w:tc>
      </w:tr>
    </w:tbl>
    <w:p w14:paraId="25B944D2" w14:textId="2E79A7FA" w:rsidR="00092A1B" w:rsidRPr="00277855" w:rsidRDefault="006E49E1" w:rsidP="00C000AF">
      <w:pPr>
        <w:pStyle w:val="PargrafodaLista"/>
        <w:numPr>
          <w:ilvl w:val="0"/>
          <w:numId w:val="9"/>
        </w:numPr>
        <w:spacing w:before="120"/>
        <w:ind w:left="425" w:hanging="425"/>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 xml:space="preserve">Ferrovia Norte-Sul </w:t>
      </w:r>
      <w:r w:rsidR="002456DA">
        <w:rPr>
          <w:rFonts w:eastAsiaTheme="majorEastAsia" w:cstheme="minorHAnsi"/>
          <w:color w:val="2E74B5" w:themeColor="accent1" w:themeShade="BF"/>
          <w:sz w:val="20"/>
        </w:rPr>
        <w:t>–</w:t>
      </w:r>
      <w:r w:rsidR="002456DA" w:rsidRPr="00277855">
        <w:rPr>
          <w:rFonts w:asciiTheme="majorHAnsi" w:eastAsiaTheme="majorEastAsia" w:hAnsiTheme="majorHAnsi" w:cstheme="majorBidi"/>
          <w:color w:val="2E74B5" w:themeColor="accent1" w:themeShade="BF"/>
          <w:sz w:val="20"/>
        </w:rPr>
        <w:t xml:space="preserve"> </w:t>
      </w:r>
      <w:r w:rsidRPr="00277855">
        <w:rPr>
          <w:rFonts w:asciiTheme="majorHAnsi" w:eastAsiaTheme="majorEastAsia" w:hAnsiTheme="majorHAnsi" w:cstheme="majorBidi"/>
          <w:color w:val="2E74B5" w:themeColor="accent1" w:themeShade="BF"/>
          <w:sz w:val="20"/>
        </w:rPr>
        <w:t>FNS</w:t>
      </w:r>
    </w:p>
    <w:tbl>
      <w:tblPr>
        <w:tblW w:w="5000" w:type="pct"/>
        <w:jc w:val="center"/>
        <w:tblCellMar>
          <w:left w:w="70" w:type="dxa"/>
          <w:right w:w="70" w:type="dxa"/>
        </w:tblCellMar>
        <w:tblLook w:val="04A0" w:firstRow="1" w:lastRow="0" w:firstColumn="1" w:lastColumn="0" w:noHBand="0" w:noVBand="1"/>
      </w:tblPr>
      <w:tblGrid>
        <w:gridCol w:w="3949"/>
        <w:gridCol w:w="1300"/>
        <w:gridCol w:w="1269"/>
        <w:gridCol w:w="1269"/>
        <w:gridCol w:w="1411"/>
        <w:gridCol w:w="1269"/>
      </w:tblGrid>
      <w:tr w:rsidR="00A55D92" w:rsidRPr="00FC136C" w14:paraId="67F264B1" w14:textId="77777777" w:rsidTr="008817EB">
        <w:trPr>
          <w:trHeight w:val="227"/>
          <w:jc w:val="center"/>
        </w:trPr>
        <w:tc>
          <w:tcPr>
            <w:tcW w:w="1886" w:type="pct"/>
            <w:tcBorders>
              <w:top w:val="nil"/>
              <w:left w:val="nil"/>
              <w:bottom w:val="single" w:sz="8" w:space="0" w:color="auto"/>
              <w:right w:val="nil"/>
            </w:tcBorders>
            <w:shd w:val="clear" w:color="000000" w:fill="DEEAF6"/>
            <w:vAlign w:val="center"/>
            <w:hideMark/>
          </w:tcPr>
          <w:p w14:paraId="7D1EE00E" w14:textId="77777777" w:rsidR="00235423" w:rsidRPr="00A536C7" w:rsidRDefault="00235423" w:rsidP="00752EB6">
            <w:pPr>
              <w:spacing w:after="0" w:line="240" w:lineRule="auto"/>
              <w:jc w:val="center"/>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Ferrovia Norte-Sul (FNS)</w:t>
            </w:r>
          </w:p>
        </w:tc>
        <w:tc>
          <w:tcPr>
            <w:tcW w:w="621" w:type="pct"/>
            <w:tcBorders>
              <w:top w:val="nil"/>
              <w:left w:val="nil"/>
              <w:bottom w:val="single" w:sz="8" w:space="0" w:color="auto"/>
              <w:right w:val="nil"/>
            </w:tcBorders>
            <w:shd w:val="clear" w:color="000000" w:fill="DEEAF6"/>
            <w:vAlign w:val="center"/>
            <w:hideMark/>
          </w:tcPr>
          <w:p w14:paraId="2486838E"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Custo de Aquisição</w:t>
            </w:r>
          </w:p>
        </w:tc>
        <w:tc>
          <w:tcPr>
            <w:tcW w:w="606" w:type="pct"/>
            <w:tcBorders>
              <w:top w:val="nil"/>
              <w:left w:val="nil"/>
              <w:bottom w:val="single" w:sz="8" w:space="0" w:color="auto"/>
              <w:right w:val="nil"/>
            </w:tcBorders>
            <w:shd w:val="clear" w:color="000000" w:fill="DEEAF6"/>
            <w:vAlign w:val="center"/>
            <w:hideMark/>
          </w:tcPr>
          <w:p w14:paraId="5771ABD6"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Taxa de Depreciação %</w:t>
            </w:r>
          </w:p>
        </w:tc>
        <w:tc>
          <w:tcPr>
            <w:tcW w:w="606" w:type="pct"/>
            <w:tcBorders>
              <w:top w:val="nil"/>
              <w:left w:val="nil"/>
              <w:bottom w:val="single" w:sz="8" w:space="0" w:color="auto"/>
              <w:right w:val="nil"/>
            </w:tcBorders>
            <w:shd w:val="clear" w:color="000000" w:fill="DEEAF6"/>
            <w:vAlign w:val="center"/>
            <w:hideMark/>
          </w:tcPr>
          <w:p w14:paraId="3EDA14FF"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Depreciação</w:t>
            </w:r>
            <w:r w:rsidRPr="00A536C7">
              <w:rPr>
                <w:rFonts w:ascii="Calibri" w:eastAsia="Times New Roman" w:hAnsi="Calibri" w:cs="Calibri"/>
                <w:b/>
                <w:color w:val="000000"/>
                <w:sz w:val="16"/>
                <w:szCs w:val="16"/>
              </w:rPr>
              <w:br/>
              <w:t>Acumulada até 31/12/</w:t>
            </w:r>
            <w:r w:rsidRPr="00A536C7">
              <w:rPr>
                <w:rFonts w:ascii="Calibri" w:eastAsia="Times New Roman" w:hAnsi="Calibri" w:cs="Calibri"/>
                <w:b/>
                <w:bCs/>
                <w:color w:val="000000"/>
                <w:sz w:val="16"/>
                <w:szCs w:val="16"/>
              </w:rPr>
              <w:t>202</w:t>
            </w:r>
            <w:r>
              <w:rPr>
                <w:rFonts w:ascii="Calibri" w:eastAsia="Times New Roman" w:hAnsi="Calibri" w:cs="Calibri"/>
                <w:b/>
                <w:bCs/>
                <w:color w:val="000000"/>
                <w:sz w:val="16"/>
                <w:szCs w:val="16"/>
              </w:rPr>
              <w:t>3</w:t>
            </w:r>
          </w:p>
        </w:tc>
        <w:tc>
          <w:tcPr>
            <w:tcW w:w="674" w:type="pct"/>
            <w:tcBorders>
              <w:top w:val="nil"/>
              <w:left w:val="nil"/>
              <w:bottom w:val="single" w:sz="8" w:space="0" w:color="auto"/>
              <w:right w:val="nil"/>
            </w:tcBorders>
            <w:shd w:val="clear" w:color="000000" w:fill="DEEAF6"/>
            <w:vAlign w:val="center"/>
            <w:hideMark/>
          </w:tcPr>
          <w:p w14:paraId="4F6455D3"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Redução ao Valor Recuperável</w:t>
            </w:r>
          </w:p>
        </w:tc>
        <w:tc>
          <w:tcPr>
            <w:tcW w:w="606" w:type="pct"/>
            <w:tcBorders>
              <w:top w:val="nil"/>
              <w:left w:val="nil"/>
              <w:bottom w:val="single" w:sz="8" w:space="0" w:color="auto"/>
              <w:right w:val="nil"/>
            </w:tcBorders>
            <w:shd w:val="clear" w:color="000000" w:fill="DEEAF6"/>
            <w:vAlign w:val="center"/>
            <w:hideMark/>
          </w:tcPr>
          <w:p w14:paraId="573D5BAA"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Saldo em</w:t>
            </w:r>
            <w:r w:rsidRPr="00A536C7">
              <w:rPr>
                <w:rFonts w:ascii="Calibri" w:eastAsia="Times New Roman" w:hAnsi="Calibri" w:cs="Calibri"/>
                <w:b/>
                <w:color w:val="000000"/>
                <w:sz w:val="16"/>
                <w:szCs w:val="16"/>
              </w:rPr>
              <w:br/>
              <w:t>31/</w:t>
            </w:r>
            <w:r>
              <w:rPr>
                <w:rFonts w:ascii="Calibri" w:eastAsia="Times New Roman" w:hAnsi="Calibri" w:cs="Calibri"/>
                <w:b/>
                <w:bCs/>
                <w:color w:val="000000"/>
                <w:sz w:val="16"/>
                <w:szCs w:val="16"/>
              </w:rPr>
              <w:t>03</w:t>
            </w:r>
            <w:r w:rsidRPr="00A536C7">
              <w:rPr>
                <w:rFonts w:ascii="Calibri" w:eastAsia="Times New Roman" w:hAnsi="Calibri" w:cs="Calibri"/>
                <w:b/>
                <w:bCs/>
                <w:color w:val="000000"/>
                <w:sz w:val="16"/>
                <w:szCs w:val="16"/>
              </w:rPr>
              <w:t>/202</w:t>
            </w:r>
            <w:r>
              <w:rPr>
                <w:rFonts w:ascii="Calibri" w:eastAsia="Times New Roman" w:hAnsi="Calibri" w:cs="Calibri"/>
                <w:b/>
                <w:bCs/>
                <w:color w:val="000000"/>
                <w:sz w:val="16"/>
                <w:szCs w:val="16"/>
              </w:rPr>
              <w:t>4</w:t>
            </w:r>
          </w:p>
        </w:tc>
      </w:tr>
      <w:tr w:rsidR="00235423" w:rsidRPr="00FC136C" w14:paraId="611EF005" w14:textId="77777777" w:rsidTr="008817EB">
        <w:trPr>
          <w:trHeight w:val="227"/>
          <w:jc w:val="center"/>
        </w:trPr>
        <w:tc>
          <w:tcPr>
            <w:tcW w:w="1886" w:type="pct"/>
            <w:tcBorders>
              <w:top w:val="nil"/>
              <w:left w:val="nil"/>
              <w:right w:val="nil"/>
            </w:tcBorders>
            <w:shd w:val="clear" w:color="auto" w:fill="auto"/>
            <w:noWrap/>
            <w:vAlign w:val="center"/>
            <w:hideMark/>
          </w:tcPr>
          <w:p w14:paraId="590DD5A2" w14:textId="77777777" w:rsidR="00235423" w:rsidRPr="00A536C7" w:rsidRDefault="00235423" w:rsidP="00752EB6">
            <w:pPr>
              <w:spacing w:after="0" w:line="240" w:lineRule="auto"/>
              <w:rPr>
                <w:rFonts w:ascii="Calibri" w:eastAsia="Times New Roman" w:hAnsi="Calibri" w:cs="Calibri"/>
                <w:color w:val="000000"/>
                <w:sz w:val="16"/>
                <w:szCs w:val="16"/>
              </w:rPr>
            </w:pPr>
            <w:r w:rsidRPr="00A536C7">
              <w:rPr>
                <w:rFonts w:ascii="Calibri" w:eastAsia="Times New Roman" w:hAnsi="Calibri" w:cs="Calibri"/>
                <w:color w:val="000000"/>
                <w:sz w:val="16"/>
                <w:szCs w:val="16"/>
              </w:rPr>
              <w:t xml:space="preserve">FNS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Açailândia/MA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Palmas/TO </w:t>
            </w:r>
          </w:p>
        </w:tc>
        <w:tc>
          <w:tcPr>
            <w:tcW w:w="621" w:type="pct"/>
            <w:tcBorders>
              <w:top w:val="nil"/>
              <w:left w:val="nil"/>
              <w:right w:val="nil"/>
            </w:tcBorders>
            <w:shd w:val="clear" w:color="auto" w:fill="auto"/>
            <w:noWrap/>
            <w:vAlign w:val="center"/>
            <w:hideMark/>
          </w:tcPr>
          <w:p w14:paraId="02C980F2"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2.607.268.664</w:t>
            </w:r>
          </w:p>
        </w:tc>
        <w:tc>
          <w:tcPr>
            <w:tcW w:w="606" w:type="pct"/>
            <w:tcBorders>
              <w:top w:val="nil"/>
              <w:left w:val="nil"/>
              <w:right w:val="nil"/>
            </w:tcBorders>
            <w:shd w:val="clear" w:color="auto" w:fill="auto"/>
            <w:noWrap/>
            <w:vAlign w:val="center"/>
            <w:hideMark/>
          </w:tcPr>
          <w:p w14:paraId="07647645"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 e 2,86</w:t>
            </w:r>
          </w:p>
        </w:tc>
        <w:tc>
          <w:tcPr>
            <w:tcW w:w="606" w:type="pct"/>
            <w:tcBorders>
              <w:top w:val="nil"/>
              <w:left w:val="nil"/>
              <w:right w:val="nil"/>
            </w:tcBorders>
            <w:shd w:val="clear" w:color="auto" w:fill="auto"/>
            <w:noWrap/>
            <w:vAlign w:val="center"/>
            <w:hideMark/>
          </w:tcPr>
          <w:p w14:paraId="3419EAF1"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(293.414.823)</w:t>
            </w:r>
          </w:p>
        </w:tc>
        <w:tc>
          <w:tcPr>
            <w:tcW w:w="674" w:type="pct"/>
            <w:tcBorders>
              <w:top w:val="nil"/>
              <w:left w:val="nil"/>
              <w:right w:val="nil"/>
            </w:tcBorders>
            <w:shd w:val="clear" w:color="auto" w:fill="auto"/>
            <w:noWrap/>
            <w:vAlign w:val="center"/>
            <w:hideMark/>
          </w:tcPr>
          <w:p w14:paraId="61570105"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(2.313.853.841)</w:t>
            </w:r>
          </w:p>
        </w:tc>
        <w:tc>
          <w:tcPr>
            <w:tcW w:w="606" w:type="pct"/>
            <w:tcBorders>
              <w:top w:val="nil"/>
              <w:left w:val="nil"/>
              <w:right w:val="nil"/>
            </w:tcBorders>
            <w:shd w:val="clear" w:color="auto" w:fill="auto"/>
            <w:noWrap/>
            <w:vAlign w:val="center"/>
            <w:hideMark/>
          </w:tcPr>
          <w:p w14:paraId="61CF19D5"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w:t>
            </w:r>
          </w:p>
        </w:tc>
      </w:tr>
      <w:tr w:rsidR="00235423" w:rsidRPr="00FC136C" w14:paraId="3DA0FB02" w14:textId="77777777" w:rsidTr="008817EB">
        <w:trPr>
          <w:trHeight w:val="227"/>
          <w:jc w:val="center"/>
        </w:trPr>
        <w:tc>
          <w:tcPr>
            <w:tcW w:w="1886" w:type="pct"/>
            <w:tcBorders>
              <w:left w:val="nil"/>
              <w:right w:val="nil"/>
            </w:tcBorders>
            <w:shd w:val="clear" w:color="auto" w:fill="auto"/>
            <w:noWrap/>
            <w:vAlign w:val="center"/>
            <w:hideMark/>
          </w:tcPr>
          <w:p w14:paraId="7AEAE261" w14:textId="77777777" w:rsidR="00235423" w:rsidRPr="00A536C7" w:rsidRDefault="00235423" w:rsidP="00752EB6">
            <w:pPr>
              <w:spacing w:after="0" w:line="240" w:lineRule="auto"/>
              <w:rPr>
                <w:rFonts w:ascii="Calibri" w:eastAsia="Times New Roman" w:hAnsi="Calibri" w:cs="Calibri"/>
                <w:color w:val="000000"/>
                <w:sz w:val="16"/>
                <w:szCs w:val="16"/>
              </w:rPr>
            </w:pPr>
            <w:r w:rsidRPr="00A536C7">
              <w:rPr>
                <w:rFonts w:ascii="Calibri" w:eastAsia="Times New Roman" w:hAnsi="Calibri" w:cs="Calibri"/>
                <w:color w:val="000000"/>
                <w:sz w:val="16"/>
                <w:szCs w:val="16"/>
              </w:rPr>
              <w:t xml:space="preserve">FNS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Porto Nacional/TO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Anápolis/GO </w:t>
            </w:r>
          </w:p>
        </w:tc>
        <w:tc>
          <w:tcPr>
            <w:tcW w:w="621" w:type="pct"/>
            <w:tcBorders>
              <w:left w:val="nil"/>
              <w:right w:val="nil"/>
            </w:tcBorders>
            <w:shd w:val="clear" w:color="auto" w:fill="auto"/>
            <w:noWrap/>
            <w:vAlign w:val="center"/>
            <w:hideMark/>
          </w:tcPr>
          <w:p w14:paraId="1FFB9907"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4.927.704.988</w:t>
            </w:r>
          </w:p>
        </w:tc>
        <w:tc>
          <w:tcPr>
            <w:tcW w:w="606" w:type="pct"/>
            <w:tcBorders>
              <w:left w:val="nil"/>
              <w:right w:val="nil"/>
            </w:tcBorders>
            <w:shd w:val="clear" w:color="auto" w:fill="auto"/>
            <w:noWrap/>
            <w:vAlign w:val="center"/>
            <w:hideMark/>
          </w:tcPr>
          <w:p w14:paraId="122A69B4"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 e 2,86</w:t>
            </w:r>
          </w:p>
        </w:tc>
        <w:tc>
          <w:tcPr>
            <w:tcW w:w="606" w:type="pct"/>
            <w:tcBorders>
              <w:left w:val="nil"/>
              <w:right w:val="nil"/>
            </w:tcBorders>
            <w:shd w:val="clear" w:color="auto" w:fill="auto"/>
            <w:noWrap/>
            <w:vAlign w:val="center"/>
            <w:hideMark/>
          </w:tcPr>
          <w:p w14:paraId="0025CECC"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(623.260.959)</w:t>
            </w:r>
          </w:p>
        </w:tc>
        <w:tc>
          <w:tcPr>
            <w:tcW w:w="674" w:type="pct"/>
            <w:tcBorders>
              <w:left w:val="nil"/>
              <w:right w:val="nil"/>
            </w:tcBorders>
            <w:shd w:val="clear" w:color="auto" w:fill="auto"/>
            <w:noWrap/>
            <w:vAlign w:val="center"/>
            <w:hideMark/>
          </w:tcPr>
          <w:p w14:paraId="457B289F"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(4.304.444.029)</w:t>
            </w:r>
          </w:p>
        </w:tc>
        <w:tc>
          <w:tcPr>
            <w:tcW w:w="606" w:type="pct"/>
            <w:tcBorders>
              <w:left w:val="nil"/>
              <w:right w:val="nil"/>
            </w:tcBorders>
            <w:shd w:val="clear" w:color="auto" w:fill="auto"/>
            <w:noWrap/>
            <w:vAlign w:val="center"/>
            <w:hideMark/>
          </w:tcPr>
          <w:p w14:paraId="20D244AA"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w:t>
            </w:r>
          </w:p>
        </w:tc>
      </w:tr>
      <w:tr w:rsidR="00235423" w:rsidRPr="00FC136C" w14:paraId="24BA489E" w14:textId="77777777" w:rsidTr="008817EB">
        <w:trPr>
          <w:trHeight w:val="227"/>
          <w:jc w:val="center"/>
        </w:trPr>
        <w:tc>
          <w:tcPr>
            <w:tcW w:w="1886" w:type="pct"/>
            <w:tcBorders>
              <w:left w:val="nil"/>
              <w:bottom w:val="nil"/>
              <w:right w:val="nil"/>
            </w:tcBorders>
            <w:shd w:val="clear" w:color="auto" w:fill="auto"/>
            <w:noWrap/>
            <w:vAlign w:val="center"/>
            <w:hideMark/>
          </w:tcPr>
          <w:p w14:paraId="63CA5FFB" w14:textId="77777777" w:rsidR="00235423" w:rsidRPr="00A536C7" w:rsidRDefault="00235423" w:rsidP="00752EB6">
            <w:pPr>
              <w:spacing w:after="0" w:line="240" w:lineRule="auto"/>
              <w:rPr>
                <w:rFonts w:ascii="Calibri" w:eastAsia="Times New Roman" w:hAnsi="Calibri" w:cs="Calibri"/>
                <w:color w:val="000000"/>
                <w:sz w:val="16"/>
                <w:szCs w:val="16"/>
              </w:rPr>
            </w:pPr>
            <w:r w:rsidRPr="00A536C7">
              <w:rPr>
                <w:rFonts w:ascii="Calibri" w:eastAsia="Times New Roman" w:hAnsi="Calibri" w:cs="Calibri"/>
                <w:color w:val="000000"/>
                <w:sz w:val="16"/>
                <w:szCs w:val="16"/>
              </w:rPr>
              <w:t xml:space="preserve">FNS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Ouro Verde/GO </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 Estrela D</w:t>
            </w:r>
            <w:r w:rsidRPr="00A536C7">
              <w:rPr>
                <w:rFonts w:eastAsia="Times New Roman" w:cstheme="minorHAnsi"/>
                <w:color w:val="000000"/>
                <w:sz w:val="16"/>
                <w:szCs w:val="16"/>
              </w:rPr>
              <w:t>’</w:t>
            </w:r>
            <w:r w:rsidRPr="00A536C7">
              <w:rPr>
                <w:rFonts w:ascii="Calibri" w:eastAsia="Times New Roman" w:hAnsi="Calibri" w:cs="Calibri"/>
                <w:color w:val="000000"/>
                <w:sz w:val="16"/>
                <w:szCs w:val="16"/>
              </w:rPr>
              <w:t xml:space="preserve">Oeste/SP </w:t>
            </w:r>
          </w:p>
        </w:tc>
        <w:tc>
          <w:tcPr>
            <w:tcW w:w="621" w:type="pct"/>
            <w:tcBorders>
              <w:left w:val="nil"/>
              <w:bottom w:val="nil"/>
              <w:right w:val="nil"/>
            </w:tcBorders>
            <w:shd w:val="clear" w:color="auto" w:fill="auto"/>
            <w:noWrap/>
            <w:vAlign w:val="center"/>
            <w:hideMark/>
          </w:tcPr>
          <w:p w14:paraId="65D0FB5F"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4.745.820.801</w:t>
            </w:r>
          </w:p>
        </w:tc>
        <w:tc>
          <w:tcPr>
            <w:tcW w:w="606" w:type="pct"/>
            <w:tcBorders>
              <w:left w:val="nil"/>
              <w:bottom w:val="nil"/>
              <w:right w:val="nil"/>
            </w:tcBorders>
            <w:shd w:val="clear" w:color="auto" w:fill="auto"/>
            <w:noWrap/>
            <w:vAlign w:val="center"/>
            <w:hideMark/>
          </w:tcPr>
          <w:p w14:paraId="1D484787"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w:t>
            </w:r>
          </w:p>
        </w:tc>
        <w:tc>
          <w:tcPr>
            <w:tcW w:w="606" w:type="pct"/>
            <w:tcBorders>
              <w:left w:val="nil"/>
              <w:bottom w:val="nil"/>
              <w:right w:val="nil"/>
            </w:tcBorders>
            <w:shd w:val="clear" w:color="auto" w:fill="auto"/>
            <w:noWrap/>
            <w:vAlign w:val="center"/>
            <w:hideMark/>
          </w:tcPr>
          <w:p w14:paraId="78ECBB9D"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w:t>
            </w:r>
          </w:p>
        </w:tc>
        <w:tc>
          <w:tcPr>
            <w:tcW w:w="674" w:type="pct"/>
            <w:tcBorders>
              <w:left w:val="nil"/>
              <w:bottom w:val="nil"/>
              <w:right w:val="nil"/>
            </w:tcBorders>
            <w:shd w:val="clear" w:color="auto" w:fill="auto"/>
            <w:noWrap/>
            <w:vAlign w:val="center"/>
            <w:hideMark/>
          </w:tcPr>
          <w:p w14:paraId="2CE6715E"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(4.745.820.801)</w:t>
            </w:r>
          </w:p>
        </w:tc>
        <w:tc>
          <w:tcPr>
            <w:tcW w:w="606" w:type="pct"/>
            <w:tcBorders>
              <w:left w:val="nil"/>
              <w:bottom w:val="nil"/>
              <w:right w:val="nil"/>
            </w:tcBorders>
            <w:shd w:val="clear" w:color="auto" w:fill="auto"/>
            <w:noWrap/>
            <w:vAlign w:val="center"/>
            <w:hideMark/>
          </w:tcPr>
          <w:p w14:paraId="1F97FC64" w14:textId="77777777" w:rsidR="00235423" w:rsidRPr="00A536C7" w:rsidRDefault="00235423" w:rsidP="00484277">
            <w:pPr>
              <w:spacing w:after="0" w:line="240" w:lineRule="auto"/>
              <w:jc w:val="right"/>
              <w:rPr>
                <w:rFonts w:ascii="Calibri" w:eastAsia="Times New Roman" w:hAnsi="Calibri" w:cs="Calibri"/>
                <w:color w:val="000000"/>
                <w:sz w:val="16"/>
                <w:szCs w:val="16"/>
              </w:rPr>
            </w:pPr>
            <w:r w:rsidRPr="00A536C7">
              <w:rPr>
                <w:rFonts w:ascii="Calibri" w:eastAsia="Times New Roman" w:hAnsi="Calibri" w:cs="Calibri"/>
                <w:color w:val="000000"/>
                <w:sz w:val="16"/>
                <w:szCs w:val="16"/>
              </w:rPr>
              <w:t>-</w:t>
            </w:r>
          </w:p>
        </w:tc>
      </w:tr>
      <w:tr w:rsidR="00A55D92" w:rsidRPr="00FC136C" w14:paraId="6170796E" w14:textId="77777777" w:rsidTr="008817EB">
        <w:trPr>
          <w:trHeight w:val="227"/>
          <w:jc w:val="center"/>
        </w:trPr>
        <w:tc>
          <w:tcPr>
            <w:tcW w:w="1886" w:type="pct"/>
            <w:tcBorders>
              <w:top w:val="single" w:sz="8" w:space="0" w:color="auto"/>
              <w:left w:val="nil"/>
              <w:bottom w:val="single" w:sz="8" w:space="0" w:color="auto"/>
              <w:right w:val="nil"/>
            </w:tcBorders>
            <w:shd w:val="clear" w:color="000000" w:fill="DEEAF6"/>
            <w:noWrap/>
            <w:vAlign w:val="center"/>
            <w:hideMark/>
          </w:tcPr>
          <w:p w14:paraId="1980A965" w14:textId="77777777" w:rsidR="00235423" w:rsidRPr="00A536C7" w:rsidRDefault="00235423" w:rsidP="00752EB6">
            <w:pPr>
              <w:spacing w:after="0" w:line="240" w:lineRule="auto"/>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Total</w:t>
            </w:r>
          </w:p>
        </w:tc>
        <w:tc>
          <w:tcPr>
            <w:tcW w:w="621" w:type="pct"/>
            <w:tcBorders>
              <w:top w:val="single" w:sz="8" w:space="0" w:color="auto"/>
              <w:left w:val="nil"/>
              <w:bottom w:val="single" w:sz="8" w:space="0" w:color="auto"/>
              <w:right w:val="nil"/>
            </w:tcBorders>
            <w:shd w:val="clear" w:color="000000" w:fill="DEEAF6"/>
            <w:noWrap/>
            <w:vAlign w:val="center"/>
            <w:hideMark/>
          </w:tcPr>
          <w:p w14:paraId="77EF52EB"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12.280.794.453</w:t>
            </w:r>
          </w:p>
        </w:tc>
        <w:tc>
          <w:tcPr>
            <w:tcW w:w="606" w:type="pct"/>
            <w:tcBorders>
              <w:top w:val="single" w:sz="8" w:space="0" w:color="auto"/>
              <w:left w:val="nil"/>
              <w:bottom w:val="single" w:sz="8" w:space="0" w:color="auto"/>
              <w:right w:val="nil"/>
            </w:tcBorders>
            <w:shd w:val="clear" w:color="000000" w:fill="DEEAF6"/>
            <w:noWrap/>
            <w:vAlign w:val="center"/>
            <w:hideMark/>
          </w:tcPr>
          <w:p w14:paraId="334CE94C"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w:t>
            </w:r>
          </w:p>
        </w:tc>
        <w:tc>
          <w:tcPr>
            <w:tcW w:w="606" w:type="pct"/>
            <w:tcBorders>
              <w:top w:val="single" w:sz="8" w:space="0" w:color="auto"/>
              <w:left w:val="nil"/>
              <w:bottom w:val="single" w:sz="8" w:space="0" w:color="auto"/>
              <w:right w:val="nil"/>
            </w:tcBorders>
            <w:shd w:val="clear" w:color="000000" w:fill="DEEAF6"/>
            <w:noWrap/>
            <w:vAlign w:val="center"/>
            <w:hideMark/>
          </w:tcPr>
          <w:p w14:paraId="289EE00D"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(916.675.782)</w:t>
            </w:r>
          </w:p>
        </w:tc>
        <w:tc>
          <w:tcPr>
            <w:tcW w:w="674" w:type="pct"/>
            <w:tcBorders>
              <w:top w:val="single" w:sz="8" w:space="0" w:color="auto"/>
              <w:left w:val="nil"/>
              <w:bottom w:val="single" w:sz="8" w:space="0" w:color="auto"/>
              <w:right w:val="nil"/>
            </w:tcBorders>
            <w:shd w:val="clear" w:color="000000" w:fill="DEEAF6"/>
            <w:noWrap/>
            <w:vAlign w:val="center"/>
            <w:hideMark/>
          </w:tcPr>
          <w:p w14:paraId="72062B96"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(11.364.118.671)</w:t>
            </w:r>
          </w:p>
        </w:tc>
        <w:tc>
          <w:tcPr>
            <w:tcW w:w="606" w:type="pct"/>
            <w:tcBorders>
              <w:top w:val="single" w:sz="8" w:space="0" w:color="auto"/>
              <w:left w:val="nil"/>
              <w:bottom w:val="single" w:sz="8" w:space="0" w:color="auto"/>
              <w:right w:val="nil"/>
            </w:tcBorders>
            <w:shd w:val="clear" w:color="000000" w:fill="DEEAF6"/>
            <w:noWrap/>
            <w:vAlign w:val="center"/>
            <w:hideMark/>
          </w:tcPr>
          <w:p w14:paraId="71C303AA" w14:textId="77777777" w:rsidR="00235423" w:rsidRPr="00A536C7" w:rsidRDefault="00235423" w:rsidP="00484277">
            <w:pPr>
              <w:spacing w:after="0" w:line="240" w:lineRule="auto"/>
              <w:jc w:val="right"/>
              <w:rPr>
                <w:rFonts w:ascii="Calibri" w:eastAsia="Times New Roman" w:hAnsi="Calibri" w:cs="Calibri"/>
                <w:b/>
                <w:color w:val="000000"/>
                <w:sz w:val="16"/>
                <w:szCs w:val="16"/>
              </w:rPr>
            </w:pPr>
            <w:r w:rsidRPr="00A536C7">
              <w:rPr>
                <w:rFonts w:ascii="Calibri" w:eastAsia="Times New Roman" w:hAnsi="Calibri" w:cs="Calibri"/>
                <w:b/>
                <w:color w:val="000000"/>
                <w:sz w:val="16"/>
                <w:szCs w:val="16"/>
              </w:rPr>
              <w:t>-</w:t>
            </w:r>
          </w:p>
        </w:tc>
      </w:tr>
    </w:tbl>
    <w:p w14:paraId="0DC49E79" w14:textId="77777777" w:rsidR="00830B41" w:rsidRPr="00E65230" w:rsidRDefault="00830B41" w:rsidP="00830B41">
      <w:pPr>
        <w:pStyle w:val="NormalWeb"/>
        <w:spacing w:before="60" w:beforeAutospacing="0" w:after="120" w:afterAutospacing="0"/>
        <w:jc w:val="both"/>
        <w:rPr>
          <w:rFonts w:cstheme="minorHAnsi"/>
          <w:sz w:val="20"/>
        </w:rPr>
      </w:pPr>
      <w:r w:rsidRPr="00E65230">
        <w:rPr>
          <w:rFonts w:cstheme="minorHAnsi"/>
          <w:sz w:val="20"/>
        </w:rPr>
        <w:t>A outorga estabelecendo o direito de construção, uso e gozo da FNS EF – 151 se deu inicialmente por meio do Decreto n</w:t>
      </w:r>
      <w:r>
        <w:rPr>
          <w:rFonts w:cstheme="minorHAnsi"/>
          <w:sz w:val="20"/>
        </w:rPr>
        <w:t>°</w:t>
      </w:r>
      <w:r w:rsidRPr="00E65230">
        <w:rPr>
          <w:rFonts w:cstheme="minorHAnsi"/>
          <w:sz w:val="20"/>
        </w:rPr>
        <w:t xml:space="preserve"> 94.813, de 01</w:t>
      </w:r>
      <w:r>
        <w:rPr>
          <w:rFonts w:cstheme="minorHAnsi"/>
          <w:sz w:val="20"/>
        </w:rPr>
        <w:t>°</w:t>
      </w:r>
      <w:r w:rsidRPr="00E65230">
        <w:rPr>
          <w:rFonts w:cstheme="minorHAnsi"/>
          <w:sz w:val="20"/>
        </w:rPr>
        <w:t xml:space="preserve"> de setembro de 1987, posteriormente alterado pelas Leis n</w:t>
      </w:r>
      <w:r>
        <w:rPr>
          <w:rFonts w:cstheme="minorHAnsi"/>
          <w:sz w:val="20"/>
        </w:rPr>
        <w:t>°</w:t>
      </w:r>
      <w:r w:rsidRPr="00E65230">
        <w:rPr>
          <w:rFonts w:cstheme="minorHAnsi"/>
          <w:sz w:val="20"/>
        </w:rPr>
        <w:t xml:space="preserve"> 11.297, de 09 de maio de 2006, e n</w:t>
      </w:r>
      <w:r>
        <w:rPr>
          <w:rFonts w:cstheme="minorHAnsi"/>
          <w:sz w:val="20"/>
        </w:rPr>
        <w:t>°</w:t>
      </w:r>
      <w:r w:rsidRPr="00E65230">
        <w:rPr>
          <w:rFonts w:cstheme="minorHAnsi"/>
          <w:sz w:val="20"/>
        </w:rPr>
        <w:t xml:space="preserve"> 11.772, de 17 de setembro de 2008.</w:t>
      </w:r>
    </w:p>
    <w:p w14:paraId="4B004E17"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 xml:space="preserve">Em virtude de sua extensão e da disponibilidade orçamentária, a construção da FNS foi realizada em etapas que constituem os seguintes </w:t>
      </w:r>
      <w:proofErr w:type="spellStart"/>
      <w:r w:rsidRPr="00E65230">
        <w:rPr>
          <w:rFonts w:cstheme="minorHAnsi"/>
          <w:sz w:val="20"/>
        </w:rPr>
        <w:t>tramos</w:t>
      </w:r>
      <w:proofErr w:type="spellEnd"/>
      <w:r w:rsidRPr="00E65230">
        <w:rPr>
          <w:rFonts w:cstheme="minorHAnsi"/>
          <w:sz w:val="20"/>
        </w:rPr>
        <w:t>/trechos: Tramo Norte (Açailândia/MA – Porto Nacional/TO); Tramo Central: (Porto Nacional/TO – Anápolis/GO); e Tramo Sul ou Extensão Sul (Ouro Verde/GO – Estrela d’Oeste/SP).</w:t>
      </w:r>
    </w:p>
    <w:p w14:paraId="65C0A2CB"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 xml:space="preserve">O trecho que liga Açailândia/MA a Palmas/TO, com extensão de 720 Km, foi </w:t>
      </w:r>
      <w:proofErr w:type="spellStart"/>
      <w:r w:rsidRPr="00E65230">
        <w:rPr>
          <w:rFonts w:cstheme="minorHAnsi"/>
          <w:sz w:val="20"/>
        </w:rPr>
        <w:t>subconcedido</w:t>
      </w:r>
      <w:proofErr w:type="spellEnd"/>
      <w:r w:rsidRPr="00E65230">
        <w:rPr>
          <w:rFonts w:cstheme="minorHAnsi"/>
          <w:sz w:val="20"/>
        </w:rPr>
        <w:t xml:space="preserve"> em 2007 para a Ferrovia Norte Sul S</w:t>
      </w:r>
      <w:r>
        <w:rPr>
          <w:rFonts w:cstheme="minorHAnsi"/>
          <w:sz w:val="20"/>
        </w:rPr>
        <w:t>.</w:t>
      </w:r>
      <w:r w:rsidRPr="00E65230">
        <w:rPr>
          <w:rFonts w:cstheme="minorHAnsi"/>
          <w:sz w:val="20"/>
        </w:rPr>
        <w:t>A</w:t>
      </w:r>
      <w:r>
        <w:rPr>
          <w:rFonts w:cstheme="minorHAnsi"/>
          <w:sz w:val="20"/>
        </w:rPr>
        <w:t>.</w:t>
      </w:r>
      <w:r w:rsidRPr="00E65230">
        <w:rPr>
          <w:rFonts w:cstheme="minorHAnsi"/>
          <w:sz w:val="20"/>
        </w:rPr>
        <w:t>, pelo prazo contratual de 30 anos, nos termos do Contrato de Subconcessão n</w:t>
      </w:r>
      <w:r>
        <w:rPr>
          <w:rFonts w:cstheme="minorHAnsi"/>
          <w:sz w:val="20"/>
        </w:rPr>
        <w:t>°</w:t>
      </w:r>
      <w:r w:rsidRPr="00E65230">
        <w:rPr>
          <w:rFonts w:cstheme="minorHAnsi"/>
          <w:sz w:val="20"/>
        </w:rPr>
        <w:t xml:space="preserve"> 033/07, de 20 de dezembro de 2007, do Edital de Licitação n° 001/2006. A autorização para tráfego ocorreu em 19 de janeiro de 2011, por meio da Resolução n</w:t>
      </w:r>
      <w:r>
        <w:rPr>
          <w:rFonts w:cstheme="minorHAnsi"/>
          <w:sz w:val="20"/>
        </w:rPr>
        <w:t>°</w:t>
      </w:r>
      <w:r w:rsidRPr="00E65230">
        <w:rPr>
          <w:rFonts w:cstheme="minorHAnsi"/>
          <w:sz w:val="20"/>
        </w:rPr>
        <w:t xml:space="preserve"> 3624/2011 da Agência Nacional de Transportes Terrestres </w:t>
      </w:r>
      <w:r w:rsidRPr="00B36334">
        <w:rPr>
          <w:rFonts w:cstheme="minorHAnsi"/>
          <w:sz w:val="20"/>
        </w:rPr>
        <w:t>–</w:t>
      </w:r>
      <w:r>
        <w:rPr>
          <w:rFonts w:cstheme="minorHAnsi"/>
          <w:sz w:val="20"/>
        </w:rPr>
        <w:t xml:space="preserve"> </w:t>
      </w:r>
      <w:r w:rsidRPr="00E65230">
        <w:rPr>
          <w:rFonts w:cstheme="minorHAnsi"/>
          <w:sz w:val="20"/>
        </w:rPr>
        <w:t>ANTT.</w:t>
      </w:r>
    </w:p>
    <w:p w14:paraId="2A3228CE"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lastRenderedPageBreak/>
        <w:t>Referido contrato previa o pagamento a título de outorga de R$ 1,47 bilhão, dividido em três parcelas corrigidas pelo IGP-DI e juros de 1% ao mês (até maio de 2010), sendo 50% à vista, 25% na entrega do 1</w:t>
      </w:r>
      <w:r>
        <w:rPr>
          <w:rFonts w:cstheme="minorHAnsi"/>
          <w:sz w:val="20"/>
        </w:rPr>
        <w:t>°</w:t>
      </w:r>
      <w:r w:rsidRPr="00E65230">
        <w:rPr>
          <w:rFonts w:cstheme="minorHAnsi"/>
          <w:sz w:val="20"/>
        </w:rPr>
        <w:t xml:space="preserve"> trecho e 25% na entrega do 2</w:t>
      </w:r>
      <w:r>
        <w:rPr>
          <w:rFonts w:cstheme="minorHAnsi"/>
          <w:sz w:val="20"/>
        </w:rPr>
        <w:t>°</w:t>
      </w:r>
      <w:r w:rsidRPr="00E65230">
        <w:rPr>
          <w:rFonts w:cstheme="minorHAnsi"/>
          <w:sz w:val="20"/>
        </w:rPr>
        <w:t xml:space="preserve"> trecho. A primeira parcela foi recebida em dezembro de 2007 no valor de R$ 739 milhões, a segunda parcela no valor de R$ 461,8 milhões foi recebida em maio de 2009 e parte da terceira parcela, o valor de R$ 453,5 milhões, foi recebida em dezembro de 2010. Conforme 2</w:t>
      </w:r>
      <w:r>
        <w:rPr>
          <w:rFonts w:cstheme="minorHAnsi"/>
          <w:sz w:val="20"/>
        </w:rPr>
        <w:t>°</w:t>
      </w:r>
      <w:r w:rsidRPr="00E65230">
        <w:rPr>
          <w:rFonts w:cstheme="minorHAnsi"/>
          <w:sz w:val="20"/>
        </w:rPr>
        <w:t xml:space="preserve">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61541F41"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O trecho compreendido entre Porto Nacional, no Estado do Tocantins e Estrela D’Oeste, no Estado de São Paulo (</w:t>
      </w:r>
      <w:proofErr w:type="spellStart"/>
      <w:r w:rsidRPr="00E65230">
        <w:rPr>
          <w:rFonts w:cstheme="minorHAnsi"/>
          <w:sz w:val="20"/>
        </w:rPr>
        <w:t>Tramos</w:t>
      </w:r>
      <w:proofErr w:type="spellEnd"/>
      <w:r w:rsidRPr="00E65230">
        <w:rPr>
          <w:rFonts w:cstheme="minorHAnsi"/>
          <w:sz w:val="20"/>
        </w:rPr>
        <w:t xml:space="preserve"> Central, Sul e Extensão Sul) foi </w:t>
      </w:r>
      <w:proofErr w:type="spellStart"/>
      <w:r w:rsidRPr="00E65230">
        <w:rPr>
          <w:rFonts w:cstheme="minorHAnsi"/>
          <w:sz w:val="20"/>
        </w:rPr>
        <w:t>subconcedido</w:t>
      </w:r>
      <w:proofErr w:type="spellEnd"/>
      <w:r w:rsidRPr="00E65230">
        <w:rPr>
          <w:rFonts w:cstheme="minorHAnsi"/>
          <w:sz w:val="20"/>
        </w:rPr>
        <w:t xml:space="preserve"> à Rumo Malha Central S</w:t>
      </w:r>
      <w:r>
        <w:rPr>
          <w:rFonts w:cstheme="minorHAnsi"/>
          <w:sz w:val="20"/>
        </w:rPr>
        <w:t>.</w:t>
      </w:r>
      <w:r w:rsidRPr="00E65230">
        <w:rPr>
          <w:rFonts w:cstheme="minorHAnsi"/>
          <w:sz w:val="20"/>
        </w:rPr>
        <w:t>A</w:t>
      </w:r>
      <w:r>
        <w:rPr>
          <w:rFonts w:cstheme="minorHAnsi"/>
          <w:sz w:val="20"/>
        </w:rPr>
        <w:t>.</w:t>
      </w:r>
      <w:r w:rsidRPr="00E65230">
        <w:rPr>
          <w:rFonts w:cstheme="minorHAnsi"/>
          <w:sz w:val="20"/>
        </w:rPr>
        <w:t>, pelo prazo contratual de 30 anos, conforme Contrato de Subconcessão do Edital de Concorrência Internacional n</w:t>
      </w:r>
      <w:r>
        <w:rPr>
          <w:rFonts w:cstheme="minorHAnsi"/>
          <w:sz w:val="20"/>
        </w:rPr>
        <w:t>°</w:t>
      </w:r>
      <w:r w:rsidRPr="00E65230">
        <w:rPr>
          <w:rFonts w:cstheme="minorHAnsi"/>
          <w:sz w:val="20"/>
        </w:rPr>
        <w:t xml:space="preserve"> 002/2018, assinado em 31 de julho de 2019. </w:t>
      </w:r>
    </w:p>
    <w:p w14:paraId="733FF832"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O valor do lance da outorga no leilão foi de R$ 2,7 bilhões. Os direitos creditórios e as receitas provenientes dessa subconcessão são direcionados à Agência Nacional de Transportes Terrestres – ANTT, conforme o art</w:t>
      </w:r>
      <w:r>
        <w:rPr>
          <w:rFonts w:cstheme="minorHAnsi"/>
          <w:sz w:val="20"/>
        </w:rPr>
        <w:t>.</w:t>
      </w:r>
      <w:r w:rsidRPr="00E65230">
        <w:rPr>
          <w:rFonts w:cstheme="minorHAnsi"/>
          <w:sz w:val="20"/>
        </w:rPr>
        <w:t xml:space="preserve"> 77 da Lei n</w:t>
      </w:r>
      <w:r>
        <w:rPr>
          <w:rFonts w:cstheme="minorHAnsi"/>
          <w:sz w:val="20"/>
        </w:rPr>
        <w:t>°</w:t>
      </w:r>
      <w:r w:rsidRPr="00E65230">
        <w:rPr>
          <w:rFonts w:cstheme="minorHAnsi"/>
          <w:sz w:val="20"/>
        </w:rPr>
        <w:t xml:space="preserve"> 10.233, de 5 de junho de 2001, que dispõe</w:t>
      </w:r>
      <w:r>
        <w:rPr>
          <w:rFonts w:cstheme="minorHAnsi"/>
          <w:sz w:val="20"/>
        </w:rPr>
        <w:t>, entre outros,</w:t>
      </w:r>
      <w:r w:rsidRPr="00E65230">
        <w:rPr>
          <w:rFonts w:cstheme="minorHAnsi"/>
          <w:sz w:val="20"/>
        </w:rPr>
        <w:t xml:space="preserve"> sobre a criação d</w:t>
      </w:r>
      <w:r>
        <w:rPr>
          <w:rFonts w:cstheme="minorHAnsi"/>
          <w:sz w:val="20"/>
        </w:rPr>
        <w:t>esta</w:t>
      </w:r>
      <w:r w:rsidRPr="00E65230">
        <w:rPr>
          <w:rFonts w:cstheme="minorHAnsi"/>
          <w:sz w:val="20"/>
        </w:rPr>
        <w:t xml:space="preserve"> Agência, e estabelece que é receita da ANTT os recursos provenientes dos instrumentos de outorga administrados </w:t>
      </w:r>
      <w:r>
        <w:rPr>
          <w:rFonts w:cstheme="minorHAnsi"/>
          <w:sz w:val="20"/>
        </w:rPr>
        <w:t>por ela</w:t>
      </w:r>
      <w:r w:rsidRPr="00E65230">
        <w:rPr>
          <w:rFonts w:cstheme="minorHAnsi"/>
          <w:sz w:val="20"/>
        </w:rPr>
        <w:t>.</w:t>
      </w:r>
    </w:p>
    <w:p w14:paraId="78219278"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 xml:space="preserve">Ambos os contratos foram assinados entre a União, representada pela ANTT, a </w:t>
      </w:r>
      <w:r w:rsidRPr="00E65230">
        <w:rPr>
          <w:rFonts w:cstheme="minorHAnsi"/>
          <w:sz w:val="20"/>
          <w:shd w:val="clear" w:color="auto" w:fill="FFFFFF"/>
        </w:rPr>
        <w:t>Infra S.A.</w:t>
      </w:r>
      <w:r w:rsidRPr="00E65230">
        <w:rPr>
          <w:rFonts w:cstheme="minorHAnsi"/>
          <w:sz w:val="20"/>
        </w:rPr>
        <w:t xml:space="preserve">, como interveniente </w:t>
      </w:r>
      <w:proofErr w:type="spellStart"/>
      <w:r w:rsidRPr="00E65230">
        <w:rPr>
          <w:rFonts w:cstheme="minorHAnsi"/>
          <w:sz w:val="20"/>
        </w:rPr>
        <w:t>subconcedente</w:t>
      </w:r>
      <w:proofErr w:type="spellEnd"/>
      <w:r w:rsidRPr="00E65230">
        <w:rPr>
          <w:rFonts w:cstheme="minorHAnsi"/>
          <w:sz w:val="20"/>
        </w:rPr>
        <w:t xml:space="preserve"> e as empresas como </w:t>
      </w:r>
      <w:proofErr w:type="spellStart"/>
      <w:r w:rsidRPr="00E65230">
        <w:rPr>
          <w:rFonts w:cstheme="minorHAnsi"/>
          <w:sz w:val="20"/>
        </w:rPr>
        <w:t>subconcessionária</w:t>
      </w:r>
      <w:r>
        <w:rPr>
          <w:rFonts w:cstheme="minorHAnsi"/>
          <w:sz w:val="20"/>
        </w:rPr>
        <w:t>s</w:t>
      </w:r>
      <w:proofErr w:type="spellEnd"/>
      <w:r w:rsidRPr="00E65230">
        <w:rPr>
          <w:rFonts w:cstheme="minorHAnsi"/>
          <w:sz w:val="20"/>
        </w:rPr>
        <w:t>.</w:t>
      </w:r>
    </w:p>
    <w:p w14:paraId="3AFCEC9F" w14:textId="77777777" w:rsidR="00830B41" w:rsidRPr="00E65230" w:rsidRDefault="00830B41" w:rsidP="00830B41">
      <w:pPr>
        <w:pStyle w:val="NormalWeb"/>
        <w:spacing w:before="120" w:beforeAutospacing="0" w:after="120" w:afterAutospacing="0"/>
        <w:jc w:val="both"/>
        <w:rPr>
          <w:rFonts w:cstheme="minorHAnsi"/>
          <w:sz w:val="20"/>
        </w:rPr>
      </w:pPr>
      <w:r w:rsidRPr="00E65230">
        <w:rPr>
          <w:rFonts w:cstheme="minorHAnsi"/>
          <w:sz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34ECE08F" w14:textId="140E6050" w:rsidR="00830B41" w:rsidRDefault="00830B41" w:rsidP="00830B41">
      <w:pPr>
        <w:pStyle w:val="NormalWeb"/>
        <w:spacing w:before="0" w:beforeAutospacing="0" w:after="0" w:afterAutospacing="0" w:line="240" w:lineRule="auto"/>
        <w:jc w:val="both"/>
        <w:rPr>
          <w:rFonts w:cstheme="minorHAnsi"/>
          <w:sz w:val="20"/>
        </w:rPr>
      </w:pPr>
      <w:r w:rsidRPr="00E65230">
        <w:rPr>
          <w:rFonts w:cstheme="minorHAnsi"/>
          <w:sz w:val="20"/>
        </w:rPr>
        <w:t xml:space="preserve">O saldo atual da Redução a Valor Recuperável relativo a </w:t>
      </w:r>
      <w:r>
        <w:rPr>
          <w:rFonts w:cstheme="minorHAnsi"/>
          <w:sz w:val="20"/>
        </w:rPr>
        <w:t>FNS</w:t>
      </w:r>
      <w:r w:rsidRPr="00E65230">
        <w:rPr>
          <w:rFonts w:cstheme="minorHAnsi"/>
          <w:sz w:val="20"/>
        </w:rPr>
        <w:t xml:space="preserve"> é de R$ 11,36 bilhões.</w:t>
      </w:r>
    </w:p>
    <w:p w14:paraId="07BD7D3D" w14:textId="540B2852" w:rsidR="00D73A1A" w:rsidRPr="00277855" w:rsidRDefault="00F12378" w:rsidP="00C000AF">
      <w:pPr>
        <w:pStyle w:val="PargrafodaLista"/>
        <w:numPr>
          <w:ilvl w:val="0"/>
          <w:numId w:val="9"/>
        </w:numPr>
        <w:spacing w:before="120"/>
        <w:ind w:left="425" w:hanging="425"/>
        <w:contextualSpacing w:val="0"/>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 xml:space="preserve">Ferrovia de Integração Oeste-Leste </w:t>
      </w:r>
      <w:r w:rsidR="002456DA">
        <w:rPr>
          <w:rFonts w:eastAsiaTheme="majorEastAsia" w:cstheme="minorHAnsi"/>
          <w:color w:val="2E74B5" w:themeColor="accent1" w:themeShade="BF"/>
          <w:sz w:val="20"/>
        </w:rPr>
        <w:t>–</w:t>
      </w:r>
      <w:r w:rsidR="002456DA" w:rsidRPr="00277855">
        <w:rPr>
          <w:rFonts w:asciiTheme="majorHAnsi" w:eastAsiaTheme="majorEastAsia" w:hAnsiTheme="majorHAnsi" w:cstheme="majorBidi"/>
          <w:color w:val="2E74B5" w:themeColor="accent1" w:themeShade="BF"/>
          <w:sz w:val="20"/>
        </w:rPr>
        <w:t xml:space="preserve"> </w:t>
      </w:r>
      <w:r w:rsidRPr="00277855">
        <w:rPr>
          <w:rFonts w:asciiTheme="majorHAnsi" w:eastAsiaTheme="majorEastAsia" w:hAnsiTheme="majorHAnsi" w:cstheme="majorBidi"/>
          <w:color w:val="2E74B5" w:themeColor="accent1" w:themeShade="BF"/>
          <w:sz w:val="20"/>
        </w:rPr>
        <w:t>FIOL</w:t>
      </w:r>
    </w:p>
    <w:tbl>
      <w:tblPr>
        <w:tblW w:w="5000" w:type="pct"/>
        <w:tblCellMar>
          <w:left w:w="70" w:type="dxa"/>
          <w:right w:w="70" w:type="dxa"/>
        </w:tblCellMar>
        <w:tblLook w:val="04A0" w:firstRow="1" w:lastRow="0" w:firstColumn="1" w:lastColumn="0" w:noHBand="0" w:noVBand="1"/>
      </w:tblPr>
      <w:tblGrid>
        <w:gridCol w:w="3986"/>
        <w:gridCol w:w="1286"/>
        <w:gridCol w:w="1337"/>
        <w:gridCol w:w="1286"/>
        <w:gridCol w:w="1286"/>
        <w:gridCol w:w="1286"/>
      </w:tblGrid>
      <w:tr w:rsidR="003701B9" w:rsidRPr="00FC136C" w14:paraId="305EF6FD" w14:textId="77777777" w:rsidTr="001107B1">
        <w:trPr>
          <w:trHeight w:val="227"/>
        </w:trPr>
        <w:tc>
          <w:tcPr>
            <w:tcW w:w="3513" w:type="dxa"/>
            <w:tcBorders>
              <w:top w:val="nil"/>
              <w:left w:val="nil"/>
              <w:bottom w:val="nil"/>
              <w:right w:val="nil"/>
            </w:tcBorders>
            <w:shd w:val="clear" w:color="000000" w:fill="DEEAF6"/>
            <w:vAlign w:val="center"/>
            <w:hideMark/>
          </w:tcPr>
          <w:p w14:paraId="53806D53" w14:textId="77777777" w:rsidR="003701B9" w:rsidRPr="00BB48AF" w:rsidRDefault="003701B9" w:rsidP="00752EB6">
            <w:pPr>
              <w:spacing w:after="0" w:line="240" w:lineRule="auto"/>
              <w:jc w:val="center"/>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Ferrovia de Integração Oeste-Leste (FIOL)</w:t>
            </w:r>
          </w:p>
        </w:tc>
        <w:tc>
          <w:tcPr>
            <w:tcW w:w="1134" w:type="dxa"/>
            <w:tcBorders>
              <w:top w:val="nil"/>
              <w:left w:val="nil"/>
              <w:bottom w:val="nil"/>
              <w:right w:val="nil"/>
            </w:tcBorders>
            <w:shd w:val="clear" w:color="000000" w:fill="DEEAF6"/>
            <w:vAlign w:val="center"/>
            <w:hideMark/>
          </w:tcPr>
          <w:p w14:paraId="00EEED0A" w14:textId="77777777" w:rsidR="003701B9" w:rsidRPr="00BB48AF" w:rsidRDefault="003701B9" w:rsidP="008A364E">
            <w:pPr>
              <w:spacing w:after="0" w:line="240" w:lineRule="auto"/>
              <w:jc w:val="right"/>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Custo de Aquisição</w:t>
            </w:r>
          </w:p>
        </w:tc>
        <w:tc>
          <w:tcPr>
            <w:tcW w:w="1134" w:type="dxa"/>
            <w:tcBorders>
              <w:top w:val="nil"/>
              <w:left w:val="nil"/>
              <w:bottom w:val="nil"/>
              <w:right w:val="nil"/>
            </w:tcBorders>
            <w:shd w:val="clear" w:color="000000" w:fill="DEEAF6"/>
            <w:vAlign w:val="center"/>
            <w:hideMark/>
          </w:tcPr>
          <w:p w14:paraId="6908419E" w14:textId="77777777" w:rsidR="003701B9" w:rsidRPr="00BB48AF" w:rsidRDefault="003701B9" w:rsidP="00CC1314">
            <w:pPr>
              <w:spacing w:after="0" w:line="240" w:lineRule="auto"/>
              <w:jc w:val="right"/>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Redução ao Valor Recuperável</w:t>
            </w:r>
          </w:p>
        </w:tc>
        <w:tc>
          <w:tcPr>
            <w:tcW w:w="1134" w:type="dxa"/>
            <w:tcBorders>
              <w:top w:val="nil"/>
              <w:left w:val="nil"/>
              <w:bottom w:val="nil"/>
              <w:right w:val="nil"/>
            </w:tcBorders>
            <w:shd w:val="clear" w:color="000000" w:fill="DEEAF6"/>
            <w:vAlign w:val="center"/>
            <w:hideMark/>
          </w:tcPr>
          <w:p w14:paraId="7CCA31F2" w14:textId="77777777" w:rsidR="003701B9" w:rsidRPr="00BB48AF" w:rsidRDefault="003701B9" w:rsidP="008A364E">
            <w:pPr>
              <w:spacing w:after="0" w:line="240" w:lineRule="auto"/>
              <w:jc w:val="right"/>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Saldo em 31/12/</w:t>
            </w:r>
            <w:r w:rsidRPr="00BB48AF">
              <w:rPr>
                <w:rFonts w:ascii="Calibri" w:eastAsia="Times New Roman" w:hAnsi="Calibri" w:cs="Calibri"/>
                <w:b/>
                <w:bCs/>
                <w:color w:val="000000"/>
                <w:sz w:val="16"/>
                <w:szCs w:val="16"/>
              </w:rPr>
              <w:t>2023</w:t>
            </w:r>
          </w:p>
        </w:tc>
        <w:tc>
          <w:tcPr>
            <w:tcW w:w="1134" w:type="dxa"/>
            <w:tcBorders>
              <w:top w:val="nil"/>
              <w:left w:val="nil"/>
              <w:bottom w:val="nil"/>
              <w:right w:val="nil"/>
            </w:tcBorders>
            <w:shd w:val="clear" w:color="000000" w:fill="DEEAF6"/>
            <w:vAlign w:val="center"/>
            <w:hideMark/>
          </w:tcPr>
          <w:p w14:paraId="73EB1DA0" w14:textId="77777777" w:rsidR="003701B9" w:rsidRPr="00BB48AF" w:rsidRDefault="003701B9" w:rsidP="008A364E">
            <w:pPr>
              <w:spacing w:after="0" w:line="240" w:lineRule="auto"/>
              <w:jc w:val="right"/>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Entradas</w:t>
            </w:r>
          </w:p>
        </w:tc>
        <w:tc>
          <w:tcPr>
            <w:tcW w:w="1134" w:type="dxa"/>
            <w:tcBorders>
              <w:top w:val="nil"/>
              <w:left w:val="nil"/>
              <w:bottom w:val="nil"/>
              <w:right w:val="nil"/>
            </w:tcBorders>
            <w:shd w:val="clear" w:color="000000" w:fill="DEEAF6"/>
            <w:vAlign w:val="center"/>
            <w:hideMark/>
          </w:tcPr>
          <w:p w14:paraId="1DDC8820" w14:textId="56703C8E" w:rsidR="003701B9" w:rsidRPr="00BB48AF" w:rsidRDefault="003701B9" w:rsidP="008A364E">
            <w:pPr>
              <w:spacing w:after="0" w:line="240" w:lineRule="auto"/>
              <w:jc w:val="right"/>
              <w:rPr>
                <w:rFonts w:ascii="Calibri" w:eastAsia="Times New Roman" w:hAnsi="Calibri" w:cs="Calibri"/>
                <w:b/>
                <w:color w:val="000000"/>
                <w:sz w:val="16"/>
                <w:szCs w:val="16"/>
              </w:rPr>
            </w:pPr>
            <w:r w:rsidRPr="00BB48AF">
              <w:rPr>
                <w:rFonts w:ascii="Calibri" w:eastAsia="Times New Roman" w:hAnsi="Calibri" w:cs="Calibri"/>
                <w:b/>
                <w:color w:val="000000"/>
                <w:sz w:val="16"/>
                <w:szCs w:val="16"/>
              </w:rPr>
              <w:t xml:space="preserve">Saldo em </w:t>
            </w:r>
            <w:r>
              <w:rPr>
                <w:rFonts w:ascii="Calibri" w:eastAsia="Times New Roman" w:hAnsi="Calibri" w:cs="Calibri"/>
                <w:b/>
                <w:color w:val="000000"/>
                <w:sz w:val="16"/>
                <w:szCs w:val="16"/>
              </w:rPr>
              <w:t>31</w:t>
            </w:r>
            <w:r w:rsidRPr="00BB48AF">
              <w:rPr>
                <w:rFonts w:ascii="Calibri" w:eastAsia="Times New Roman" w:hAnsi="Calibri" w:cs="Calibri"/>
                <w:b/>
                <w:color w:val="000000"/>
                <w:sz w:val="16"/>
                <w:szCs w:val="16"/>
              </w:rPr>
              <w:t>/</w:t>
            </w:r>
            <w:r>
              <w:rPr>
                <w:rFonts w:ascii="Calibri" w:eastAsia="Times New Roman" w:hAnsi="Calibri" w:cs="Calibri"/>
                <w:b/>
                <w:color w:val="000000"/>
                <w:sz w:val="16"/>
                <w:szCs w:val="16"/>
              </w:rPr>
              <w:t>03</w:t>
            </w:r>
            <w:r w:rsidRPr="00BB48AF">
              <w:rPr>
                <w:rFonts w:ascii="Calibri" w:eastAsia="Times New Roman" w:hAnsi="Calibri" w:cs="Calibri"/>
                <w:b/>
                <w:color w:val="000000"/>
                <w:sz w:val="16"/>
                <w:szCs w:val="16"/>
              </w:rPr>
              <w:t>/20</w:t>
            </w:r>
            <w:r>
              <w:rPr>
                <w:rFonts w:ascii="Calibri" w:eastAsia="Times New Roman" w:hAnsi="Calibri" w:cs="Calibri"/>
                <w:b/>
                <w:color w:val="000000"/>
                <w:sz w:val="16"/>
                <w:szCs w:val="16"/>
              </w:rPr>
              <w:t>24</w:t>
            </w:r>
          </w:p>
        </w:tc>
      </w:tr>
      <w:tr w:rsidR="003701B9" w:rsidRPr="00FC136C" w14:paraId="7B055C4F" w14:textId="77777777" w:rsidTr="001107B1">
        <w:trPr>
          <w:trHeight w:val="227"/>
        </w:trPr>
        <w:tc>
          <w:tcPr>
            <w:tcW w:w="3513" w:type="dxa"/>
            <w:tcBorders>
              <w:top w:val="single" w:sz="8" w:space="0" w:color="auto"/>
              <w:left w:val="nil"/>
              <w:right w:val="nil"/>
            </w:tcBorders>
            <w:shd w:val="clear" w:color="auto" w:fill="auto"/>
            <w:noWrap/>
            <w:vAlign w:val="center"/>
            <w:hideMark/>
          </w:tcPr>
          <w:p w14:paraId="463606B3" w14:textId="77777777" w:rsidR="003701B9" w:rsidRPr="00BB48AF" w:rsidRDefault="003701B9" w:rsidP="00752EB6">
            <w:pPr>
              <w:spacing w:after="0" w:line="240" w:lineRule="auto"/>
              <w:rPr>
                <w:rFonts w:ascii="Calibri" w:eastAsia="Times New Roman" w:hAnsi="Calibri" w:cs="Calibri"/>
                <w:color w:val="000000"/>
                <w:sz w:val="16"/>
                <w:szCs w:val="16"/>
              </w:rPr>
            </w:pPr>
            <w:r w:rsidRPr="00BB48AF">
              <w:rPr>
                <w:rFonts w:ascii="Calibri" w:eastAsia="Times New Roman" w:hAnsi="Calibri" w:cs="Calibri"/>
                <w:color w:val="000000"/>
                <w:sz w:val="16"/>
                <w:szCs w:val="16"/>
              </w:rPr>
              <w:t>FIOL I: Ativos de Concessão</w:t>
            </w:r>
          </w:p>
        </w:tc>
        <w:tc>
          <w:tcPr>
            <w:tcW w:w="1134" w:type="dxa"/>
            <w:tcBorders>
              <w:top w:val="single" w:sz="8" w:space="0" w:color="auto"/>
              <w:left w:val="nil"/>
              <w:right w:val="nil"/>
            </w:tcBorders>
            <w:shd w:val="clear" w:color="auto" w:fill="auto"/>
            <w:noWrap/>
            <w:vAlign w:val="center"/>
            <w:hideMark/>
          </w:tcPr>
          <w:p w14:paraId="21ABE31C" w14:textId="77777777" w:rsidR="003701B9" w:rsidRPr="00BB48AF" w:rsidRDefault="003701B9" w:rsidP="00752EB6">
            <w:pPr>
              <w:spacing w:after="0" w:line="240" w:lineRule="auto"/>
              <w:jc w:val="right"/>
              <w:rPr>
                <w:rFonts w:ascii="Calibri" w:eastAsia="Times New Roman" w:hAnsi="Calibri" w:cs="Calibri"/>
                <w:color w:val="000000"/>
                <w:sz w:val="16"/>
                <w:szCs w:val="16"/>
              </w:rPr>
            </w:pPr>
            <w:r w:rsidRPr="00BB48AF">
              <w:rPr>
                <w:rFonts w:ascii="Calibri" w:eastAsia="Times New Roman" w:hAnsi="Calibri" w:cs="Calibri"/>
                <w:color w:val="000000"/>
                <w:sz w:val="16"/>
                <w:szCs w:val="16"/>
              </w:rPr>
              <w:t>3.498.534.765</w:t>
            </w:r>
          </w:p>
        </w:tc>
        <w:tc>
          <w:tcPr>
            <w:tcW w:w="1134" w:type="dxa"/>
            <w:tcBorders>
              <w:top w:val="single" w:sz="8" w:space="0" w:color="auto"/>
              <w:left w:val="nil"/>
              <w:right w:val="nil"/>
            </w:tcBorders>
            <w:shd w:val="clear" w:color="auto" w:fill="auto"/>
            <w:noWrap/>
            <w:vAlign w:val="center"/>
            <w:hideMark/>
          </w:tcPr>
          <w:p w14:paraId="5A347A18" w14:textId="77777777" w:rsidR="003701B9" w:rsidRPr="00BB48AF" w:rsidRDefault="003701B9" w:rsidP="00752EB6">
            <w:pPr>
              <w:spacing w:after="0" w:line="240" w:lineRule="auto"/>
              <w:jc w:val="right"/>
              <w:rPr>
                <w:rFonts w:ascii="Calibri" w:eastAsia="Times New Roman" w:hAnsi="Calibri" w:cs="Calibri"/>
                <w:color w:val="000000"/>
                <w:sz w:val="16"/>
                <w:szCs w:val="16"/>
              </w:rPr>
            </w:pPr>
            <w:r w:rsidRPr="00BB48AF">
              <w:rPr>
                <w:rFonts w:ascii="Calibri" w:eastAsia="Times New Roman" w:hAnsi="Calibri" w:cs="Calibri"/>
                <w:color w:val="000000"/>
                <w:sz w:val="16"/>
                <w:szCs w:val="16"/>
              </w:rPr>
              <w:t>(</w:t>
            </w:r>
            <w:r w:rsidRPr="00B9796F">
              <w:rPr>
                <w:rFonts w:ascii="Calibri" w:eastAsia="Times New Roman" w:hAnsi="Calibri" w:cs="Calibri"/>
                <w:color w:val="000000"/>
                <w:sz w:val="16"/>
                <w:szCs w:val="16"/>
              </w:rPr>
              <w:t>3.170.879.823</w:t>
            </w:r>
            <w:r w:rsidRPr="00BB48AF">
              <w:rPr>
                <w:rFonts w:ascii="Calibri" w:eastAsia="Times New Roman" w:hAnsi="Calibri" w:cs="Calibri"/>
                <w:color w:val="000000"/>
                <w:sz w:val="16"/>
                <w:szCs w:val="16"/>
              </w:rPr>
              <w:t>)</w:t>
            </w:r>
          </w:p>
        </w:tc>
        <w:tc>
          <w:tcPr>
            <w:tcW w:w="1134" w:type="dxa"/>
            <w:tcBorders>
              <w:top w:val="single" w:sz="8" w:space="0" w:color="auto"/>
              <w:left w:val="nil"/>
              <w:right w:val="nil"/>
            </w:tcBorders>
            <w:shd w:val="clear" w:color="auto" w:fill="auto"/>
            <w:noWrap/>
            <w:vAlign w:val="center"/>
            <w:hideMark/>
          </w:tcPr>
          <w:p w14:paraId="2A3CCB27" w14:textId="77777777" w:rsidR="003701B9" w:rsidRPr="00BB48AF" w:rsidRDefault="003701B9" w:rsidP="00752EB6">
            <w:pPr>
              <w:spacing w:after="0" w:line="240" w:lineRule="auto"/>
              <w:jc w:val="right"/>
              <w:rPr>
                <w:rFonts w:ascii="Calibri" w:eastAsia="Times New Roman" w:hAnsi="Calibri" w:cs="Calibri"/>
                <w:color w:val="000000"/>
                <w:sz w:val="16"/>
                <w:szCs w:val="16"/>
              </w:rPr>
            </w:pPr>
            <w:r w:rsidRPr="00BB48AF">
              <w:rPr>
                <w:rFonts w:ascii="Calibri" w:eastAsia="Times New Roman" w:hAnsi="Calibri" w:cs="Calibri"/>
                <w:color w:val="000000"/>
                <w:sz w:val="16"/>
                <w:szCs w:val="16"/>
              </w:rPr>
              <w:t>327.654.940</w:t>
            </w:r>
          </w:p>
        </w:tc>
        <w:tc>
          <w:tcPr>
            <w:tcW w:w="1134" w:type="dxa"/>
            <w:tcBorders>
              <w:top w:val="single" w:sz="8" w:space="0" w:color="auto"/>
              <w:left w:val="nil"/>
              <w:right w:val="nil"/>
            </w:tcBorders>
            <w:shd w:val="clear" w:color="auto" w:fill="auto"/>
            <w:noWrap/>
            <w:vAlign w:val="center"/>
            <w:hideMark/>
          </w:tcPr>
          <w:p w14:paraId="794A683D" w14:textId="77777777" w:rsidR="003701B9" w:rsidRPr="00BB48AF" w:rsidRDefault="003701B9" w:rsidP="00752EB6">
            <w:pPr>
              <w:spacing w:after="0" w:line="240" w:lineRule="auto"/>
              <w:jc w:val="right"/>
              <w:rPr>
                <w:rFonts w:ascii="Calibri" w:eastAsia="Times New Roman" w:hAnsi="Calibri" w:cs="Calibri"/>
                <w:color w:val="000000"/>
                <w:sz w:val="16"/>
                <w:szCs w:val="16"/>
              </w:rPr>
            </w:pPr>
            <w:r w:rsidRPr="00BB48AF">
              <w:rPr>
                <w:rFonts w:ascii="Calibri" w:eastAsia="Times New Roman" w:hAnsi="Calibri" w:cs="Calibri"/>
                <w:color w:val="000000"/>
                <w:sz w:val="16"/>
                <w:szCs w:val="16"/>
              </w:rPr>
              <w:t>-</w:t>
            </w:r>
          </w:p>
        </w:tc>
        <w:tc>
          <w:tcPr>
            <w:tcW w:w="1134" w:type="dxa"/>
            <w:tcBorders>
              <w:top w:val="single" w:sz="8" w:space="0" w:color="auto"/>
              <w:left w:val="nil"/>
              <w:right w:val="nil"/>
            </w:tcBorders>
            <w:shd w:val="clear" w:color="auto" w:fill="auto"/>
            <w:noWrap/>
            <w:vAlign w:val="center"/>
            <w:hideMark/>
          </w:tcPr>
          <w:p w14:paraId="368DDA88" w14:textId="77777777" w:rsidR="003701B9" w:rsidRPr="00BB48AF" w:rsidRDefault="003701B9" w:rsidP="00752EB6">
            <w:pPr>
              <w:spacing w:after="0" w:line="240" w:lineRule="auto"/>
              <w:jc w:val="right"/>
              <w:rPr>
                <w:rFonts w:ascii="Calibri" w:eastAsia="Times New Roman" w:hAnsi="Calibri" w:cs="Calibri"/>
                <w:color w:val="000000"/>
                <w:sz w:val="16"/>
                <w:szCs w:val="16"/>
              </w:rPr>
            </w:pPr>
            <w:r w:rsidRPr="00BB48AF">
              <w:rPr>
                <w:rFonts w:ascii="Calibri" w:eastAsia="Times New Roman" w:hAnsi="Calibri" w:cs="Calibri"/>
                <w:color w:val="000000"/>
                <w:sz w:val="16"/>
                <w:szCs w:val="16"/>
              </w:rPr>
              <w:t>327.654.940</w:t>
            </w:r>
          </w:p>
        </w:tc>
      </w:tr>
      <w:tr w:rsidR="003701B9" w:rsidRPr="00FC136C" w14:paraId="10C1EBF5" w14:textId="77777777" w:rsidTr="001107B1">
        <w:trPr>
          <w:trHeight w:val="227"/>
        </w:trPr>
        <w:tc>
          <w:tcPr>
            <w:tcW w:w="3513" w:type="dxa"/>
            <w:tcBorders>
              <w:top w:val="nil"/>
              <w:left w:val="nil"/>
              <w:right w:val="nil"/>
            </w:tcBorders>
            <w:shd w:val="clear" w:color="auto" w:fill="auto"/>
            <w:noWrap/>
            <w:vAlign w:val="center"/>
            <w:hideMark/>
          </w:tcPr>
          <w:p w14:paraId="17B338CA" w14:textId="51A8F780" w:rsidR="003701B9" w:rsidRPr="00F23B2E" w:rsidRDefault="003701B9" w:rsidP="00752EB6">
            <w:pPr>
              <w:spacing w:after="0" w:line="240" w:lineRule="auto"/>
              <w:rPr>
                <w:rFonts w:ascii="Calibri" w:eastAsia="Times New Roman" w:hAnsi="Calibri" w:cs="Calibri"/>
                <w:color w:val="000000"/>
                <w:sz w:val="16"/>
                <w:szCs w:val="16"/>
              </w:rPr>
            </w:pPr>
            <w:r w:rsidRPr="00F23B2E">
              <w:rPr>
                <w:rFonts w:ascii="Calibri" w:eastAsia="Times New Roman" w:hAnsi="Calibri" w:cs="Calibri"/>
                <w:color w:val="000000"/>
                <w:sz w:val="16"/>
                <w:szCs w:val="16"/>
              </w:rPr>
              <w:t xml:space="preserve">FIOL II: Obras em </w:t>
            </w:r>
            <w:r w:rsidR="00A82E0D">
              <w:rPr>
                <w:rFonts w:ascii="Calibri" w:eastAsia="Times New Roman" w:hAnsi="Calibri" w:cs="Calibri"/>
                <w:color w:val="000000"/>
                <w:sz w:val="16"/>
                <w:szCs w:val="16"/>
              </w:rPr>
              <w:t>A</w:t>
            </w:r>
            <w:r w:rsidRPr="00F23B2E">
              <w:rPr>
                <w:rFonts w:ascii="Calibri" w:eastAsia="Times New Roman" w:hAnsi="Calibri" w:cs="Calibri"/>
                <w:color w:val="000000"/>
                <w:sz w:val="16"/>
                <w:szCs w:val="16"/>
              </w:rPr>
              <w:t>ndamento</w:t>
            </w:r>
          </w:p>
        </w:tc>
        <w:tc>
          <w:tcPr>
            <w:tcW w:w="1134" w:type="dxa"/>
            <w:tcBorders>
              <w:top w:val="nil"/>
              <w:left w:val="nil"/>
              <w:right w:val="nil"/>
            </w:tcBorders>
            <w:shd w:val="clear" w:color="auto" w:fill="auto"/>
            <w:noWrap/>
            <w:vAlign w:val="center"/>
            <w:hideMark/>
          </w:tcPr>
          <w:p w14:paraId="51965B0C" w14:textId="77777777" w:rsidR="003701B9" w:rsidRPr="00F23B2E" w:rsidRDefault="003701B9" w:rsidP="00752EB6">
            <w:pPr>
              <w:spacing w:after="0" w:line="240" w:lineRule="auto"/>
              <w:jc w:val="right"/>
              <w:rPr>
                <w:rFonts w:ascii="Calibri" w:eastAsia="Times New Roman" w:hAnsi="Calibri" w:cs="Calibri"/>
                <w:color w:val="000000"/>
                <w:sz w:val="16"/>
                <w:szCs w:val="16"/>
              </w:rPr>
            </w:pPr>
            <w:r w:rsidRPr="00F23B2E">
              <w:rPr>
                <w:rFonts w:ascii="Calibri" w:eastAsia="Times New Roman" w:hAnsi="Calibri" w:cs="Calibri"/>
                <w:color w:val="000000"/>
                <w:sz w:val="16"/>
                <w:szCs w:val="16"/>
              </w:rPr>
              <w:t>2.952.621.239</w:t>
            </w:r>
          </w:p>
        </w:tc>
        <w:tc>
          <w:tcPr>
            <w:tcW w:w="1134" w:type="dxa"/>
            <w:tcBorders>
              <w:top w:val="nil"/>
              <w:left w:val="nil"/>
              <w:right w:val="nil"/>
            </w:tcBorders>
            <w:shd w:val="clear" w:color="auto" w:fill="auto"/>
            <w:noWrap/>
            <w:vAlign w:val="center"/>
            <w:hideMark/>
          </w:tcPr>
          <w:p w14:paraId="102FC802" w14:textId="77777777" w:rsidR="003701B9" w:rsidRPr="00F23B2E" w:rsidRDefault="003701B9" w:rsidP="00752EB6">
            <w:pPr>
              <w:spacing w:after="0" w:line="240" w:lineRule="auto"/>
              <w:jc w:val="right"/>
              <w:rPr>
                <w:rFonts w:ascii="Calibri" w:eastAsia="Times New Roman" w:hAnsi="Calibri" w:cs="Calibri"/>
                <w:color w:val="000000"/>
                <w:sz w:val="16"/>
                <w:szCs w:val="16"/>
              </w:rPr>
            </w:pPr>
            <w:r w:rsidRPr="00F23B2E">
              <w:rPr>
                <w:rFonts w:ascii="Calibri" w:eastAsia="Times New Roman" w:hAnsi="Calibri" w:cs="Calibri"/>
                <w:color w:val="000000"/>
                <w:sz w:val="16"/>
                <w:szCs w:val="16"/>
              </w:rPr>
              <w:t>-</w:t>
            </w:r>
          </w:p>
        </w:tc>
        <w:tc>
          <w:tcPr>
            <w:tcW w:w="1134" w:type="dxa"/>
            <w:tcBorders>
              <w:top w:val="nil"/>
              <w:left w:val="nil"/>
              <w:right w:val="nil"/>
            </w:tcBorders>
            <w:shd w:val="clear" w:color="auto" w:fill="auto"/>
            <w:noWrap/>
            <w:vAlign w:val="center"/>
            <w:hideMark/>
          </w:tcPr>
          <w:p w14:paraId="1418B6BE" w14:textId="77777777" w:rsidR="003701B9" w:rsidRPr="00F23B2E" w:rsidRDefault="003701B9" w:rsidP="00752EB6">
            <w:pPr>
              <w:spacing w:after="0" w:line="240" w:lineRule="auto"/>
              <w:jc w:val="right"/>
              <w:rPr>
                <w:rFonts w:ascii="Calibri" w:eastAsia="Times New Roman" w:hAnsi="Calibri" w:cs="Calibri"/>
                <w:color w:val="000000"/>
                <w:sz w:val="16"/>
                <w:szCs w:val="16"/>
              </w:rPr>
            </w:pPr>
            <w:r w:rsidRPr="003F0B6E">
              <w:rPr>
                <w:rFonts w:ascii="Calibri" w:eastAsia="Times New Roman" w:hAnsi="Calibri" w:cs="Calibri"/>
                <w:color w:val="000000"/>
                <w:sz w:val="16"/>
                <w:szCs w:val="16"/>
              </w:rPr>
              <w:t>2.952.621.239</w:t>
            </w:r>
          </w:p>
        </w:tc>
        <w:tc>
          <w:tcPr>
            <w:tcW w:w="1134" w:type="dxa"/>
            <w:tcBorders>
              <w:top w:val="nil"/>
              <w:left w:val="nil"/>
              <w:right w:val="nil"/>
            </w:tcBorders>
            <w:shd w:val="clear" w:color="auto" w:fill="auto"/>
            <w:noWrap/>
            <w:vAlign w:val="center"/>
            <w:hideMark/>
          </w:tcPr>
          <w:p w14:paraId="13274B7A" w14:textId="77777777" w:rsidR="003701B9" w:rsidRPr="00F23B2E" w:rsidRDefault="003701B9" w:rsidP="00752EB6">
            <w:pPr>
              <w:spacing w:after="0" w:line="240" w:lineRule="auto"/>
              <w:jc w:val="right"/>
              <w:rPr>
                <w:rFonts w:ascii="Calibri" w:eastAsia="Times New Roman" w:hAnsi="Calibri" w:cs="Calibri"/>
                <w:color w:val="000000"/>
                <w:sz w:val="16"/>
                <w:szCs w:val="16"/>
              </w:rPr>
            </w:pPr>
            <w:r w:rsidRPr="00F23B2E">
              <w:rPr>
                <w:rFonts w:ascii="Calibri" w:eastAsia="Times New Roman" w:hAnsi="Calibri" w:cs="Calibri"/>
                <w:color w:val="000000"/>
                <w:sz w:val="16"/>
                <w:szCs w:val="16"/>
              </w:rPr>
              <w:t>18.491.939</w:t>
            </w:r>
          </w:p>
        </w:tc>
        <w:tc>
          <w:tcPr>
            <w:tcW w:w="1134" w:type="dxa"/>
            <w:tcBorders>
              <w:top w:val="nil"/>
              <w:left w:val="nil"/>
              <w:right w:val="nil"/>
            </w:tcBorders>
            <w:shd w:val="clear" w:color="auto" w:fill="auto"/>
            <w:noWrap/>
            <w:vAlign w:val="center"/>
            <w:hideMark/>
          </w:tcPr>
          <w:p w14:paraId="6587407D" w14:textId="77777777" w:rsidR="003701B9" w:rsidRPr="00F23B2E" w:rsidRDefault="003701B9" w:rsidP="00752EB6">
            <w:pPr>
              <w:spacing w:after="0" w:line="240" w:lineRule="auto"/>
              <w:jc w:val="right"/>
              <w:rPr>
                <w:rFonts w:ascii="Calibri" w:eastAsia="Times New Roman" w:hAnsi="Calibri" w:cs="Calibri"/>
                <w:color w:val="000000"/>
                <w:sz w:val="16"/>
                <w:szCs w:val="16"/>
              </w:rPr>
            </w:pPr>
            <w:r w:rsidRPr="00F23B2E">
              <w:rPr>
                <w:rFonts w:ascii="Calibri" w:eastAsia="Times New Roman" w:hAnsi="Calibri" w:cs="Calibri"/>
                <w:color w:val="000000"/>
                <w:sz w:val="16"/>
                <w:szCs w:val="16"/>
              </w:rPr>
              <w:t>2.971.113.178</w:t>
            </w:r>
          </w:p>
        </w:tc>
      </w:tr>
      <w:tr w:rsidR="003701B9" w:rsidRPr="00FC136C" w14:paraId="4585274D" w14:textId="77777777" w:rsidTr="001107B1">
        <w:trPr>
          <w:trHeight w:val="227"/>
        </w:trPr>
        <w:tc>
          <w:tcPr>
            <w:tcW w:w="3513" w:type="dxa"/>
            <w:tcBorders>
              <w:left w:val="nil"/>
              <w:bottom w:val="nil"/>
              <w:right w:val="nil"/>
            </w:tcBorders>
            <w:shd w:val="clear" w:color="auto" w:fill="auto"/>
            <w:noWrap/>
            <w:vAlign w:val="center"/>
            <w:hideMark/>
          </w:tcPr>
          <w:p w14:paraId="7A85C2BC" w14:textId="77777777" w:rsidR="003701B9" w:rsidRPr="00F2353E" w:rsidRDefault="003701B9" w:rsidP="00752EB6">
            <w:pPr>
              <w:spacing w:after="0" w:line="240" w:lineRule="auto"/>
              <w:rPr>
                <w:rFonts w:ascii="Calibri" w:eastAsia="Times New Roman" w:hAnsi="Calibri" w:cs="Calibri"/>
                <w:color w:val="000000"/>
                <w:sz w:val="16"/>
                <w:szCs w:val="16"/>
              </w:rPr>
            </w:pPr>
            <w:r w:rsidRPr="00F2353E">
              <w:rPr>
                <w:rFonts w:ascii="Calibri" w:eastAsia="Times New Roman" w:hAnsi="Calibri" w:cs="Calibri"/>
                <w:color w:val="000000"/>
                <w:sz w:val="16"/>
                <w:szCs w:val="16"/>
              </w:rPr>
              <w:t>FIOL II: Estudos e Projetos</w:t>
            </w:r>
          </w:p>
        </w:tc>
        <w:tc>
          <w:tcPr>
            <w:tcW w:w="1134" w:type="dxa"/>
            <w:tcBorders>
              <w:left w:val="nil"/>
              <w:bottom w:val="nil"/>
              <w:right w:val="nil"/>
            </w:tcBorders>
            <w:shd w:val="clear" w:color="auto" w:fill="auto"/>
            <w:noWrap/>
            <w:vAlign w:val="center"/>
            <w:hideMark/>
          </w:tcPr>
          <w:p w14:paraId="788C90FE" w14:textId="77777777" w:rsidR="003701B9" w:rsidRPr="00F2353E" w:rsidRDefault="003701B9" w:rsidP="00752EB6">
            <w:pPr>
              <w:spacing w:after="0" w:line="240" w:lineRule="auto"/>
              <w:jc w:val="right"/>
              <w:rPr>
                <w:rFonts w:ascii="Calibri" w:eastAsia="Times New Roman" w:hAnsi="Calibri" w:cs="Calibri"/>
                <w:color w:val="000000"/>
                <w:sz w:val="16"/>
                <w:szCs w:val="16"/>
              </w:rPr>
            </w:pPr>
            <w:r w:rsidRPr="00F2353E">
              <w:rPr>
                <w:rFonts w:ascii="Calibri" w:eastAsia="Times New Roman" w:hAnsi="Calibri" w:cs="Calibri"/>
                <w:color w:val="000000"/>
                <w:sz w:val="16"/>
                <w:szCs w:val="16"/>
              </w:rPr>
              <w:t>18.150.749</w:t>
            </w:r>
          </w:p>
        </w:tc>
        <w:tc>
          <w:tcPr>
            <w:tcW w:w="1134" w:type="dxa"/>
            <w:tcBorders>
              <w:left w:val="nil"/>
              <w:bottom w:val="nil"/>
              <w:right w:val="nil"/>
            </w:tcBorders>
            <w:shd w:val="clear" w:color="auto" w:fill="auto"/>
            <w:noWrap/>
            <w:vAlign w:val="center"/>
            <w:hideMark/>
          </w:tcPr>
          <w:p w14:paraId="43A3534A" w14:textId="77777777" w:rsidR="003701B9" w:rsidRPr="00F2353E" w:rsidRDefault="003701B9" w:rsidP="00752EB6">
            <w:pPr>
              <w:spacing w:after="0" w:line="240" w:lineRule="auto"/>
              <w:jc w:val="right"/>
              <w:rPr>
                <w:rFonts w:ascii="Calibri" w:eastAsia="Times New Roman" w:hAnsi="Calibri" w:cs="Calibri"/>
                <w:color w:val="000000"/>
                <w:sz w:val="16"/>
                <w:szCs w:val="16"/>
              </w:rPr>
            </w:pPr>
            <w:r w:rsidRPr="00F2353E">
              <w:rPr>
                <w:rFonts w:ascii="Calibri" w:eastAsia="Times New Roman" w:hAnsi="Calibri" w:cs="Calibri"/>
                <w:color w:val="000000"/>
                <w:sz w:val="16"/>
                <w:szCs w:val="16"/>
              </w:rPr>
              <w:t>-</w:t>
            </w:r>
          </w:p>
        </w:tc>
        <w:tc>
          <w:tcPr>
            <w:tcW w:w="1134" w:type="dxa"/>
            <w:tcBorders>
              <w:left w:val="nil"/>
              <w:bottom w:val="nil"/>
              <w:right w:val="nil"/>
            </w:tcBorders>
            <w:shd w:val="clear" w:color="auto" w:fill="auto"/>
            <w:noWrap/>
            <w:vAlign w:val="center"/>
            <w:hideMark/>
          </w:tcPr>
          <w:p w14:paraId="6BBF10D3" w14:textId="77777777" w:rsidR="003701B9" w:rsidRPr="00F2353E" w:rsidRDefault="003701B9" w:rsidP="00752EB6">
            <w:pPr>
              <w:spacing w:after="0" w:line="240" w:lineRule="auto"/>
              <w:jc w:val="right"/>
              <w:rPr>
                <w:rFonts w:ascii="Calibri" w:eastAsia="Times New Roman" w:hAnsi="Calibri" w:cs="Calibri"/>
                <w:color w:val="000000"/>
                <w:sz w:val="16"/>
                <w:szCs w:val="16"/>
              </w:rPr>
            </w:pPr>
            <w:r w:rsidRPr="00F2353E">
              <w:rPr>
                <w:rFonts w:ascii="Calibri" w:eastAsia="Times New Roman" w:hAnsi="Calibri" w:cs="Calibri"/>
                <w:color w:val="000000"/>
                <w:sz w:val="16"/>
                <w:szCs w:val="16"/>
              </w:rPr>
              <w:t>18.150.749</w:t>
            </w:r>
          </w:p>
        </w:tc>
        <w:tc>
          <w:tcPr>
            <w:tcW w:w="1134" w:type="dxa"/>
            <w:tcBorders>
              <w:left w:val="nil"/>
              <w:bottom w:val="nil"/>
              <w:right w:val="nil"/>
            </w:tcBorders>
            <w:shd w:val="clear" w:color="auto" w:fill="auto"/>
            <w:noWrap/>
            <w:vAlign w:val="center"/>
            <w:hideMark/>
          </w:tcPr>
          <w:p w14:paraId="1BF571C8" w14:textId="77777777" w:rsidR="003701B9" w:rsidRPr="00F2353E" w:rsidRDefault="003701B9" w:rsidP="00752EB6">
            <w:pPr>
              <w:spacing w:after="0" w:line="240" w:lineRule="auto"/>
              <w:jc w:val="right"/>
              <w:rPr>
                <w:rFonts w:ascii="Calibri" w:eastAsia="Times New Roman" w:hAnsi="Calibri" w:cs="Calibri"/>
                <w:color w:val="000000"/>
                <w:sz w:val="16"/>
                <w:szCs w:val="16"/>
              </w:rPr>
            </w:pPr>
            <w:r w:rsidRPr="00970348">
              <w:rPr>
                <w:rFonts w:ascii="Calibri" w:eastAsia="Times New Roman" w:hAnsi="Calibri" w:cs="Calibri"/>
                <w:color w:val="000000"/>
                <w:sz w:val="16"/>
                <w:szCs w:val="16"/>
              </w:rPr>
              <w:t>2.585.777</w:t>
            </w:r>
          </w:p>
        </w:tc>
        <w:tc>
          <w:tcPr>
            <w:tcW w:w="1134" w:type="dxa"/>
            <w:tcBorders>
              <w:left w:val="nil"/>
              <w:bottom w:val="single" w:sz="8" w:space="0" w:color="auto"/>
              <w:right w:val="nil"/>
            </w:tcBorders>
            <w:shd w:val="clear" w:color="auto" w:fill="auto"/>
            <w:noWrap/>
            <w:vAlign w:val="center"/>
            <w:hideMark/>
          </w:tcPr>
          <w:p w14:paraId="321AB456" w14:textId="2726D92C" w:rsidR="003701B9" w:rsidRPr="00F2353E" w:rsidRDefault="003701B9" w:rsidP="00752EB6">
            <w:pPr>
              <w:spacing w:after="0" w:line="240" w:lineRule="auto"/>
              <w:jc w:val="right"/>
              <w:rPr>
                <w:rFonts w:ascii="Calibri" w:eastAsia="Times New Roman" w:hAnsi="Calibri" w:cs="Calibri"/>
                <w:color w:val="000000"/>
                <w:sz w:val="16"/>
                <w:szCs w:val="16"/>
              </w:rPr>
            </w:pPr>
            <w:r w:rsidRPr="00970348">
              <w:rPr>
                <w:rFonts w:ascii="Calibri" w:eastAsia="Times New Roman" w:hAnsi="Calibri" w:cs="Calibri"/>
                <w:color w:val="000000"/>
                <w:sz w:val="16"/>
                <w:szCs w:val="16"/>
              </w:rPr>
              <w:t>20.736.52</w:t>
            </w:r>
            <w:r w:rsidR="00756065">
              <w:rPr>
                <w:rFonts w:ascii="Calibri" w:eastAsia="Times New Roman" w:hAnsi="Calibri" w:cs="Calibri"/>
                <w:color w:val="000000"/>
                <w:sz w:val="16"/>
                <w:szCs w:val="16"/>
              </w:rPr>
              <w:t>7</w:t>
            </w:r>
          </w:p>
        </w:tc>
      </w:tr>
      <w:tr w:rsidR="003701B9" w:rsidRPr="00FC136C" w14:paraId="60A66FBF" w14:textId="77777777" w:rsidTr="001107B1">
        <w:trPr>
          <w:trHeight w:val="227"/>
        </w:trPr>
        <w:tc>
          <w:tcPr>
            <w:tcW w:w="3513" w:type="dxa"/>
            <w:tcBorders>
              <w:top w:val="single" w:sz="8" w:space="0" w:color="auto"/>
              <w:left w:val="nil"/>
              <w:bottom w:val="single" w:sz="8" w:space="0" w:color="auto"/>
              <w:right w:val="nil"/>
            </w:tcBorders>
            <w:shd w:val="clear" w:color="000000" w:fill="DEEAF6"/>
            <w:noWrap/>
            <w:vAlign w:val="center"/>
            <w:hideMark/>
          </w:tcPr>
          <w:p w14:paraId="20418992" w14:textId="77777777" w:rsidR="003701B9" w:rsidRPr="00F2353E" w:rsidRDefault="003701B9" w:rsidP="00752EB6">
            <w:pPr>
              <w:spacing w:after="0" w:line="240" w:lineRule="auto"/>
              <w:rPr>
                <w:rFonts w:ascii="Calibri" w:eastAsia="Times New Roman" w:hAnsi="Calibri" w:cs="Calibri"/>
                <w:b/>
                <w:color w:val="000000"/>
                <w:sz w:val="16"/>
                <w:szCs w:val="16"/>
              </w:rPr>
            </w:pPr>
            <w:r w:rsidRPr="00F2353E">
              <w:rPr>
                <w:rFonts w:ascii="Calibri" w:eastAsia="Times New Roman" w:hAnsi="Calibri" w:cs="Calibri"/>
                <w:b/>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0D475C4A" w14:textId="77777777" w:rsidR="003701B9" w:rsidRPr="00F2353E" w:rsidRDefault="003701B9" w:rsidP="00752EB6">
            <w:pPr>
              <w:spacing w:after="0" w:line="240" w:lineRule="auto"/>
              <w:jc w:val="right"/>
              <w:rPr>
                <w:rFonts w:ascii="Calibri" w:eastAsia="Times New Roman" w:hAnsi="Calibri" w:cs="Calibri"/>
                <w:b/>
                <w:color w:val="000000"/>
                <w:sz w:val="16"/>
                <w:szCs w:val="16"/>
              </w:rPr>
            </w:pPr>
            <w:r w:rsidRPr="00F2353E">
              <w:rPr>
                <w:rFonts w:ascii="Calibri" w:eastAsia="Times New Roman" w:hAnsi="Calibri" w:cs="Calibri"/>
                <w:b/>
                <w:bCs/>
                <w:color w:val="000000"/>
                <w:sz w:val="16"/>
                <w:szCs w:val="16"/>
              </w:rPr>
              <w:t>6.469.306.753</w:t>
            </w:r>
          </w:p>
        </w:tc>
        <w:tc>
          <w:tcPr>
            <w:tcW w:w="1134" w:type="dxa"/>
            <w:tcBorders>
              <w:top w:val="single" w:sz="8" w:space="0" w:color="auto"/>
              <w:left w:val="nil"/>
              <w:bottom w:val="single" w:sz="8" w:space="0" w:color="auto"/>
              <w:right w:val="nil"/>
            </w:tcBorders>
            <w:shd w:val="clear" w:color="000000" w:fill="DEEAF6"/>
            <w:noWrap/>
            <w:vAlign w:val="center"/>
            <w:hideMark/>
          </w:tcPr>
          <w:p w14:paraId="05AC49D8" w14:textId="77777777" w:rsidR="003701B9" w:rsidRPr="00F2353E" w:rsidRDefault="003701B9" w:rsidP="00752EB6">
            <w:pPr>
              <w:spacing w:after="0" w:line="240" w:lineRule="auto"/>
              <w:jc w:val="right"/>
              <w:rPr>
                <w:rFonts w:ascii="Calibri" w:eastAsia="Times New Roman" w:hAnsi="Calibri" w:cs="Calibri"/>
                <w:b/>
                <w:color w:val="000000"/>
                <w:sz w:val="16"/>
                <w:szCs w:val="16"/>
              </w:rPr>
            </w:pPr>
            <w:r w:rsidRPr="00F2353E">
              <w:rPr>
                <w:rFonts w:ascii="Calibri" w:eastAsia="Times New Roman" w:hAnsi="Calibri" w:cs="Calibri"/>
                <w:b/>
                <w:bCs/>
                <w:color w:val="000000"/>
                <w:sz w:val="16"/>
                <w:szCs w:val="16"/>
              </w:rPr>
              <w:t>(3.170.879.823)</w:t>
            </w:r>
          </w:p>
        </w:tc>
        <w:tc>
          <w:tcPr>
            <w:tcW w:w="1134" w:type="dxa"/>
            <w:tcBorders>
              <w:top w:val="single" w:sz="8" w:space="0" w:color="auto"/>
              <w:left w:val="nil"/>
              <w:bottom w:val="single" w:sz="8" w:space="0" w:color="auto"/>
              <w:right w:val="nil"/>
            </w:tcBorders>
            <w:shd w:val="clear" w:color="000000" w:fill="DEEAF6"/>
            <w:noWrap/>
            <w:vAlign w:val="center"/>
            <w:hideMark/>
          </w:tcPr>
          <w:p w14:paraId="3D999778" w14:textId="2B320AA0" w:rsidR="003701B9" w:rsidRPr="00F2353E" w:rsidRDefault="003701B9" w:rsidP="00752EB6">
            <w:pPr>
              <w:spacing w:after="0" w:line="240" w:lineRule="auto"/>
              <w:jc w:val="right"/>
              <w:rPr>
                <w:rFonts w:ascii="Calibri" w:eastAsia="Times New Roman" w:hAnsi="Calibri" w:cs="Calibri"/>
                <w:b/>
                <w:color w:val="000000"/>
                <w:sz w:val="16"/>
                <w:szCs w:val="16"/>
              </w:rPr>
            </w:pPr>
            <w:r w:rsidRPr="00F2353E">
              <w:rPr>
                <w:rFonts w:ascii="Calibri" w:eastAsia="Times New Roman" w:hAnsi="Calibri" w:cs="Calibri"/>
                <w:b/>
                <w:bCs/>
                <w:color w:val="000000"/>
                <w:sz w:val="16"/>
                <w:szCs w:val="16"/>
              </w:rPr>
              <w:t>3.298.426.92</w:t>
            </w:r>
            <w:r w:rsidR="00554C80">
              <w:rPr>
                <w:rFonts w:ascii="Calibri" w:eastAsia="Times New Roman" w:hAnsi="Calibri" w:cs="Calibri"/>
                <w:b/>
                <w:bCs/>
                <w:color w:val="000000"/>
                <w:sz w:val="16"/>
                <w:szCs w:val="16"/>
              </w:rPr>
              <w:t>9</w:t>
            </w:r>
          </w:p>
        </w:tc>
        <w:tc>
          <w:tcPr>
            <w:tcW w:w="1134" w:type="dxa"/>
            <w:tcBorders>
              <w:top w:val="single" w:sz="8" w:space="0" w:color="auto"/>
              <w:left w:val="nil"/>
              <w:bottom w:val="single" w:sz="8" w:space="0" w:color="auto"/>
              <w:right w:val="nil"/>
            </w:tcBorders>
            <w:shd w:val="clear" w:color="000000" w:fill="DEEAF6"/>
            <w:noWrap/>
            <w:vAlign w:val="center"/>
            <w:hideMark/>
          </w:tcPr>
          <w:p w14:paraId="4854B2AE" w14:textId="77777777" w:rsidR="003701B9" w:rsidRPr="00F2353E" w:rsidRDefault="003701B9" w:rsidP="00752EB6">
            <w:pPr>
              <w:spacing w:after="0" w:line="240" w:lineRule="auto"/>
              <w:jc w:val="right"/>
              <w:rPr>
                <w:rFonts w:ascii="Calibri" w:eastAsia="Times New Roman" w:hAnsi="Calibri" w:cs="Calibri"/>
                <w:b/>
                <w:color w:val="000000"/>
                <w:sz w:val="16"/>
                <w:szCs w:val="16"/>
              </w:rPr>
            </w:pPr>
            <w:r w:rsidRPr="00F2353E">
              <w:rPr>
                <w:rFonts w:ascii="Calibri" w:eastAsia="Times New Roman" w:hAnsi="Calibri" w:cs="Calibri"/>
                <w:b/>
                <w:bCs/>
                <w:color w:val="000000"/>
                <w:sz w:val="16"/>
                <w:szCs w:val="16"/>
              </w:rPr>
              <w:t>21.077.716</w:t>
            </w:r>
          </w:p>
        </w:tc>
        <w:tc>
          <w:tcPr>
            <w:tcW w:w="1134" w:type="dxa"/>
            <w:tcBorders>
              <w:top w:val="nil"/>
              <w:left w:val="nil"/>
              <w:bottom w:val="single" w:sz="8" w:space="0" w:color="auto"/>
              <w:right w:val="nil"/>
            </w:tcBorders>
            <w:shd w:val="clear" w:color="000000" w:fill="DEEAF6"/>
            <w:noWrap/>
            <w:vAlign w:val="center"/>
            <w:hideMark/>
          </w:tcPr>
          <w:p w14:paraId="7457A01D" w14:textId="0B0DDBB8" w:rsidR="003701B9" w:rsidRPr="00F2353E" w:rsidRDefault="003701B9" w:rsidP="00752EB6">
            <w:pPr>
              <w:spacing w:after="0" w:line="240" w:lineRule="auto"/>
              <w:jc w:val="right"/>
              <w:rPr>
                <w:rFonts w:ascii="Calibri" w:eastAsia="Times New Roman" w:hAnsi="Calibri" w:cs="Calibri"/>
                <w:b/>
                <w:color w:val="000000"/>
                <w:sz w:val="16"/>
                <w:szCs w:val="16"/>
              </w:rPr>
            </w:pPr>
            <w:r w:rsidRPr="00F2353E">
              <w:rPr>
                <w:rFonts w:ascii="Calibri" w:eastAsia="Times New Roman" w:hAnsi="Calibri" w:cs="Calibri"/>
                <w:b/>
                <w:bCs/>
                <w:color w:val="000000"/>
                <w:sz w:val="16"/>
                <w:szCs w:val="16"/>
              </w:rPr>
              <w:t>3.319.504.64</w:t>
            </w:r>
            <w:r w:rsidR="000D3AB5">
              <w:rPr>
                <w:rFonts w:ascii="Calibri" w:eastAsia="Times New Roman" w:hAnsi="Calibri" w:cs="Calibri"/>
                <w:b/>
                <w:bCs/>
                <w:color w:val="000000"/>
                <w:sz w:val="16"/>
                <w:szCs w:val="16"/>
              </w:rPr>
              <w:t>5</w:t>
            </w:r>
          </w:p>
        </w:tc>
      </w:tr>
    </w:tbl>
    <w:p w14:paraId="5AEE8940" w14:textId="77777777" w:rsidR="003B6566" w:rsidRPr="00E65230" w:rsidRDefault="003B6566" w:rsidP="003B6566">
      <w:pPr>
        <w:pStyle w:val="NormalWeb"/>
        <w:spacing w:before="60" w:beforeAutospacing="0" w:after="60" w:afterAutospacing="0"/>
        <w:jc w:val="both"/>
        <w:rPr>
          <w:rFonts w:cstheme="minorHAnsi"/>
          <w:sz w:val="20"/>
        </w:rPr>
      </w:pPr>
      <w:r w:rsidRPr="00E65230">
        <w:rPr>
          <w:rFonts w:cstheme="minorHAnsi"/>
          <w:sz w:val="20"/>
        </w:rPr>
        <w:t xml:space="preserve">Com aproximadamente 1.527 km de extensão, ligará o futuro Porto de Ilhéus/BA a </w:t>
      </w:r>
      <w:proofErr w:type="spellStart"/>
      <w:r w:rsidRPr="00E65230">
        <w:rPr>
          <w:rFonts w:cstheme="minorHAnsi"/>
          <w:sz w:val="20"/>
        </w:rPr>
        <w:t>Figueirópolis</w:t>
      </w:r>
      <w:proofErr w:type="spellEnd"/>
      <w:r w:rsidRPr="00E65230">
        <w:rPr>
          <w:rFonts w:cstheme="minorHAnsi"/>
          <w:sz w:val="20"/>
        </w:rPr>
        <w:t>/TO, ponto em que se conectará com a Ferrovia Norte Sul.</w:t>
      </w:r>
    </w:p>
    <w:p w14:paraId="0C143EEF" w14:textId="77777777" w:rsidR="003B6566" w:rsidRPr="00E65230" w:rsidRDefault="003B6566" w:rsidP="003B6566">
      <w:pPr>
        <w:pStyle w:val="NormalWeb"/>
        <w:spacing w:before="120" w:beforeAutospacing="0" w:after="120" w:afterAutospacing="0"/>
        <w:jc w:val="both"/>
        <w:rPr>
          <w:rFonts w:cstheme="minorHAnsi"/>
          <w:sz w:val="20"/>
        </w:rPr>
      </w:pPr>
      <w:r w:rsidRPr="00E65230">
        <w:rPr>
          <w:rFonts w:cstheme="minorHAnsi"/>
          <w:sz w:val="20"/>
        </w:rPr>
        <w:t xml:space="preserve">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w:t>
      </w:r>
      <w:r w:rsidRPr="00E65230">
        <w:rPr>
          <w:rFonts w:cstheme="minorHAnsi"/>
          <w:sz w:val="20"/>
          <w:shd w:val="clear" w:color="auto" w:fill="FFFFFF"/>
        </w:rPr>
        <w:t>Além de contribuir para indução do desenvolvimento regional, quando concluída, a FIOL propiciará melhor equilíbrio da matriz de transportes, reduzindo a dependência do modal rodoviário ao criar um corredor logístico mais competitivo.</w:t>
      </w:r>
    </w:p>
    <w:p w14:paraId="7FBF12C3" w14:textId="77777777" w:rsidR="003B6566" w:rsidRPr="00E65230" w:rsidRDefault="003B6566" w:rsidP="003B6566">
      <w:pPr>
        <w:pStyle w:val="NormalWeb"/>
        <w:spacing w:before="120" w:beforeAutospacing="0" w:after="120" w:afterAutospacing="0"/>
        <w:jc w:val="both"/>
        <w:rPr>
          <w:rFonts w:cstheme="minorHAnsi"/>
          <w:sz w:val="20"/>
        </w:rPr>
      </w:pPr>
      <w:r w:rsidRPr="00E65230">
        <w:rPr>
          <w:rFonts w:cstheme="minorHAnsi"/>
          <w:sz w:val="20"/>
          <w:shd w:val="clear" w:color="auto" w:fill="FFFFFF"/>
        </w:rPr>
        <w:t xml:space="preserve">Os estudos de Viabilidade foram concluídos em 2008, Projeto Básico em 2011 e o Executivo em 2013. </w:t>
      </w:r>
      <w:r w:rsidRPr="00E65230">
        <w:rPr>
          <w:rFonts w:cstheme="minorHAnsi"/>
          <w:sz w:val="20"/>
        </w:rPr>
        <w:t xml:space="preserve">Devido à sua extensão e disponibilidade orçamentária, a FIOL está sendo construída em etapas e constituem os seguintes trechos: </w:t>
      </w:r>
      <w:r w:rsidRPr="00E65230">
        <w:rPr>
          <w:rFonts w:cstheme="minorHAnsi"/>
          <w:b/>
          <w:bCs/>
          <w:sz w:val="20"/>
        </w:rPr>
        <w:t>FIOL I (Ilhéus/BA – Caetité/BA)</w:t>
      </w:r>
      <w:r w:rsidRPr="00E65230">
        <w:rPr>
          <w:rFonts w:cstheme="minorHAnsi"/>
          <w:sz w:val="20"/>
        </w:rPr>
        <w:t xml:space="preserve">; FIOL II (Caetité/BA – Barreiras/BA) e FIOL III (Barreiras/BA – </w:t>
      </w:r>
      <w:proofErr w:type="spellStart"/>
      <w:r w:rsidRPr="00E65230">
        <w:rPr>
          <w:rFonts w:cstheme="minorHAnsi"/>
          <w:sz w:val="20"/>
        </w:rPr>
        <w:t>Figueirópolis</w:t>
      </w:r>
      <w:proofErr w:type="spellEnd"/>
      <w:r w:rsidRPr="00E65230">
        <w:rPr>
          <w:rFonts w:cstheme="minorHAnsi"/>
          <w:sz w:val="20"/>
        </w:rPr>
        <w:t>/TO)</w:t>
      </w:r>
      <w:r w:rsidRPr="00E65230">
        <w:rPr>
          <w:rFonts w:cstheme="minorHAnsi"/>
          <w:sz w:val="20"/>
          <w:shd w:val="clear" w:color="auto" w:fill="FFFFFF"/>
        </w:rPr>
        <w:t>.</w:t>
      </w:r>
    </w:p>
    <w:p w14:paraId="603FCF07" w14:textId="77777777" w:rsidR="003B6566" w:rsidRPr="00E65230" w:rsidRDefault="003B6566" w:rsidP="003B6566">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shd w:val="clear" w:color="auto" w:fill="FFFFFF"/>
        </w:rPr>
        <w:t xml:space="preserve">A </w:t>
      </w:r>
      <w:r w:rsidRPr="00E65230">
        <w:rPr>
          <w:rFonts w:asciiTheme="minorHAnsi" w:hAnsiTheme="minorHAnsi" w:cstheme="minorHAnsi"/>
          <w:b/>
          <w:szCs w:val="21"/>
          <w:shd w:val="clear" w:color="auto" w:fill="FFFFFF"/>
        </w:rPr>
        <w:t>FIOL I</w:t>
      </w:r>
      <w:r w:rsidRPr="00E65230">
        <w:rPr>
          <w:rFonts w:asciiTheme="minorHAnsi" w:hAnsiTheme="minorHAnsi" w:cstheme="minorHAnsi"/>
          <w:szCs w:val="21"/>
          <w:shd w:val="clear" w:color="auto" w:fill="FFFFFF"/>
        </w:rPr>
        <w:t xml:space="preserve">, com 537 km de extensão, foi </w:t>
      </w:r>
      <w:proofErr w:type="spellStart"/>
      <w:r w:rsidRPr="00E65230">
        <w:rPr>
          <w:rFonts w:asciiTheme="minorHAnsi" w:hAnsiTheme="minorHAnsi" w:cstheme="minorHAnsi"/>
          <w:szCs w:val="21"/>
          <w:shd w:val="clear" w:color="auto" w:fill="FFFFFF"/>
        </w:rPr>
        <w:t>subconcedida</w:t>
      </w:r>
      <w:proofErr w:type="spellEnd"/>
      <w:r w:rsidRPr="00E65230">
        <w:rPr>
          <w:rFonts w:asciiTheme="minorHAnsi" w:hAnsiTheme="minorHAnsi" w:cstheme="minorHAnsi"/>
          <w:szCs w:val="21"/>
          <w:shd w:val="clear" w:color="auto" w:fill="FFFFFF"/>
        </w:rPr>
        <w:t xml:space="preserve"> em agosto de 2021, pelo prazo de 35 anos, à empresa Bahia Mineração S., que se consagrou vencedora com um lance de R$ 32,7 milhões, adicionado à receita variável, com base no estudo de </w:t>
      </w:r>
      <w:r w:rsidRPr="00E65230">
        <w:rPr>
          <w:rFonts w:asciiTheme="minorHAnsi" w:hAnsiTheme="minorHAnsi" w:cstheme="minorHAnsi"/>
          <w:szCs w:val="21"/>
        </w:rPr>
        <w:t>viabilidade, nos termos do Edital de Concorrência Internacional n</w:t>
      </w:r>
      <w:r>
        <w:rPr>
          <w:rFonts w:asciiTheme="minorHAnsi" w:hAnsiTheme="minorHAnsi" w:cstheme="minorHAnsi"/>
          <w:szCs w:val="21"/>
        </w:rPr>
        <w:t>°</w:t>
      </w:r>
      <w:r w:rsidRPr="00E65230">
        <w:rPr>
          <w:rFonts w:asciiTheme="minorHAnsi" w:hAnsiTheme="minorHAnsi" w:cstheme="minorHAnsi"/>
          <w:szCs w:val="21"/>
        </w:rPr>
        <w:t xml:space="preserve"> 01/2020. </w:t>
      </w:r>
    </w:p>
    <w:p w14:paraId="0AF63A0E" w14:textId="77777777" w:rsidR="003B6566" w:rsidRPr="00E65230" w:rsidRDefault="003B6566" w:rsidP="003B6566">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rPr>
        <w:t xml:space="preserve">O contrato foi assinado em 03 de setembro de 2021, por intermédio da ANTT, tendo como Concessionária e Interveniente </w:t>
      </w:r>
      <w:proofErr w:type="spellStart"/>
      <w:r w:rsidRPr="00E65230">
        <w:rPr>
          <w:rFonts w:asciiTheme="minorHAnsi" w:hAnsiTheme="minorHAnsi" w:cstheme="minorHAnsi"/>
          <w:szCs w:val="21"/>
        </w:rPr>
        <w:t>Subconcedente</w:t>
      </w:r>
      <w:proofErr w:type="spellEnd"/>
      <w:r w:rsidRPr="00E65230">
        <w:rPr>
          <w:rFonts w:asciiTheme="minorHAnsi" w:hAnsiTheme="minorHAnsi" w:cstheme="minorHAnsi"/>
          <w:szCs w:val="21"/>
        </w:rPr>
        <w:t xml:space="preserve"> a Infra S.A.; tendo por objeto a “Subconcessão da construção e da prestação de serviço público de transporte ferroviário de cargas associado à exploração da Infraestrutura da malha ferroviária da EF-334, no trecho compreendido entre </w:t>
      </w:r>
      <w:r w:rsidRPr="00E65230">
        <w:rPr>
          <w:rFonts w:asciiTheme="minorHAnsi" w:hAnsiTheme="minorHAnsi" w:cstheme="minorHAnsi"/>
          <w:szCs w:val="21"/>
        </w:rPr>
        <w:lastRenderedPageBreak/>
        <w:t>Ilhéus/BA e Caetité/BA, nos termos, prazos e condições estabelecidos neste Contrato e em seus Anexos, e na Lei n° 10.233, de 05 de junho de 2001, bem como pela legislação e regulamentação aplicável”.</w:t>
      </w:r>
    </w:p>
    <w:p w14:paraId="231DDDE4" w14:textId="77777777" w:rsidR="003B6566" w:rsidRPr="00E65230" w:rsidRDefault="003B6566" w:rsidP="003B6566">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O Valor Presente de R$ 260 milhões, com data base maio de 2021, das receitas de outorga previstas na concessão da FIOL I, foi calculado pela Superintendência de Negócios da Infra S.A. e evidenciado no Ofício n</w:t>
      </w:r>
      <w:r>
        <w:rPr>
          <w:rFonts w:asciiTheme="minorHAnsi" w:hAnsiTheme="minorHAnsi" w:cstheme="minorHAnsi"/>
          <w:szCs w:val="21"/>
        </w:rPr>
        <w:t>°</w:t>
      </w:r>
      <w:r w:rsidRPr="00E65230">
        <w:rPr>
          <w:rFonts w:asciiTheme="minorHAnsi" w:hAnsiTheme="minorHAnsi" w:cstheme="minorHAnsi"/>
          <w:szCs w:val="21"/>
        </w:rPr>
        <w:t xml:space="preserve"> 6/2021/SUNEG-</w:t>
      </w:r>
      <w:r>
        <w:rPr>
          <w:rFonts w:asciiTheme="minorHAnsi" w:hAnsiTheme="minorHAnsi" w:cstheme="minorHAnsi"/>
          <w:szCs w:val="21"/>
        </w:rPr>
        <w:t xml:space="preserve">Infra S.A. </w:t>
      </w:r>
      <w:r w:rsidRPr="00E65230">
        <w:rPr>
          <w:rFonts w:asciiTheme="minorHAnsi" w:hAnsiTheme="minorHAnsi" w:cstheme="minorHAnsi"/>
          <w:szCs w:val="21"/>
        </w:rPr>
        <w:t>/DINEG-</w:t>
      </w:r>
      <w:r>
        <w:rPr>
          <w:rFonts w:asciiTheme="minorHAnsi" w:hAnsiTheme="minorHAnsi" w:cstheme="minorHAnsi"/>
          <w:szCs w:val="21"/>
        </w:rPr>
        <w:t>Infra S.A.</w:t>
      </w:r>
      <w:r w:rsidRPr="00E65230">
        <w:rPr>
          <w:rFonts w:asciiTheme="minorHAnsi" w:hAnsiTheme="minorHAnsi" w:cstheme="minorHAnsi"/>
          <w:szCs w:val="21"/>
        </w:rPr>
        <w:t>, em 09 de junho de 2021.</w:t>
      </w:r>
    </w:p>
    <w:p w14:paraId="4BD62D26" w14:textId="77777777" w:rsidR="003B6566" w:rsidRPr="00E65230" w:rsidRDefault="003B6566" w:rsidP="003B6566">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728EE2EB" w14:textId="77777777" w:rsidR="003B6566" w:rsidRDefault="003B6566" w:rsidP="003B6566">
      <w:pPr>
        <w:pStyle w:val="Textoembloco"/>
        <w:spacing w:before="120" w:line="264" w:lineRule="auto"/>
        <w:ind w:left="0" w:right="-23"/>
        <w:rPr>
          <w:rFonts w:asciiTheme="minorHAnsi" w:hAnsiTheme="minorHAnsi" w:cstheme="minorHAnsi"/>
          <w:szCs w:val="21"/>
        </w:rPr>
      </w:pPr>
      <w:r w:rsidRPr="004318AE">
        <w:rPr>
          <w:rFonts w:asciiTheme="minorHAnsi" w:hAnsiTheme="minorHAnsi" w:cstheme="minorHAnsi"/>
          <w:szCs w:val="21"/>
        </w:rPr>
        <w:t>No exercício de 2021, foi efetuado cálculo do valor presente, com data base de 30 de novembro de 2021, que resultou no valor de R$ 280 milhões, conforme Processo SEI n</w:t>
      </w:r>
      <w:r>
        <w:rPr>
          <w:rFonts w:asciiTheme="minorHAnsi" w:hAnsiTheme="minorHAnsi" w:cstheme="minorHAnsi"/>
          <w:szCs w:val="21"/>
        </w:rPr>
        <w:t>°</w:t>
      </w:r>
      <w:r w:rsidRPr="004318AE">
        <w:rPr>
          <w:rFonts w:asciiTheme="minorHAnsi" w:hAnsiTheme="minorHAnsi" w:cstheme="minorHAnsi"/>
          <w:szCs w:val="21"/>
        </w:rPr>
        <w:t xml:space="preserve"> 51402.106812/2021-17. Portanto, fez-se necessária a reversão de parte do valor anteriormente provisionado, totalizando R$ 20,77 milhões.</w:t>
      </w:r>
      <w:r>
        <w:rPr>
          <w:rFonts w:asciiTheme="minorHAnsi" w:hAnsiTheme="minorHAnsi" w:cstheme="minorHAnsi"/>
          <w:szCs w:val="21"/>
        </w:rPr>
        <w:t xml:space="preserve"> </w:t>
      </w:r>
    </w:p>
    <w:p w14:paraId="6EA44296" w14:textId="77777777" w:rsidR="003B6566" w:rsidRDefault="003B6566" w:rsidP="003B6566">
      <w:pPr>
        <w:pStyle w:val="Textoembloco"/>
        <w:spacing w:before="120" w:line="264" w:lineRule="auto"/>
        <w:ind w:left="0" w:right="-23"/>
        <w:rPr>
          <w:rFonts w:asciiTheme="minorHAnsi" w:hAnsiTheme="minorHAnsi" w:cstheme="minorHAnsi"/>
          <w:szCs w:val="21"/>
        </w:rPr>
      </w:pPr>
      <w:r w:rsidRPr="004318AE">
        <w:rPr>
          <w:rFonts w:asciiTheme="minorHAnsi" w:hAnsiTheme="minorHAnsi" w:cstheme="minorHAnsi"/>
          <w:szCs w:val="21"/>
        </w:rPr>
        <w:t xml:space="preserve">A análise do valor recuperável, em consonância com o </w:t>
      </w:r>
      <w:r>
        <w:rPr>
          <w:rFonts w:asciiTheme="minorHAnsi" w:hAnsiTheme="minorHAnsi" w:cstheme="minorHAnsi"/>
          <w:szCs w:val="21"/>
        </w:rPr>
        <w:t xml:space="preserve">Pronunciamento Técnico </w:t>
      </w:r>
      <w:r w:rsidRPr="004318AE">
        <w:rPr>
          <w:rFonts w:asciiTheme="minorHAnsi" w:hAnsiTheme="minorHAnsi" w:cstheme="minorHAnsi"/>
          <w:szCs w:val="21"/>
        </w:rPr>
        <w:t>CPC – 01 (R1) – Redução ao Valor Recuperável de Ativos, deve ser realizada anualmente. Dessa forma, por ocasião do encerramento do exercício de 2022, foi efetuado cálculo do valor presente, com data base de 30 de novembro de 2022, que resultou no valor de R$ 278 milhões, conforme Processo SEI n</w:t>
      </w:r>
      <w:r>
        <w:rPr>
          <w:rFonts w:asciiTheme="minorHAnsi" w:hAnsiTheme="minorHAnsi" w:cstheme="minorHAnsi"/>
          <w:szCs w:val="21"/>
        </w:rPr>
        <w:t>°</w:t>
      </w:r>
      <w:r w:rsidRPr="004318AE">
        <w:rPr>
          <w:rFonts w:asciiTheme="minorHAnsi" w:hAnsiTheme="minorHAnsi" w:cstheme="minorHAnsi"/>
          <w:szCs w:val="21"/>
        </w:rPr>
        <w:t xml:space="preserve"> 50050.001280/2022-70. Portanto, fez-se necessário o acréscimo de 2,78 milhões à Redução a valor recuperável.</w:t>
      </w:r>
    </w:p>
    <w:p w14:paraId="2E9B6004" w14:textId="77777777" w:rsidR="003B6566" w:rsidRPr="004318AE" w:rsidRDefault="003B6566" w:rsidP="003B6566">
      <w:pPr>
        <w:pStyle w:val="Textoembloco"/>
        <w:spacing w:before="120" w:line="264" w:lineRule="auto"/>
        <w:ind w:left="0" w:right="-23"/>
        <w:rPr>
          <w:rFonts w:asciiTheme="minorHAnsi" w:hAnsiTheme="minorHAnsi" w:cstheme="minorHAnsi"/>
          <w:szCs w:val="21"/>
        </w:rPr>
      </w:pPr>
      <w:r>
        <w:rPr>
          <w:rFonts w:asciiTheme="minorHAnsi" w:hAnsiTheme="minorHAnsi" w:cstheme="minorHAnsi"/>
          <w:szCs w:val="21"/>
        </w:rPr>
        <w:t xml:space="preserve">Em 2023, por meio do Processo nº </w:t>
      </w:r>
      <w:r w:rsidRPr="00115FCE">
        <w:rPr>
          <w:rFonts w:asciiTheme="minorHAnsi" w:hAnsiTheme="minorHAnsi" w:cstheme="minorHAnsi"/>
          <w:szCs w:val="21"/>
        </w:rPr>
        <w:t>50050.001280/2022-70</w:t>
      </w:r>
      <w:r>
        <w:rPr>
          <w:rFonts w:asciiTheme="minorHAnsi" w:hAnsiTheme="minorHAnsi" w:cstheme="minorHAnsi"/>
          <w:szCs w:val="21"/>
        </w:rPr>
        <w:t xml:space="preserve">, o cálculo do valor represente, com data-base de 30/12/2023, resultou no valor de R$ </w:t>
      </w:r>
      <w:r>
        <w:rPr>
          <w:rFonts w:ascii="Calibri" w:hAnsi="Calibri" w:cs="Calibri"/>
          <w:color w:val="000000"/>
        </w:rPr>
        <w:t xml:space="preserve">327,65 milhões, conforme </w:t>
      </w:r>
      <w:r w:rsidRPr="00DA6563">
        <w:rPr>
          <w:rFonts w:ascii="Calibri" w:hAnsi="Calibri" w:cs="Calibri"/>
          <w:color w:val="000000"/>
        </w:rPr>
        <w:t>O</w:t>
      </w:r>
      <w:r>
        <w:rPr>
          <w:rFonts w:ascii="Calibri" w:hAnsi="Calibri" w:cs="Calibri"/>
          <w:color w:val="000000"/>
        </w:rPr>
        <w:t>fício</w:t>
      </w:r>
      <w:r w:rsidRPr="00DA6563">
        <w:rPr>
          <w:rFonts w:ascii="Calibri" w:hAnsi="Calibri" w:cs="Calibri"/>
          <w:color w:val="000000"/>
        </w:rPr>
        <w:t xml:space="preserve"> </w:t>
      </w:r>
      <w:r>
        <w:rPr>
          <w:rFonts w:ascii="Calibri" w:hAnsi="Calibri" w:cs="Calibri"/>
          <w:color w:val="000000"/>
        </w:rPr>
        <w:t>nº</w:t>
      </w:r>
      <w:r w:rsidRPr="00DA6563">
        <w:rPr>
          <w:rFonts w:ascii="Calibri" w:hAnsi="Calibri" w:cs="Calibri"/>
          <w:color w:val="000000"/>
        </w:rPr>
        <w:t xml:space="preserve"> 119/2023/SUFER-INFRASA</w:t>
      </w:r>
      <w:r>
        <w:rPr>
          <w:rFonts w:ascii="Calibri" w:hAnsi="Calibri" w:cs="Calibri"/>
          <w:color w:val="000000"/>
        </w:rPr>
        <w:t xml:space="preserve"> (SEI n° </w:t>
      </w:r>
      <w:r w:rsidRPr="005820D5">
        <w:rPr>
          <w:rFonts w:ascii="Calibri" w:hAnsi="Calibri" w:cs="Calibri"/>
          <w:color w:val="000000"/>
        </w:rPr>
        <w:t>7888470</w:t>
      </w:r>
      <w:r>
        <w:rPr>
          <w:rFonts w:ascii="Calibri" w:hAnsi="Calibri" w:cs="Calibri"/>
          <w:color w:val="000000"/>
        </w:rPr>
        <w:t>). Com isso, houve a r</w:t>
      </w:r>
      <w:r w:rsidRPr="00692ADF">
        <w:rPr>
          <w:rFonts w:ascii="Calibri" w:hAnsi="Calibri" w:cs="Calibri"/>
          <w:color w:val="000000"/>
        </w:rPr>
        <w:t>eversão de redução a valor recuperável</w:t>
      </w:r>
      <w:r>
        <w:rPr>
          <w:rFonts w:ascii="Calibri" w:hAnsi="Calibri" w:cs="Calibri"/>
          <w:color w:val="000000"/>
        </w:rPr>
        <w:t xml:space="preserve"> no valor de R$ 49,42 milhões.</w:t>
      </w:r>
    </w:p>
    <w:p w14:paraId="19BF461C" w14:textId="77777777" w:rsidR="003B6566" w:rsidRPr="00E65230" w:rsidRDefault="003B6566" w:rsidP="003B6566">
      <w:pPr>
        <w:pStyle w:val="PargrafodaLista"/>
        <w:spacing w:before="120"/>
        <w:ind w:left="0"/>
        <w:contextualSpacing w:val="0"/>
        <w:jc w:val="both"/>
        <w:rPr>
          <w:rFonts w:cstheme="minorHAnsi"/>
          <w:bCs/>
          <w:sz w:val="20"/>
          <w:shd w:val="clear" w:color="auto" w:fill="FFFFFF"/>
        </w:rPr>
      </w:pPr>
      <w:r w:rsidRPr="00E65230">
        <w:rPr>
          <w:rFonts w:cstheme="minorHAnsi"/>
          <w:bCs/>
          <w:sz w:val="20"/>
          <w:shd w:val="clear" w:color="auto" w:fill="FFFFFF"/>
        </w:rPr>
        <w:t xml:space="preserve">A </w:t>
      </w:r>
      <w:r w:rsidRPr="00E65230">
        <w:rPr>
          <w:rFonts w:cstheme="minorHAnsi"/>
          <w:b/>
          <w:sz w:val="20"/>
          <w:shd w:val="clear" w:color="auto" w:fill="FFFFFF"/>
        </w:rPr>
        <w:t>FIOL II</w:t>
      </w:r>
      <w:r w:rsidRPr="00E65230">
        <w:rPr>
          <w:rFonts w:cstheme="minorHAnsi"/>
          <w:bCs/>
          <w:sz w:val="20"/>
          <w:shd w:val="clear" w:color="auto" w:fill="FFFFFF"/>
        </w:rPr>
        <w:t>, com extensão de 485km, está em construção. Os projetos executivos desse trecho são acompanhados e revisados pari passu pelas equipes e responsáveis do projeto e orçamento da empresa. Com a efetivação do investimento cruzado com a VALE (</w:t>
      </w:r>
      <w:r>
        <w:rPr>
          <w:rFonts w:cstheme="minorHAnsi"/>
          <w:bCs/>
          <w:sz w:val="20"/>
          <w:shd w:val="clear" w:color="auto" w:fill="FFFFFF"/>
        </w:rPr>
        <w:t>V</w:t>
      </w:r>
      <w:r w:rsidRPr="00E65230">
        <w:rPr>
          <w:rFonts w:cstheme="minorHAnsi"/>
          <w:bCs/>
          <w:sz w:val="20"/>
          <w:shd w:val="clear" w:color="auto" w:fill="FFFFFF"/>
        </w:rPr>
        <w:t xml:space="preserve">ide </w:t>
      </w:r>
      <w:r>
        <w:rPr>
          <w:rFonts w:cstheme="minorHAnsi"/>
          <w:bCs/>
          <w:sz w:val="20"/>
          <w:shd w:val="clear" w:color="auto" w:fill="FFFFFF"/>
        </w:rPr>
        <w:t>a N</w:t>
      </w:r>
      <w:r w:rsidRPr="00E65230">
        <w:rPr>
          <w:rFonts w:cstheme="minorHAnsi"/>
          <w:bCs/>
          <w:sz w:val="20"/>
          <w:shd w:val="clear" w:color="auto" w:fill="FFFFFF"/>
        </w:rPr>
        <w:t>ota</w:t>
      </w:r>
      <w:r>
        <w:rPr>
          <w:rFonts w:cstheme="minorHAnsi"/>
          <w:bCs/>
          <w:sz w:val="20"/>
          <w:shd w:val="clear" w:color="auto" w:fill="FFFFFF"/>
        </w:rPr>
        <w:t xml:space="preserve"> Explicativa</w:t>
      </w:r>
      <w:r w:rsidRPr="00E65230">
        <w:rPr>
          <w:rFonts w:cstheme="minorHAnsi"/>
          <w:bCs/>
          <w:sz w:val="20"/>
          <w:shd w:val="clear" w:color="auto" w:fill="FFFFFF"/>
        </w:rPr>
        <w:t xml:space="preserve"> 24), em 2021 ocorreu a chegada dos trilhos (cerca de 57.000 toneladas) e dormentes de concreto (32.000 unidades), totalizando R$ 408 milhões em investimentos cruzados no trecho. Os ativos relacionados aos trechos da FIOL II não sofreram teste de recuperabilidade de ativos, por estarem em fase de obras em andamento, sem indícios de perdas. </w:t>
      </w:r>
    </w:p>
    <w:p w14:paraId="59F14CAE" w14:textId="77777777" w:rsidR="003B6566" w:rsidRDefault="003B6566" w:rsidP="00CC1314">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A </w:t>
      </w:r>
      <w:r w:rsidRPr="00E65230">
        <w:rPr>
          <w:rFonts w:cstheme="minorHAnsi"/>
          <w:b/>
          <w:sz w:val="20"/>
          <w:shd w:val="clear" w:color="auto" w:fill="FFFFFF"/>
        </w:rPr>
        <w:t>FIOL III</w:t>
      </w:r>
      <w:r w:rsidRPr="00E65230">
        <w:rPr>
          <w:rFonts w:cstheme="minorHAnsi"/>
          <w:sz w:val="20"/>
          <w:shd w:val="clear" w:color="auto" w:fill="FFFFFF"/>
        </w:rPr>
        <w:t xml:space="preserve">, com 505 km de extensão, encontra-se com o EVTEA, Projeto Básico e Projeto Executivo concluídos, passíveis de revisões. Ao conectar-se com a FNS em </w:t>
      </w:r>
      <w:proofErr w:type="spellStart"/>
      <w:r w:rsidRPr="00E65230">
        <w:rPr>
          <w:rFonts w:cstheme="minorHAnsi"/>
          <w:sz w:val="20"/>
          <w:shd w:val="clear" w:color="auto" w:fill="FFFFFF"/>
        </w:rPr>
        <w:t>Figueirópolis</w:t>
      </w:r>
      <w:proofErr w:type="spellEnd"/>
      <w:r w:rsidRPr="00E65230">
        <w:rPr>
          <w:rFonts w:cstheme="minorHAnsi"/>
          <w:sz w:val="20"/>
          <w:shd w:val="clear" w:color="auto" w:fill="FFFFFF"/>
        </w:rPr>
        <w:t>/TO, a FIOL formará importante corredor logístico de transporte, ampliando as possibilidades de escoamento da produção econômica do país.</w:t>
      </w:r>
    </w:p>
    <w:p w14:paraId="31041184" w14:textId="7E4123CA" w:rsidR="00671BC1" w:rsidRPr="00E65230" w:rsidRDefault="00671BC1" w:rsidP="00CC1314">
      <w:pPr>
        <w:pStyle w:val="PargrafodaLista"/>
        <w:numPr>
          <w:ilvl w:val="0"/>
          <w:numId w:val="9"/>
        </w:numPr>
        <w:spacing w:before="120" w:line="240" w:lineRule="auto"/>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 xml:space="preserve">Ferrovia Transcontinental / Ferrovia de Integração Centro-Oeste </w:t>
      </w:r>
      <w:r w:rsidR="00353ECB" w:rsidRPr="00E65230">
        <w:rPr>
          <w:rFonts w:eastAsiaTheme="majorEastAsia" w:cstheme="minorHAnsi"/>
          <w:color w:val="2E74B5" w:themeColor="accent1" w:themeShade="BF"/>
          <w:sz w:val="20"/>
        </w:rPr>
        <w:t xml:space="preserve">– </w:t>
      </w:r>
      <w:r w:rsidRPr="00E65230">
        <w:rPr>
          <w:rFonts w:eastAsiaTheme="majorEastAsia" w:cstheme="minorHAnsi"/>
          <w:color w:val="2E74B5" w:themeColor="accent1" w:themeShade="BF"/>
          <w:sz w:val="20"/>
        </w:rPr>
        <w:t xml:space="preserve">FICO </w:t>
      </w:r>
      <w:r w:rsidR="00353ECB">
        <w:rPr>
          <w:rFonts w:eastAsiaTheme="majorEastAsia" w:cstheme="minorHAnsi"/>
          <w:color w:val="2E74B5" w:themeColor="accent1" w:themeShade="BF"/>
          <w:sz w:val="20"/>
        </w:rPr>
        <w:t>(</w:t>
      </w:r>
      <w:r w:rsidRPr="00E65230">
        <w:rPr>
          <w:rFonts w:eastAsiaTheme="majorEastAsia" w:cstheme="minorHAnsi"/>
          <w:color w:val="2E74B5" w:themeColor="accent1" w:themeShade="BF"/>
          <w:sz w:val="20"/>
        </w:rPr>
        <w:t>EF 35</w:t>
      </w:r>
      <w:r w:rsidR="00523230" w:rsidRPr="00E65230">
        <w:rPr>
          <w:rFonts w:eastAsiaTheme="majorEastAsia" w:cstheme="minorHAnsi"/>
          <w:color w:val="2E74B5" w:themeColor="accent1" w:themeShade="BF"/>
          <w:sz w:val="20"/>
        </w:rPr>
        <w:t>4</w:t>
      </w:r>
      <w:r w:rsidR="00353ECB">
        <w:rPr>
          <w:rFonts w:eastAsiaTheme="majorEastAsia" w:cstheme="minorHAnsi"/>
          <w:color w:val="2E74B5" w:themeColor="accent1" w:themeShade="BF"/>
          <w:sz w:val="20"/>
        </w:rPr>
        <w:t>)</w:t>
      </w:r>
    </w:p>
    <w:p w14:paraId="2316FFD4" w14:textId="77777777" w:rsidR="00E129B4" w:rsidRPr="00E129B4" w:rsidRDefault="00E129B4" w:rsidP="00E129B4">
      <w:pPr>
        <w:autoSpaceDE w:val="0"/>
        <w:autoSpaceDN w:val="0"/>
        <w:adjustRightInd w:val="0"/>
        <w:jc w:val="both"/>
        <w:rPr>
          <w:rFonts w:cstheme="minorHAnsi"/>
          <w:sz w:val="20"/>
          <w:shd w:val="clear" w:color="auto" w:fill="FFFFFF"/>
        </w:rPr>
      </w:pPr>
      <w:r w:rsidRPr="00E129B4">
        <w:rPr>
          <w:rFonts w:cstheme="minorHAns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 a seguir:</w:t>
      </w:r>
    </w:p>
    <w:p w14:paraId="750408F5" w14:textId="137407D0" w:rsidR="00671BC1" w:rsidRPr="0066065E" w:rsidRDefault="00406900" w:rsidP="000B5D82">
      <w:pPr>
        <w:autoSpaceDE w:val="0"/>
        <w:autoSpaceDN w:val="0"/>
        <w:adjustRightInd w:val="0"/>
        <w:spacing w:before="240" w:after="0"/>
        <w:jc w:val="center"/>
        <w:rPr>
          <w:rFonts w:ascii="Calibri" w:hAnsi="Calibri" w:cs="Calibri"/>
          <w:shd w:val="clear" w:color="auto" w:fill="FFFFFF"/>
        </w:rPr>
      </w:pPr>
      <w:r w:rsidRPr="00601564">
        <w:rPr>
          <w:rFonts w:ascii="Calibri" w:hAnsi="Calibri" w:cs="Calibri"/>
          <w:noProof/>
          <w:shd w:val="clear" w:color="auto" w:fill="FFFFFF"/>
        </w:rPr>
        <w:drawing>
          <wp:inline distT="0" distB="0" distL="0" distR="0" wp14:anchorId="4B247883" wp14:editId="51301321">
            <wp:extent cx="3087014" cy="2118051"/>
            <wp:effectExtent l="0" t="0" r="0" b="0"/>
            <wp:docPr id="1456782910" name="Imagem 14567829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82910" name="Imagem 1" descr="Mapa&#10;&#10;Descrição gerada automaticamente"/>
                    <pic:cNvPicPr/>
                  </pic:nvPicPr>
                  <pic:blipFill>
                    <a:blip r:embed="rId17"/>
                    <a:stretch>
                      <a:fillRect/>
                    </a:stretch>
                  </pic:blipFill>
                  <pic:spPr>
                    <a:xfrm>
                      <a:off x="0" y="0"/>
                      <a:ext cx="3097995" cy="2125585"/>
                    </a:xfrm>
                    <a:prstGeom prst="rect">
                      <a:avLst/>
                    </a:prstGeom>
                  </pic:spPr>
                </pic:pic>
              </a:graphicData>
            </a:graphic>
          </wp:inline>
        </w:drawing>
      </w:r>
    </w:p>
    <w:p w14:paraId="36D88A87" w14:textId="7D6F2780" w:rsidR="00671BC1" w:rsidRPr="0066065E" w:rsidRDefault="00671BC1" w:rsidP="00671BC1">
      <w:pPr>
        <w:autoSpaceDE w:val="0"/>
        <w:autoSpaceDN w:val="0"/>
        <w:adjustRightInd w:val="0"/>
        <w:jc w:val="center"/>
        <w:rPr>
          <w:rFonts w:ascii="Calibri" w:hAnsi="Calibri" w:cs="Calibri"/>
          <w:sz w:val="16"/>
          <w:szCs w:val="16"/>
          <w:shd w:val="clear" w:color="auto" w:fill="FFFFFF"/>
        </w:rPr>
      </w:pPr>
      <w:r w:rsidRPr="0066065E">
        <w:rPr>
          <w:rFonts w:ascii="Calibri" w:hAnsi="Calibri" w:cs="Calibri"/>
          <w:sz w:val="16"/>
          <w:szCs w:val="16"/>
          <w:shd w:val="clear" w:color="auto" w:fill="FFFFFF"/>
        </w:rPr>
        <w:t>Fonte:</w:t>
      </w:r>
      <w:r w:rsidR="001D1B0C">
        <w:rPr>
          <w:rFonts w:ascii="Calibri" w:hAnsi="Calibri" w:cs="Calibri"/>
          <w:sz w:val="16"/>
          <w:szCs w:val="16"/>
          <w:shd w:val="clear" w:color="auto" w:fill="FFFFFF"/>
        </w:rPr>
        <w:t xml:space="preserve"> </w:t>
      </w:r>
      <w:r w:rsidR="00406900">
        <w:rPr>
          <w:rFonts w:ascii="Calibri" w:hAnsi="Calibri" w:cs="Calibri"/>
          <w:sz w:val="16"/>
          <w:szCs w:val="16"/>
          <w:shd w:val="clear" w:color="auto" w:fill="FFFFFF"/>
        </w:rPr>
        <w:t>Adaptado</w:t>
      </w:r>
      <w:r w:rsidRPr="0066065E">
        <w:rPr>
          <w:rFonts w:ascii="Calibri" w:hAnsi="Calibri" w:cs="Calibri"/>
          <w:sz w:val="16"/>
          <w:szCs w:val="16"/>
          <w:shd w:val="clear" w:color="auto" w:fill="FFFFFF"/>
        </w:rPr>
        <w:t xml:space="preserve"> https://massa.ind.br/ferrovia-transcontinental/</w:t>
      </w:r>
    </w:p>
    <w:p w14:paraId="0CB3B8EE" w14:textId="77777777" w:rsidR="006A7A4D" w:rsidRPr="00E65230" w:rsidRDefault="006A7A4D" w:rsidP="00CC1314">
      <w:pPr>
        <w:tabs>
          <w:tab w:val="left" w:pos="3598"/>
        </w:tabs>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lastRenderedPageBreak/>
        <w:t xml:space="preserve">Entre Mara Rosa/GO e Vilhena/RO, com estimados 1534 km de extensão, esta ferrovia é denominada Ferrovia de Integração do Centro Oeste – FICO. Referido trecho pode ser observado na figura constante na </w:t>
      </w:r>
      <w:r>
        <w:rPr>
          <w:rFonts w:cstheme="minorHAnsi"/>
          <w:sz w:val="20"/>
          <w:shd w:val="clear" w:color="auto" w:fill="FFFFFF"/>
        </w:rPr>
        <w:t>Nota Explicativa</w:t>
      </w:r>
      <w:r w:rsidRPr="00E65230">
        <w:rPr>
          <w:rFonts w:cstheme="minorHAnsi"/>
          <w:sz w:val="20"/>
          <w:shd w:val="clear" w:color="auto" w:fill="FFFFFF"/>
        </w:rPr>
        <w:t xml:space="preserve"> 1.2 – Projetos e Atividades Operacionais.</w:t>
      </w:r>
    </w:p>
    <w:p w14:paraId="65CA3A0E" w14:textId="77777777" w:rsidR="006A7A4D" w:rsidRPr="00E65230" w:rsidRDefault="006A7A4D">
      <w:pPr>
        <w:autoSpaceDE w:val="0"/>
        <w:autoSpaceDN w:val="0"/>
        <w:adjustRightInd w:val="0"/>
        <w:spacing w:before="120"/>
        <w:jc w:val="both"/>
        <w:rPr>
          <w:rFonts w:cstheme="minorHAnsi"/>
          <w:sz w:val="20"/>
        </w:rPr>
      </w:pPr>
      <w:r w:rsidRPr="00E65230">
        <w:rPr>
          <w:rFonts w:cstheme="minorHAnsi"/>
          <w:sz w:val="20"/>
        </w:rPr>
        <w:t xml:space="preserve">Foi iniciada à construção da FICO, pelo modelo amparado pela Lei </w:t>
      </w:r>
      <w:r>
        <w:rPr>
          <w:rFonts w:cstheme="minorHAnsi"/>
          <w:sz w:val="20"/>
        </w:rPr>
        <w:t xml:space="preserve">nº </w:t>
      </w:r>
      <w:r w:rsidRPr="00E65230">
        <w:rPr>
          <w:rFonts w:cstheme="minorHAnsi"/>
          <w:sz w:val="20"/>
        </w:rPr>
        <w:t xml:space="preserve">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Maiores informações vide a </w:t>
      </w:r>
      <w:r>
        <w:rPr>
          <w:rFonts w:cstheme="minorHAnsi"/>
          <w:sz w:val="20"/>
          <w:shd w:val="clear" w:color="auto" w:fill="FFFFFF"/>
        </w:rPr>
        <w:t>Nota Explicativa</w:t>
      </w:r>
      <w:r w:rsidRPr="00E65230">
        <w:rPr>
          <w:rFonts w:cstheme="minorHAnsi"/>
          <w:sz w:val="20"/>
          <w:shd w:val="clear" w:color="auto" w:fill="FFFFFF"/>
        </w:rPr>
        <w:t xml:space="preserve"> </w:t>
      </w:r>
      <w:r w:rsidRPr="00E65230">
        <w:rPr>
          <w:rFonts w:cstheme="minorHAnsi"/>
          <w:sz w:val="20"/>
        </w:rPr>
        <w:t>24 - Investimento Cruzado.</w:t>
      </w:r>
    </w:p>
    <w:p w14:paraId="1A2222C0" w14:textId="53DC1C4C" w:rsidR="006A7A4D" w:rsidRDefault="006A7A4D" w:rsidP="006A7A4D">
      <w:pPr>
        <w:autoSpaceDE w:val="0"/>
        <w:autoSpaceDN w:val="0"/>
        <w:adjustRightInd w:val="0"/>
        <w:spacing w:before="120"/>
        <w:jc w:val="both"/>
        <w:rPr>
          <w:rFonts w:cstheme="minorHAnsi"/>
          <w:sz w:val="20"/>
        </w:rPr>
      </w:pPr>
      <w:r w:rsidRPr="00E65230">
        <w:rPr>
          <w:rFonts w:cstheme="minorHAnsi"/>
          <w:sz w:val="20"/>
        </w:rPr>
        <w:t>O valor total do ativo imobilizado em implantação da FICO, em 3</w:t>
      </w:r>
      <w:r>
        <w:rPr>
          <w:rFonts w:cstheme="minorHAnsi"/>
          <w:sz w:val="20"/>
        </w:rPr>
        <w:t>1</w:t>
      </w:r>
      <w:r w:rsidRPr="00E65230">
        <w:rPr>
          <w:rFonts w:cstheme="minorHAnsi"/>
          <w:sz w:val="20"/>
        </w:rPr>
        <w:t>/</w:t>
      </w:r>
      <w:r>
        <w:rPr>
          <w:rFonts w:cstheme="minorHAnsi"/>
          <w:sz w:val="20"/>
        </w:rPr>
        <w:t>03</w:t>
      </w:r>
      <w:r w:rsidRPr="00E65230">
        <w:rPr>
          <w:rFonts w:cstheme="minorHAnsi"/>
          <w:sz w:val="20"/>
        </w:rPr>
        <w:t>/202</w:t>
      </w:r>
      <w:r>
        <w:rPr>
          <w:rFonts w:cstheme="minorHAnsi"/>
          <w:sz w:val="20"/>
        </w:rPr>
        <w:t>4</w:t>
      </w:r>
      <w:r w:rsidRPr="00E65230">
        <w:rPr>
          <w:rFonts w:cstheme="minorHAnsi"/>
          <w:sz w:val="20"/>
        </w:rPr>
        <w:t>, apresenta os seguintes montantes:</w:t>
      </w:r>
    </w:p>
    <w:tbl>
      <w:tblPr>
        <w:tblW w:w="5000" w:type="pct"/>
        <w:jc w:val="center"/>
        <w:tblLayout w:type="fixed"/>
        <w:tblCellMar>
          <w:left w:w="70" w:type="dxa"/>
          <w:right w:w="70" w:type="dxa"/>
        </w:tblCellMar>
        <w:tblLook w:val="04A0" w:firstRow="1" w:lastRow="0" w:firstColumn="1" w:lastColumn="0" w:noHBand="0" w:noVBand="1"/>
      </w:tblPr>
      <w:tblGrid>
        <w:gridCol w:w="7047"/>
        <w:gridCol w:w="1140"/>
        <w:gridCol w:w="1140"/>
        <w:gridCol w:w="1140"/>
      </w:tblGrid>
      <w:tr w:rsidR="00311A8C" w:rsidRPr="00FC136C" w14:paraId="12EA0FD7" w14:textId="77777777" w:rsidTr="00CC1314">
        <w:trPr>
          <w:trHeight w:val="227"/>
          <w:jc w:val="center"/>
        </w:trPr>
        <w:tc>
          <w:tcPr>
            <w:tcW w:w="7008" w:type="dxa"/>
            <w:tcBorders>
              <w:top w:val="nil"/>
              <w:left w:val="nil"/>
              <w:bottom w:val="single" w:sz="4" w:space="0" w:color="auto"/>
              <w:right w:val="nil"/>
            </w:tcBorders>
            <w:shd w:val="clear" w:color="auto" w:fill="DEEAF6" w:themeFill="accent1" w:themeFillTint="33"/>
            <w:vAlign w:val="center"/>
            <w:hideMark/>
          </w:tcPr>
          <w:p w14:paraId="3105A651" w14:textId="77777777" w:rsidR="00311A8C" w:rsidRPr="00E719E2" w:rsidRDefault="00311A8C" w:rsidP="00752EB6">
            <w:pPr>
              <w:spacing w:after="0" w:line="240" w:lineRule="auto"/>
              <w:rPr>
                <w:rFonts w:ascii="Calibri" w:eastAsia="Times New Roman" w:hAnsi="Calibri" w:cs="Calibri"/>
                <w:b/>
                <w:sz w:val="16"/>
                <w:szCs w:val="16"/>
              </w:rPr>
            </w:pPr>
            <w:r w:rsidRPr="00E719E2">
              <w:rPr>
                <w:rFonts w:ascii="Calibri" w:eastAsia="Times New Roman" w:hAnsi="Calibri" w:cs="Calibri"/>
                <w:b/>
                <w:sz w:val="16"/>
                <w:szCs w:val="16"/>
              </w:rPr>
              <w:t>Ferrovia de Integração Centro-Oeste</w:t>
            </w:r>
          </w:p>
        </w:tc>
        <w:tc>
          <w:tcPr>
            <w:tcW w:w="1134" w:type="dxa"/>
            <w:tcBorders>
              <w:top w:val="nil"/>
              <w:left w:val="nil"/>
              <w:bottom w:val="single" w:sz="4" w:space="0" w:color="auto"/>
              <w:right w:val="nil"/>
            </w:tcBorders>
            <w:shd w:val="clear" w:color="auto" w:fill="DEEAF6" w:themeFill="accent1" w:themeFillTint="33"/>
            <w:vAlign w:val="center"/>
            <w:hideMark/>
          </w:tcPr>
          <w:p w14:paraId="40CA3DEE" w14:textId="77777777" w:rsidR="00311A8C" w:rsidRPr="00E719E2" w:rsidRDefault="00311A8C" w:rsidP="006A7A4D">
            <w:pPr>
              <w:spacing w:after="0" w:line="240" w:lineRule="auto"/>
              <w:jc w:val="right"/>
              <w:rPr>
                <w:rFonts w:ascii="Calibri" w:eastAsia="Times New Roman" w:hAnsi="Calibri" w:cs="Calibri"/>
                <w:b/>
                <w:sz w:val="16"/>
                <w:szCs w:val="16"/>
              </w:rPr>
            </w:pPr>
            <w:r w:rsidRPr="00E719E2">
              <w:rPr>
                <w:rFonts w:ascii="Calibri" w:eastAsia="Times New Roman" w:hAnsi="Calibri" w:cs="Calibri"/>
                <w:b/>
                <w:sz w:val="16"/>
                <w:szCs w:val="16"/>
              </w:rPr>
              <w:t>Saldo em 31/12/</w:t>
            </w:r>
            <w:r w:rsidRPr="00E719E2">
              <w:rPr>
                <w:rFonts w:ascii="Calibri" w:eastAsia="Times New Roman" w:hAnsi="Calibri" w:cs="Calibri"/>
                <w:b/>
                <w:bCs/>
                <w:sz w:val="16"/>
                <w:szCs w:val="16"/>
              </w:rPr>
              <w:t>202</w:t>
            </w:r>
            <w:r>
              <w:rPr>
                <w:rFonts w:ascii="Calibri" w:eastAsia="Times New Roman" w:hAnsi="Calibri" w:cs="Calibri"/>
                <w:b/>
                <w:bCs/>
                <w:sz w:val="16"/>
                <w:szCs w:val="16"/>
              </w:rPr>
              <w:t>3</w:t>
            </w:r>
          </w:p>
        </w:tc>
        <w:tc>
          <w:tcPr>
            <w:tcW w:w="1134" w:type="dxa"/>
            <w:tcBorders>
              <w:top w:val="nil"/>
              <w:left w:val="nil"/>
              <w:bottom w:val="single" w:sz="4" w:space="0" w:color="auto"/>
              <w:right w:val="nil"/>
            </w:tcBorders>
            <w:shd w:val="clear" w:color="auto" w:fill="DEEAF6" w:themeFill="accent1" w:themeFillTint="33"/>
            <w:vAlign w:val="center"/>
            <w:hideMark/>
          </w:tcPr>
          <w:p w14:paraId="29B69866" w14:textId="77777777" w:rsidR="00311A8C" w:rsidRPr="00E719E2" w:rsidRDefault="00311A8C" w:rsidP="006A7A4D">
            <w:pPr>
              <w:spacing w:after="0" w:line="240" w:lineRule="auto"/>
              <w:jc w:val="right"/>
              <w:rPr>
                <w:rFonts w:ascii="Calibri" w:eastAsia="Times New Roman" w:hAnsi="Calibri" w:cs="Calibri"/>
                <w:b/>
                <w:sz w:val="16"/>
                <w:szCs w:val="16"/>
              </w:rPr>
            </w:pPr>
            <w:r w:rsidRPr="00E719E2">
              <w:rPr>
                <w:rFonts w:ascii="Calibri" w:eastAsia="Times New Roman" w:hAnsi="Calibri" w:cs="Calibri"/>
                <w:b/>
                <w:sz w:val="16"/>
                <w:szCs w:val="16"/>
              </w:rPr>
              <w:t>Entradas</w:t>
            </w:r>
          </w:p>
        </w:tc>
        <w:tc>
          <w:tcPr>
            <w:tcW w:w="1134" w:type="dxa"/>
            <w:tcBorders>
              <w:top w:val="nil"/>
              <w:left w:val="nil"/>
              <w:bottom w:val="single" w:sz="4" w:space="0" w:color="auto"/>
              <w:right w:val="nil"/>
            </w:tcBorders>
            <w:shd w:val="clear" w:color="auto" w:fill="DEEAF6" w:themeFill="accent1" w:themeFillTint="33"/>
            <w:vAlign w:val="center"/>
            <w:hideMark/>
          </w:tcPr>
          <w:p w14:paraId="5D0138BA" w14:textId="77777777" w:rsidR="00311A8C" w:rsidRPr="00E719E2" w:rsidRDefault="00311A8C" w:rsidP="006A7A4D">
            <w:pPr>
              <w:spacing w:after="0" w:line="240" w:lineRule="auto"/>
              <w:jc w:val="right"/>
              <w:rPr>
                <w:rFonts w:ascii="Calibri" w:eastAsia="Times New Roman" w:hAnsi="Calibri" w:cs="Calibri"/>
                <w:b/>
                <w:sz w:val="16"/>
                <w:szCs w:val="16"/>
              </w:rPr>
            </w:pPr>
            <w:r w:rsidRPr="00E719E2">
              <w:rPr>
                <w:rFonts w:ascii="Calibri" w:eastAsia="Times New Roman" w:hAnsi="Calibri" w:cs="Calibri"/>
                <w:b/>
                <w:sz w:val="16"/>
                <w:szCs w:val="16"/>
              </w:rPr>
              <w:t>Saldo em 31/</w:t>
            </w:r>
            <w:r>
              <w:rPr>
                <w:rFonts w:ascii="Calibri" w:eastAsia="Times New Roman" w:hAnsi="Calibri" w:cs="Calibri"/>
                <w:b/>
                <w:bCs/>
                <w:sz w:val="16"/>
                <w:szCs w:val="16"/>
              </w:rPr>
              <w:t>03</w:t>
            </w:r>
            <w:r w:rsidRPr="00E719E2">
              <w:rPr>
                <w:rFonts w:ascii="Calibri" w:eastAsia="Times New Roman" w:hAnsi="Calibri" w:cs="Calibri"/>
                <w:b/>
                <w:bCs/>
                <w:sz w:val="16"/>
                <w:szCs w:val="16"/>
              </w:rPr>
              <w:t>/202</w:t>
            </w:r>
            <w:r>
              <w:rPr>
                <w:rFonts w:ascii="Calibri" w:eastAsia="Times New Roman" w:hAnsi="Calibri" w:cs="Calibri"/>
                <w:b/>
                <w:bCs/>
                <w:sz w:val="16"/>
                <w:szCs w:val="16"/>
              </w:rPr>
              <w:t>4</w:t>
            </w:r>
          </w:p>
        </w:tc>
      </w:tr>
      <w:tr w:rsidR="00311A8C" w:rsidRPr="00FC136C" w14:paraId="52D4920C" w14:textId="77777777" w:rsidTr="00CC1314">
        <w:trPr>
          <w:trHeight w:val="227"/>
          <w:jc w:val="center"/>
        </w:trPr>
        <w:tc>
          <w:tcPr>
            <w:tcW w:w="7008" w:type="dxa"/>
            <w:tcBorders>
              <w:top w:val="single" w:sz="4" w:space="0" w:color="auto"/>
              <w:left w:val="nil"/>
              <w:right w:val="nil"/>
            </w:tcBorders>
            <w:shd w:val="clear" w:color="auto" w:fill="auto"/>
            <w:noWrap/>
            <w:vAlign w:val="center"/>
            <w:hideMark/>
          </w:tcPr>
          <w:p w14:paraId="386E5D88" w14:textId="1FB8824E" w:rsidR="00311A8C" w:rsidRPr="00A565C1" w:rsidRDefault="00311A8C" w:rsidP="00752EB6">
            <w:pPr>
              <w:spacing w:after="0" w:line="240" w:lineRule="auto"/>
              <w:rPr>
                <w:rFonts w:ascii="Calibri" w:eastAsia="Times New Roman" w:hAnsi="Calibri" w:cs="Calibri"/>
                <w:sz w:val="16"/>
                <w:szCs w:val="16"/>
              </w:rPr>
            </w:pPr>
            <w:r w:rsidRPr="00A565C1">
              <w:rPr>
                <w:rFonts w:ascii="Calibri" w:eastAsia="Times New Roman" w:hAnsi="Calibri" w:cs="Calibri"/>
                <w:sz w:val="16"/>
                <w:szCs w:val="16"/>
              </w:rPr>
              <w:t xml:space="preserve">Estudos e Projetos </w:t>
            </w:r>
          </w:p>
        </w:tc>
        <w:tc>
          <w:tcPr>
            <w:tcW w:w="1134" w:type="dxa"/>
            <w:tcBorders>
              <w:top w:val="single" w:sz="4" w:space="0" w:color="auto"/>
              <w:left w:val="nil"/>
              <w:right w:val="nil"/>
            </w:tcBorders>
            <w:shd w:val="clear" w:color="auto" w:fill="auto"/>
            <w:noWrap/>
            <w:vAlign w:val="center"/>
            <w:hideMark/>
          </w:tcPr>
          <w:p w14:paraId="7D070D9C" w14:textId="77777777" w:rsidR="00311A8C" w:rsidRPr="00A565C1" w:rsidRDefault="00311A8C" w:rsidP="00752EB6">
            <w:pPr>
              <w:spacing w:after="0" w:line="240" w:lineRule="auto"/>
              <w:jc w:val="right"/>
              <w:rPr>
                <w:rFonts w:ascii="Calibri" w:eastAsia="Times New Roman" w:hAnsi="Calibri" w:cs="Calibri"/>
                <w:sz w:val="16"/>
                <w:szCs w:val="16"/>
              </w:rPr>
            </w:pPr>
            <w:r w:rsidRPr="00A565C1">
              <w:rPr>
                <w:rFonts w:ascii="Calibri" w:eastAsia="Times New Roman" w:hAnsi="Calibri" w:cs="Calibri"/>
                <w:sz w:val="16"/>
                <w:szCs w:val="16"/>
              </w:rPr>
              <w:t>476.107</w:t>
            </w:r>
          </w:p>
        </w:tc>
        <w:tc>
          <w:tcPr>
            <w:tcW w:w="1134" w:type="dxa"/>
            <w:tcBorders>
              <w:top w:val="single" w:sz="4" w:space="0" w:color="auto"/>
              <w:left w:val="nil"/>
              <w:right w:val="nil"/>
            </w:tcBorders>
            <w:shd w:val="clear" w:color="auto" w:fill="auto"/>
            <w:noWrap/>
            <w:vAlign w:val="center"/>
            <w:hideMark/>
          </w:tcPr>
          <w:p w14:paraId="12A20665" w14:textId="77777777" w:rsidR="00311A8C" w:rsidRPr="00A565C1" w:rsidRDefault="00311A8C" w:rsidP="00752EB6">
            <w:pPr>
              <w:spacing w:after="0" w:line="240" w:lineRule="auto"/>
              <w:jc w:val="right"/>
              <w:rPr>
                <w:rFonts w:ascii="Calibri" w:eastAsia="Times New Roman" w:hAnsi="Calibri" w:cs="Calibri"/>
                <w:sz w:val="16"/>
                <w:szCs w:val="16"/>
              </w:rPr>
            </w:pPr>
            <w:r w:rsidRPr="00E84099">
              <w:rPr>
                <w:rFonts w:ascii="Calibri" w:eastAsia="Times New Roman" w:hAnsi="Calibri" w:cs="Calibri"/>
                <w:sz w:val="16"/>
                <w:szCs w:val="16"/>
              </w:rPr>
              <w:t>175.662</w:t>
            </w:r>
          </w:p>
        </w:tc>
        <w:tc>
          <w:tcPr>
            <w:tcW w:w="1134" w:type="dxa"/>
            <w:tcBorders>
              <w:top w:val="single" w:sz="4" w:space="0" w:color="auto"/>
              <w:left w:val="nil"/>
              <w:right w:val="nil"/>
            </w:tcBorders>
            <w:shd w:val="clear" w:color="auto" w:fill="auto"/>
            <w:noWrap/>
            <w:vAlign w:val="center"/>
            <w:hideMark/>
          </w:tcPr>
          <w:p w14:paraId="6CDC19BE" w14:textId="77777777" w:rsidR="00311A8C" w:rsidRPr="00A565C1" w:rsidRDefault="00311A8C" w:rsidP="00752EB6">
            <w:pPr>
              <w:spacing w:after="0" w:line="240" w:lineRule="auto"/>
              <w:jc w:val="right"/>
              <w:rPr>
                <w:rFonts w:ascii="Calibri" w:eastAsia="Times New Roman" w:hAnsi="Calibri" w:cs="Calibri"/>
                <w:sz w:val="16"/>
                <w:szCs w:val="16"/>
              </w:rPr>
            </w:pPr>
            <w:r w:rsidRPr="00A565C1">
              <w:rPr>
                <w:rFonts w:ascii="Calibri" w:eastAsia="Times New Roman" w:hAnsi="Calibri" w:cs="Calibri"/>
                <w:sz w:val="16"/>
                <w:szCs w:val="16"/>
              </w:rPr>
              <w:t>651.769</w:t>
            </w:r>
          </w:p>
        </w:tc>
      </w:tr>
      <w:tr w:rsidR="00311A8C" w:rsidRPr="00FC136C" w14:paraId="03A352C0" w14:textId="77777777" w:rsidTr="00CC1314">
        <w:trPr>
          <w:trHeight w:val="227"/>
          <w:jc w:val="center"/>
        </w:trPr>
        <w:tc>
          <w:tcPr>
            <w:tcW w:w="7008" w:type="dxa"/>
            <w:tcBorders>
              <w:left w:val="nil"/>
              <w:bottom w:val="nil"/>
              <w:right w:val="nil"/>
            </w:tcBorders>
            <w:shd w:val="clear" w:color="auto" w:fill="auto"/>
            <w:noWrap/>
            <w:vAlign w:val="center"/>
          </w:tcPr>
          <w:p w14:paraId="3FF3B24C" w14:textId="7FB6DEB6" w:rsidR="00311A8C" w:rsidRPr="001862EE" w:rsidRDefault="00311A8C" w:rsidP="00752EB6">
            <w:pPr>
              <w:spacing w:after="0" w:line="240" w:lineRule="auto"/>
              <w:rPr>
                <w:rFonts w:ascii="Calibri" w:eastAsia="Times New Roman" w:hAnsi="Calibri" w:cs="Calibri"/>
                <w:sz w:val="16"/>
                <w:szCs w:val="16"/>
              </w:rPr>
            </w:pPr>
            <w:r w:rsidRPr="001862EE">
              <w:rPr>
                <w:rFonts w:ascii="Calibri" w:eastAsia="Times New Roman" w:hAnsi="Calibri" w:cs="Calibri"/>
                <w:sz w:val="16"/>
                <w:szCs w:val="16"/>
              </w:rPr>
              <w:t>Obras em Andamento</w:t>
            </w:r>
          </w:p>
        </w:tc>
        <w:tc>
          <w:tcPr>
            <w:tcW w:w="1134" w:type="dxa"/>
            <w:tcBorders>
              <w:left w:val="nil"/>
              <w:bottom w:val="nil"/>
              <w:right w:val="nil"/>
            </w:tcBorders>
            <w:shd w:val="clear" w:color="auto" w:fill="auto"/>
            <w:noWrap/>
            <w:vAlign w:val="center"/>
          </w:tcPr>
          <w:p w14:paraId="030BE295" w14:textId="77777777" w:rsidR="00311A8C" w:rsidRPr="001862EE" w:rsidRDefault="00311A8C" w:rsidP="00752EB6">
            <w:pPr>
              <w:spacing w:after="0" w:line="240" w:lineRule="auto"/>
              <w:jc w:val="right"/>
              <w:rPr>
                <w:rFonts w:ascii="Calibri" w:eastAsia="Times New Roman" w:hAnsi="Calibri" w:cs="Calibri"/>
                <w:sz w:val="16"/>
                <w:szCs w:val="16"/>
              </w:rPr>
            </w:pPr>
            <w:r w:rsidRPr="001862EE">
              <w:rPr>
                <w:rFonts w:ascii="Calibri" w:eastAsia="Times New Roman" w:hAnsi="Calibri" w:cs="Calibri"/>
                <w:sz w:val="16"/>
                <w:szCs w:val="16"/>
              </w:rPr>
              <w:t>5.770.917</w:t>
            </w:r>
          </w:p>
        </w:tc>
        <w:tc>
          <w:tcPr>
            <w:tcW w:w="1134" w:type="dxa"/>
            <w:tcBorders>
              <w:left w:val="nil"/>
              <w:bottom w:val="nil"/>
              <w:right w:val="nil"/>
            </w:tcBorders>
            <w:shd w:val="clear" w:color="auto" w:fill="auto"/>
            <w:noWrap/>
            <w:vAlign w:val="center"/>
          </w:tcPr>
          <w:p w14:paraId="7A0020DA" w14:textId="77777777" w:rsidR="00311A8C" w:rsidRPr="001862EE" w:rsidRDefault="00311A8C" w:rsidP="00752EB6">
            <w:pPr>
              <w:spacing w:after="0" w:line="240" w:lineRule="auto"/>
              <w:jc w:val="right"/>
              <w:rPr>
                <w:rFonts w:ascii="Calibri" w:eastAsia="Times New Roman" w:hAnsi="Calibri" w:cs="Calibri"/>
                <w:sz w:val="16"/>
                <w:szCs w:val="16"/>
              </w:rPr>
            </w:pPr>
            <w:r w:rsidRPr="00D5642E">
              <w:rPr>
                <w:rFonts w:ascii="Calibri" w:eastAsia="Times New Roman" w:hAnsi="Calibri" w:cs="Calibri"/>
                <w:sz w:val="16"/>
                <w:szCs w:val="16"/>
              </w:rPr>
              <w:t>732.973</w:t>
            </w:r>
          </w:p>
        </w:tc>
        <w:tc>
          <w:tcPr>
            <w:tcW w:w="1134" w:type="dxa"/>
            <w:tcBorders>
              <w:left w:val="nil"/>
              <w:bottom w:val="nil"/>
              <w:right w:val="nil"/>
            </w:tcBorders>
            <w:shd w:val="clear" w:color="auto" w:fill="auto"/>
            <w:noWrap/>
            <w:vAlign w:val="center"/>
          </w:tcPr>
          <w:p w14:paraId="71F94A46" w14:textId="77777777" w:rsidR="00311A8C" w:rsidRPr="001862EE" w:rsidRDefault="00311A8C" w:rsidP="00752EB6">
            <w:pPr>
              <w:spacing w:after="0" w:line="240" w:lineRule="auto"/>
              <w:jc w:val="right"/>
              <w:rPr>
                <w:rFonts w:ascii="Calibri" w:eastAsia="Times New Roman" w:hAnsi="Calibri" w:cs="Calibri"/>
                <w:sz w:val="16"/>
                <w:szCs w:val="16"/>
              </w:rPr>
            </w:pPr>
            <w:r w:rsidRPr="00D5642E">
              <w:rPr>
                <w:rFonts w:ascii="Calibri" w:eastAsia="Times New Roman" w:hAnsi="Calibri" w:cs="Calibri"/>
                <w:sz w:val="16"/>
                <w:szCs w:val="16"/>
              </w:rPr>
              <w:t>6.503.890</w:t>
            </w:r>
          </w:p>
        </w:tc>
      </w:tr>
      <w:tr w:rsidR="00311A8C" w:rsidRPr="00FC136C" w14:paraId="39DE5971" w14:textId="77777777" w:rsidTr="00CC1314">
        <w:trPr>
          <w:trHeight w:val="227"/>
          <w:jc w:val="center"/>
        </w:trPr>
        <w:tc>
          <w:tcPr>
            <w:tcW w:w="7008" w:type="dxa"/>
            <w:tcBorders>
              <w:left w:val="nil"/>
              <w:bottom w:val="nil"/>
              <w:right w:val="nil"/>
            </w:tcBorders>
            <w:shd w:val="clear" w:color="auto" w:fill="auto"/>
            <w:noWrap/>
            <w:vAlign w:val="center"/>
            <w:hideMark/>
          </w:tcPr>
          <w:p w14:paraId="2BAA31D8" w14:textId="5E1F0A37" w:rsidR="00311A8C" w:rsidRPr="00C555B3" w:rsidRDefault="00311A8C" w:rsidP="00752EB6">
            <w:pPr>
              <w:spacing w:after="0" w:line="240" w:lineRule="auto"/>
              <w:rPr>
                <w:rFonts w:ascii="Calibri" w:eastAsia="Times New Roman" w:hAnsi="Calibri" w:cs="Calibri"/>
                <w:sz w:val="16"/>
                <w:szCs w:val="16"/>
              </w:rPr>
            </w:pPr>
            <w:r w:rsidRPr="00C555B3">
              <w:rPr>
                <w:rFonts w:ascii="Calibri" w:eastAsia="Times New Roman" w:hAnsi="Calibri" w:cs="Calibri"/>
                <w:sz w:val="16"/>
                <w:szCs w:val="16"/>
              </w:rPr>
              <w:t>Obras em Andamento Investimento Cruzado</w:t>
            </w:r>
            <w:r>
              <w:rPr>
                <w:rFonts w:ascii="Calibri" w:eastAsia="Times New Roman" w:hAnsi="Calibri" w:cs="Calibri"/>
                <w:sz w:val="16"/>
                <w:szCs w:val="16"/>
              </w:rPr>
              <w:t xml:space="preserve"> </w:t>
            </w:r>
            <w:r w:rsidRPr="00867AD4">
              <w:rPr>
                <w:rFonts w:ascii="Calibri" w:eastAsia="Times New Roman" w:hAnsi="Calibri" w:cs="Calibri"/>
                <w:color w:val="0070C0"/>
                <w:sz w:val="16"/>
                <w:szCs w:val="16"/>
              </w:rPr>
              <w:t>(</w:t>
            </w:r>
            <w:r w:rsidR="006A7A4D">
              <w:rPr>
                <w:rFonts w:ascii="Calibri" w:eastAsia="Times New Roman" w:hAnsi="Calibri" w:cs="Calibri"/>
                <w:color w:val="0070C0"/>
                <w:sz w:val="16"/>
                <w:szCs w:val="16"/>
              </w:rPr>
              <w:t>vide N</w:t>
            </w:r>
            <w:r w:rsidRPr="00867AD4">
              <w:rPr>
                <w:rFonts w:ascii="Calibri" w:eastAsia="Times New Roman" w:hAnsi="Calibri" w:cs="Calibri"/>
                <w:color w:val="0070C0"/>
                <w:sz w:val="16"/>
                <w:szCs w:val="16"/>
              </w:rPr>
              <w:t xml:space="preserve">ota </w:t>
            </w:r>
            <w:r w:rsidR="008D3BED">
              <w:rPr>
                <w:rFonts w:ascii="Calibri" w:eastAsia="Times New Roman" w:hAnsi="Calibri" w:cs="Calibri"/>
                <w:color w:val="0070C0"/>
                <w:sz w:val="16"/>
                <w:szCs w:val="16"/>
              </w:rPr>
              <w:t xml:space="preserve">Explicativa </w:t>
            </w:r>
            <w:r w:rsidRPr="00867AD4">
              <w:rPr>
                <w:rFonts w:ascii="Calibri" w:eastAsia="Times New Roman" w:hAnsi="Calibri" w:cs="Calibri"/>
                <w:color w:val="0070C0"/>
                <w:sz w:val="16"/>
                <w:szCs w:val="16"/>
              </w:rPr>
              <w:t>2</w:t>
            </w:r>
            <w:r w:rsidR="00B24B99">
              <w:rPr>
                <w:rFonts w:ascii="Calibri" w:eastAsia="Times New Roman" w:hAnsi="Calibri" w:cs="Calibri"/>
                <w:color w:val="0070C0"/>
                <w:sz w:val="16"/>
                <w:szCs w:val="16"/>
              </w:rPr>
              <w:t>4</w:t>
            </w:r>
            <w:r w:rsidRPr="00867AD4">
              <w:rPr>
                <w:rFonts w:ascii="Calibri" w:eastAsia="Times New Roman" w:hAnsi="Calibri" w:cs="Calibri"/>
                <w:color w:val="0070C0"/>
                <w:sz w:val="16"/>
                <w:szCs w:val="16"/>
              </w:rPr>
              <w:t>)</w:t>
            </w:r>
          </w:p>
        </w:tc>
        <w:tc>
          <w:tcPr>
            <w:tcW w:w="1134" w:type="dxa"/>
            <w:tcBorders>
              <w:left w:val="nil"/>
              <w:bottom w:val="nil"/>
              <w:right w:val="nil"/>
            </w:tcBorders>
            <w:shd w:val="clear" w:color="auto" w:fill="auto"/>
            <w:noWrap/>
            <w:vAlign w:val="center"/>
            <w:hideMark/>
          </w:tcPr>
          <w:p w14:paraId="3B46F7BF" w14:textId="77777777" w:rsidR="00311A8C" w:rsidRPr="00C555B3" w:rsidRDefault="00311A8C" w:rsidP="00752EB6">
            <w:pPr>
              <w:spacing w:after="0" w:line="240" w:lineRule="auto"/>
              <w:jc w:val="right"/>
              <w:rPr>
                <w:rFonts w:ascii="Calibri" w:eastAsia="Times New Roman" w:hAnsi="Calibri" w:cs="Calibri"/>
                <w:sz w:val="16"/>
                <w:szCs w:val="16"/>
              </w:rPr>
            </w:pPr>
            <w:r w:rsidRPr="00C555B3">
              <w:rPr>
                <w:rFonts w:ascii="Calibri" w:eastAsia="Times New Roman" w:hAnsi="Calibri" w:cs="Calibri"/>
                <w:sz w:val="16"/>
                <w:szCs w:val="16"/>
              </w:rPr>
              <w:t>819.116.260</w:t>
            </w:r>
          </w:p>
        </w:tc>
        <w:tc>
          <w:tcPr>
            <w:tcW w:w="1134" w:type="dxa"/>
            <w:tcBorders>
              <w:left w:val="nil"/>
              <w:bottom w:val="nil"/>
              <w:right w:val="nil"/>
            </w:tcBorders>
            <w:shd w:val="clear" w:color="auto" w:fill="auto"/>
            <w:noWrap/>
            <w:vAlign w:val="center"/>
            <w:hideMark/>
          </w:tcPr>
          <w:p w14:paraId="2C9B30C8" w14:textId="2B270A56" w:rsidR="00311A8C" w:rsidRPr="00C555B3" w:rsidRDefault="00311A8C" w:rsidP="00752EB6">
            <w:pPr>
              <w:spacing w:after="0" w:line="240" w:lineRule="auto"/>
              <w:jc w:val="right"/>
              <w:rPr>
                <w:rFonts w:ascii="Calibri" w:eastAsia="Times New Roman" w:hAnsi="Calibri" w:cs="Calibri"/>
                <w:sz w:val="16"/>
                <w:szCs w:val="16"/>
              </w:rPr>
            </w:pPr>
            <w:r w:rsidRPr="00C555B3">
              <w:rPr>
                <w:rFonts w:ascii="Calibri" w:eastAsia="Times New Roman" w:hAnsi="Calibri" w:cs="Calibri"/>
                <w:sz w:val="16"/>
                <w:szCs w:val="16"/>
              </w:rPr>
              <w:t>156.405.65</w:t>
            </w:r>
            <w:r w:rsidR="00FA48B3">
              <w:rPr>
                <w:rFonts w:ascii="Calibri" w:eastAsia="Times New Roman" w:hAnsi="Calibri" w:cs="Calibri"/>
                <w:sz w:val="16"/>
                <w:szCs w:val="16"/>
              </w:rPr>
              <w:t>5</w:t>
            </w:r>
          </w:p>
        </w:tc>
        <w:tc>
          <w:tcPr>
            <w:tcW w:w="1134" w:type="dxa"/>
            <w:tcBorders>
              <w:left w:val="nil"/>
              <w:bottom w:val="nil"/>
              <w:right w:val="nil"/>
            </w:tcBorders>
            <w:shd w:val="clear" w:color="auto" w:fill="auto"/>
            <w:noWrap/>
            <w:vAlign w:val="center"/>
            <w:hideMark/>
          </w:tcPr>
          <w:p w14:paraId="58AB2CB1" w14:textId="67745389" w:rsidR="00311A8C" w:rsidRPr="00C555B3" w:rsidRDefault="00311A8C" w:rsidP="00752EB6">
            <w:pPr>
              <w:spacing w:after="0" w:line="240" w:lineRule="auto"/>
              <w:jc w:val="right"/>
              <w:rPr>
                <w:rFonts w:ascii="Calibri" w:eastAsia="Times New Roman" w:hAnsi="Calibri" w:cs="Calibri"/>
                <w:sz w:val="16"/>
                <w:szCs w:val="16"/>
              </w:rPr>
            </w:pPr>
            <w:r w:rsidRPr="00C555B3">
              <w:rPr>
                <w:rFonts w:ascii="Calibri" w:eastAsia="Times New Roman" w:hAnsi="Calibri" w:cs="Calibri"/>
                <w:sz w:val="16"/>
                <w:szCs w:val="16"/>
              </w:rPr>
              <w:t>975.521.915</w:t>
            </w:r>
          </w:p>
        </w:tc>
      </w:tr>
      <w:tr w:rsidR="00311A8C" w:rsidRPr="00FC136C" w14:paraId="51F849B3" w14:textId="77777777" w:rsidTr="00CC1314">
        <w:trPr>
          <w:trHeight w:val="227"/>
          <w:jc w:val="center"/>
        </w:trPr>
        <w:tc>
          <w:tcPr>
            <w:tcW w:w="7008" w:type="dxa"/>
            <w:tcBorders>
              <w:top w:val="single" w:sz="8" w:space="0" w:color="auto"/>
              <w:left w:val="nil"/>
              <w:bottom w:val="single" w:sz="8" w:space="0" w:color="auto"/>
              <w:right w:val="nil"/>
            </w:tcBorders>
            <w:shd w:val="clear" w:color="auto" w:fill="DEEAF6" w:themeFill="accent1" w:themeFillTint="33"/>
            <w:noWrap/>
            <w:vAlign w:val="center"/>
            <w:hideMark/>
          </w:tcPr>
          <w:p w14:paraId="221A2768" w14:textId="77777777" w:rsidR="00311A8C" w:rsidRPr="00FC136C" w:rsidRDefault="00311A8C" w:rsidP="00752EB6">
            <w:pPr>
              <w:spacing w:after="0" w:line="240" w:lineRule="auto"/>
              <w:rPr>
                <w:rFonts w:ascii="Calibri" w:eastAsia="Times New Roman" w:hAnsi="Calibri" w:cs="Calibri"/>
                <w:b/>
                <w:bCs/>
                <w:sz w:val="16"/>
                <w:szCs w:val="16"/>
                <w:highlight w:val="yellow"/>
              </w:rPr>
            </w:pPr>
            <w:r w:rsidRPr="0043322C">
              <w:rPr>
                <w:rFonts w:ascii="Calibri" w:eastAsia="Times New Roman" w:hAnsi="Calibri" w:cs="Calibri"/>
                <w:b/>
                <w:sz w:val="16"/>
                <w:szCs w:val="16"/>
              </w:rPr>
              <w:t>Valor Contábil Líquido FICO</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60669513" w14:textId="77777777" w:rsidR="00311A8C" w:rsidRPr="00FC136C" w:rsidRDefault="00311A8C" w:rsidP="00752EB6">
            <w:pPr>
              <w:spacing w:after="0" w:line="240" w:lineRule="auto"/>
              <w:jc w:val="right"/>
              <w:rPr>
                <w:rFonts w:ascii="Calibri" w:eastAsia="Times New Roman" w:hAnsi="Calibri" w:cs="Calibri"/>
                <w:b/>
                <w:bCs/>
                <w:sz w:val="16"/>
                <w:szCs w:val="16"/>
                <w:highlight w:val="yellow"/>
              </w:rPr>
            </w:pPr>
            <w:r w:rsidRPr="00025ACA">
              <w:rPr>
                <w:rFonts w:ascii="Calibri" w:eastAsia="Times New Roman" w:hAnsi="Calibri" w:cs="Calibri"/>
                <w:b/>
                <w:bCs/>
                <w:sz w:val="16"/>
                <w:szCs w:val="16"/>
              </w:rPr>
              <w:t>825.363.284</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5A71E101" w14:textId="6E52A7E1" w:rsidR="00311A8C" w:rsidRPr="00FC136C" w:rsidRDefault="00311A8C" w:rsidP="00752EB6">
            <w:pPr>
              <w:spacing w:after="0" w:line="240" w:lineRule="auto"/>
              <w:jc w:val="right"/>
              <w:rPr>
                <w:rFonts w:ascii="Calibri" w:eastAsia="Times New Roman" w:hAnsi="Calibri" w:cs="Calibri"/>
                <w:b/>
                <w:bCs/>
                <w:sz w:val="16"/>
                <w:szCs w:val="16"/>
                <w:highlight w:val="yellow"/>
              </w:rPr>
            </w:pPr>
            <w:r w:rsidRPr="0043322C">
              <w:rPr>
                <w:rFonts w:ascii="Calibri" w:eastAsia="Times New Roman" w:hAnsi="Calibri" w:cs="Calibri"/>
                <w:b/>
                <w:bCs/>
                <w:sz w:val="16"/>
                <w:szCs w:val="16"/>
              </w:rPr>
              <w:t>157.314.29</w:t>
            </w:r>
            <w:r w:rsidR="00FA48B3">
              <w:rPr>
                <w:rFonts w:ascii="Calibri" w:eastAsia="Times New Roman" w:hAnsi="Calibri" w:cs="Calibri"/>
                <w:b/>
                <w:bCs/>
                <w:sz w:val="16"/>
                <w:szCs w:val="16"/>
              </w:rPr>
              <w:t>0</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5DD1BACE" w14:textId="77E9C4EE" w:rsidR="00311A8C" w:rsidRPr="00FC136C" w:rsidRDefault="00311A8C" w:rsidP="00752EB6">
            <w:pPr>
              <w:spacing w:after="0" w:line="240" w:lineRule="auto"/>
              <w:jc w:val="right"/>
              <w:rPr>
                <w:rFonts w:ascii="Calibri" w:eastAsia="Times New Roman" w:hAnsi="Calibri" w:cs="Calibri"/>
                <w:b/>
                <w:bCs/>
                <w:sz w:val="16"/>
                <w:szCs w:val="16"/>
                <w:highlight w:val="yellow"/>
              </w:rPr>
            </w:pPr>
            <w:r w:rsidRPr="0043322C">
              <w:rPr>
                <w:rFonts w:ascii="Calibri" w:eastAsia="Times New Roman" w:hAnsi="Calibri" w:cs="Calibri"/>
                <w:b/>
                <w:bCs/>
                <w:sz w:val="16"/>
                <w:szCs w:val="16"/>
              </w:rPr>
              <w:t>982.677.574</w:t>
            </w:r>
          </w:p>
        </w:tc>
      </w:tr>
    </w:tbl>
    <w:p w14:paraId="2F4982DA" w14:textId="282FC949" w:rsidR="00EC34E2" w:rsidRPr="007E5DE3" w:rsidRDefault="00E82647" w:rsidP="00B42F25">
      <w:pPr>
        <w:autoSpaceDE w:val="0"/>
        <w:autoSpaceDN w:val="0"/>
        <w:adjustRightInd w:val="0"/>
        <w:spacing w:before="120"/>
        <w:jc w:val="both"/>
        <w:rPr>
          <w:rFonts w:cstheme="minorHAnsi"/>
          <w:sz w:val="20"/>
        </w:rPr>
      </w:pPr>
      <w:r w:rsidRPr="007E5DE3">
        <w:rPr>
          <w:rFonts w:cstheme="minorHAnsi"/>
          <w:sz w:val="20"/>
        </w:rPr>
        <w:t>Já o valor dispendido em estudos e projetos que serão futuramente incorporados ao ativo imobilizado</w:t>
      </w:r>
      <w:r w:rsidR="009E60F9" w:rsidRPr="007E5DE3">
        <w:rPr>
          <w:rFonts w:cstheme="minorHAnsi"/>
          <w:sz w:val="20"/>
        </w:rPr>
        <w:t xml:space="preserve"> corresponde a: </w:t>
      </w:r>
    </w:p>
    <w:tbl>
      <w:tblPr>
        <w:tblW w:w="5000" w:type="pct"/>
        <w:tblCellMar>
          <w:left w:w="70" w:type="dxa"/>
          <w:right w:w="70" w:type="dxa"/>
        </w:tblCellMar>
        <w:tblLook w:val="04A0" w:firstRow="1" w:lastRow="0" w:firstColumn="1" w:lastColumn="0" w:noHBand="0" w:noVBand="1"/>
      </w:tblPr>
      <w:tblGrid>
        <w:gridCol w:w="8021"/>
        <w:gridCol w:w="1223"/>
        <w:gridCol w:w="1223"/>
      </w:tblGrid>
      <w:tr w:rsidR="001B799E" w:rsidRPr="00FC136C" w14:paraId="78AA8CEE" w14:textId="77777777" w:rsidTr="001107B1">
        <w:trPr>
          <w:trHeight w:val="227"/>
        </w:trPr>
        <w:tc>
          <w:tcPr>
            <w:tcW w:w="7439" w:type="dxa"/>
            <w:tcBorders>
              <w:top w:val="nil"/>
              <w:left w:val="nil"/>
              <w:bottom w:val="single" w:sz="4" w:space="0" w:color="auto"/>
              <w:right w:val="nil"/>
            </w:tcBorders>
            <w:shd w:val="clear" w:color="auto" w:fill="DEEAF6" w:themeFill="accent1" w:themeFillTint="33"/>
            <w:vAlign w:val="center"/>
            <w:hideMark/>
          </w:tcPr>
          <w:p w14:paraId="62E85A23" w14:textId="77777777" w:rsidR="001B799E" w:rsidRPr="00E864B1" w:rsidRDefault="001B799E" w:rsidP="00752EB6">
            <w:pPr>
              <w:spacing w:after="0" w:line="240" w:lineRule="auto"/>
              <w:rPr>
                <w:rFonts w:ascii="Calibri" w:eastAsia="Times New Roman" w:hAnsi="Calibri" w:cs="Calibri"/>
                <w:b/>
                <w:sz w:val="16"/>
                <w:szCs w:val="16"/>
              </w:rPr>
            </w:pPr>
            <w:r w:rsidRPr="00E864B1">
              <w:rPr>
                <w:rFonts w:ascii="Calibri" w:eastAsia="Times New Roman" w:hAnsi="Calibri" w:cs="Calibri"/>
                <w:b/>
                <w:sz w:val="16"/>
                <w:szCs w:val="16"/>
              </w:rPr>
              <w:t xml:space="preserve">Ferrovia Transcontinental </w:t>
            </w:r>
          </w:p>
        </w:tc>
        <w:tc>
          <w:tcPr>
            <w:tcW w:w="1134" w:type="dxa"/>
            <w:tcBorders>
              <w:top w:val="nil"/>
              <w:left w:val="nil"/>
              <w:bottom w:val="single" w:sz="4" w:space="0" w:color="auto"/>
              <w:right w:val="nil"/>
            </w:tcBorders>
            <w:shd w:val="clear" w:color="auto" w:fill="DEEAF6" w:themeFill="accent1" w:themeFillTint="33"/>
            <w:vAlign w:val="center"/>
            <w:hideMark/>
          </w:tcPr>
          <w:p w14:paraId="06D6CFA7" w14:textId="77777777" w:rsidR="001B799E" w:rsidRPr="00E864B1" w:rsidRDefault="001B799E" w:rsidP="00752EB6">
            <w:pPr>
              <w:spacing w:after="0" w:line="240" w:lineRule="auto"/>
              <w:jc w:val="right"/>
              <w:rPr>
                <w:rFonts w:ascii="Calibri" w:eastAsia="Times New Roman" w:hAnsi="Calibri" w:cs="Calibri"/>
                <w:b/>
                <w:sz w:val="16"/>
                <w:szCs w:val="16"/>
              </w:rPr>
            </w:pPr>
            <w:r w:rsidRPr="00E864B1">
              <w:rPr>
                <w:rFonts w:ascii="Calibri" w:eastAsia="Times New Roman" w:hAnsi="Calibri" w:cs="Calibri"/>
                <w:b/>
                <w:sz w:val="16"/>
                <w:szCs w:val="16"/>
              </w:rPr>
              <w:t xml:space="preserve"> Saldo em 31/12/2023 </w:t>
            </w:r>
          </w:p>
        </w:tc>
        <w:tc>
          <w:tcPr>
            <w:tcW w:w="1134" w:type="dxa"/>
            <w:tcBorders>
              <w:top w:val="nil"/>
              <w:left w:val="nil"/>
              <w:bottom w:val="single" w:sz="4" w:space="0" w:color="auto"/>
              <w:right w:val="nil"/>
            </w:tcBorders>
            <w:shd w:val="clear" w:color="auto" w:fill="DEEAF6" w:themeFill="accent1" w:themeFillTint="33"/>
            <w:vAlign w:val="center"/>
            <w:hideMark/>
          </w:tcPr>
          <w:p w14:paraId="79E8F276" w14:textId="77777777" w:rsidR="001B799E" w:rsidRPr="00E864B1" w:rsidRDefault="001B799E" w:rsidP="00752EB6">
            <w:pPr>
              <w:spacing w:after="0" w:line="240" w:lineRule="auto"/>
              <w:jc w:val="right"/>
              <w:rPr>
                <w:rFonts w:ascii="Calibri" w:eastAsia="Times New Roman" w:hAnsi="Calibri" w:cs="Calibri"/>
                <w:b/>
                <w:sz w:val="16"/>
                <w:szCs w:val="16"/>
              </w:rPr>
            </w:pPr>
            <w:r w:rsidRPr="00E864B1">
              <w:rPr>
                <w:rFonts w:ascii="Calibri" w:eastAsia="Times New Roman" w:hAnsi="Calibri" w:cs="Calibri"/>
                <w:b/>
                <w:sz w:val="16"/>
                <w:szCs w:val="16"/>
              </w:rPr>
              <w:t xml:space="preserve"> Saldo em 31/03/2024 </w:t>
            </w:r>
          </w:p>
        </w:tc>
      </w:tr>
      <w:tr w:rsidR="001B799E" w:rsidRPr="00FC136C" w14:paraId="623BF4B5" w14:textId="77777777" w:rsidTr="001107B1">
        <w:trPr>
          <w:trHeight w:val="227"/>
        </w:trPr>
        <w:tc>
          <w:tcPr>
            <w:tcW w:w="7439" w:type="dxa"/>
            <w:tcBorders>
              <w:top w:val="single" w:sz="4" w:space="0" w:color="auto"/>
              <w:left w:val="nil"/>
              <w:right w:val="nil"/>
            </w:tcBorders>
            <w:shd w:val="clear" w:color="auto" w:fill="auto"/>
            <w:noWrap/>
            <w:vAlign w:val="center"/>
          </w:tcPr>
          <w:p w14:paraId="41ED6E3D" w14:textId="5A97F590" w:rsidR="001B799E" w:rsidRPr="00E864B1" w:rsidRDefault="001B799E" w:rsidP="00752EB6">
            <w:pPr>
              <w:spacing w:after="0" w:line="240" w:lineRule="auto"/>
              <w:rPr>
                <w:rFonts w:ascii="Calibri" w:eastAsia="Times New Roman" w:hAnsi="Calibri" w:cs="Calibri"/>
                <w:b/>
                <w:sz w:val="16"/>
                <w:szCs w:val="16"/>
              </w:rPr>
            </w:pPr>
            <w:r w:rsidRPr="00E864B1">
              <w:rPr>
                <w:rFonts w:ascii="Calibri" w:eastAsia="Times New Roman" w:hAnsi="Calibri" w:cs="Calibri"/>
                <w:sz w:val="16"/>
                <w:szCs w:val="16"/>
              </w:rPr>
              <w:t xml:space="preserve">Estudos e Projetos </w:t>
            </w:r>
          </w:p>
        </w:tc>
        <w:tc>
          <w:tcPr>
            <w:tcW w:w="1134" w:type="dxa"/>
            <w:tcBorders>
              <w:top w:val="single" w:sz="4" w:space="0" w:color="auto"/>
              <w:left w:val="nil"/>
              <w:right w:val="nil"/>
            </w:tcBorders>
            <w:shd w:val="clear" w:color="auto" w:fill="auto"/>
            <w:noWrap/>
            <w:vAlign w:val="center"/>
          </w:tcPr>
          <w:p w14:paraId="4CAAE3AA" w14:textId="77777777" w:rsidR="001B799E" w:rsidRPr="00E864B1" w:rsidRDefault="001B799E" w:rsidP="00752EB6">
            <w:pPr>
              <w:spacing w:after="0" w:line="240" w:lineRule="auto"/>
              <w:jc w:val="right"/>
              <w:rPr>
                <w:rFonts w:ascii="Calibri" w:eastAsia="Times New Roman" w:hAnsi="Calibri" w:cs="Calibri"/>
                <w:b/>
                <w:sz w:val="16"/>
                <w:szCs w:val="16"/>
              </w:rPr>
            </w:pPr>
            <w:r w:rsidRPr="00E864B1">
              <w:rPr>
                <w:rFonts w:ascii="Calibri" w:eastAsia="Times New Roman" w:hAnsi="Calibri" w:cs="Calibri"/>
                <w:sz w:val="16"/>
                <w:szCs w:val="16"/>
              </w:rPr>
              <w:t>132.153.320</w:t>
            </w:r>
          </w:p>
        </w:tc>
        <w:tc>
          <w:tcPr>
            <w:tcW w:w="1134" w:type="dxa"/>
            <w:tcBorders>
              <w:top w:val="single" w:sz="4" w:space="0" w:color="auto"/>
              <w:left w:val="nil"/>
              <w:right w:val="nil"/>
            </w:tcBorders>
            <w:shd w:val="clear" w:color="auto" w:fill="auto"/>
            <w:noWrap/>
            <w:vAlign w:val="center"/>
          </w:tcPr>
          <w:p w14:paraId="52ECD1DD" w14:textId="77777777" w:rsidR="001B799E" w:rsidRPr="00E864B1" w:rsidRDefault="001B799E" w:rsidP="00752EB6">
            <w:pPr>
              <w:spacing w:after="0" w:line="240" w:lineRule="auto"/>
              <w:jc w:val="right"/>
              <w:rPr>
                <w:rFonts w:ascii="Calibri" w:eastAsia="Times New Roman" w:hAnsi="Calibri" w:cs="Calibri"/>
                <w:b/>
                <w:sz w:val="16"/>
                <w:szCs w:val="16"/>
              </w:rPr>
            </w:pPr>
            <w:r w:rsidRPr="00E864B1">
              <w:rPr>
                <w:rFonts w:ascii="Calibri" w:eastAsia="Times New Roman" w:hAnsi="Calibri" w:cs="Calibri"/>
                <w:sz w:val="16"/>
                <w:szCs w:val="16"/>
              </w:rPr>
              <w:t>132.153.320</w:t>
            </w:r>
          </w:p>
        </w:tc>
      </w:tr>
      <w:tr w:rsidR="001B799E" w:rsidRPr="00FC136C" w14:paraId="03193A94" w14:textId="77777777" w:rsidTr="001107B1">
        <w:trPr>
          <w:trHeight w:val="227"/>
        </w:trPr>
        <w:tc>
          <w:tcPr>
            <w:tcW w:w="7439" w:type="dxa"/>
            <w:tcBorders>
              <w:top w:val="single" w:sz="8" w:space="0" w:color="auto"/>
              <w:left w:val="nil"/>
              <w:bottom w:val="single" w:sz="8" w:space="0" w:color="auto"/>
              <w:right w:val="nil"/>
            </w:tcBorders>
            <w:shd w:val="clear" w:color="auto" w:fill="DEEAF6" w:themeFill="accent1" w:themeFillTint="33"/>
            <w:noWrap/>
            <w:vAlign w:val="center"/>
            <w:hideMark/>
          </w:tcPr>
          <w:p w14:paraId="3127B366" w14:textId="77777777" w:rsidR="001B799E" w:rsidRPr="00E864B1" w:rsidRDefault="001B799E" w:rsidP="00752EB6">
            <w:pPr>
              <w:spacing w:after="0" w:line="240" w:lineRule="auto"/>
              <w:rPr>
                <w:rFonts w:ascii="Calibri" w:eastAsia="Times New Roman" w:hAnsi="Calibri" w:cs="Calibri"/>
                <w:b/>
                <w:sz w:val="16"/>
                <w:szCs w:val="16"/>
              </w:rPr>
            </w:pPr>
            <w:r w:rsidRPr="00E864B1">
              <w:rPr>
                <w:rFonts w:ascii="Calibri" w:eastAsia="Times New Roman" w:hAnsi="Calibri" w:cs="Calibri"/>
                <w:b/>
                <w:sz w:val="16"/>
                <w:szCs w:val="16"/>
              </w:rPr>
              <w:t>Valor Contábil Líquido</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5B1A1C41" w14:textId="77777777" w:rsidR="001B799E" w:rsidRPr="00D7198F" w:rsidRDefault="001B799E" w:rsidP="00752EB6">
            <w:pPr>
              <w:spacing w:after="0" w:line="240" w:lineRule="auto"/>
              <w:jc w:val="right"/>
              <w:rPr>
                <w:rFonts w:ascii="Calibri" w:eastAsia="Times New Roman" w:hAnsi="Calibri" w:cs="Calibri"/>
                <w:b/>
                <w:bCs/>
                <w:sz w:val="16"/>
                <w:szCs w:val="16"/>
              </w:rPr>
            </w:pPr>
            <w:r w:rsidRPr="00D7198F">
              <w:rPr>
                <w:rFonts w:ascii="Calibri" w:eastAsia="Times New Roman" w:hAnsi="Calibri" w:cs="Calibri"/>
                <w:b/>
                <w:bCs/>
                <w:sz w:val="16"/>
                <w:szCs w:val="16"/>
              </w:rPr>
              <w:t>132.153.320</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13BADF67" w14:textId="77777777" w:rsidR="001B799E" w:rsidRPr="00D7198F" w:rsidRDefault="001B799E" w:rsidP="00752EB6">
            <w:pPr>
              <w:spacing w:after="0" w:line="240" w:lineRule="auto"/>
              <w:jc w:val="right"/>
              <w:rPr>
                <w:rFonts w:ascii="Calibri" w:eastAsia="Times New Roman" w:hAnsi="Calibri" w:cs="Calibri"/>
                <w:b/>
                <w:bCs/>
                <w:sz w:val="16"/>
                <w:szCs w:val="16"/>
              </w:rPr>
            </w:pPr>
            <w:r w:rsidRPr="00D7198F">
              <w:rPr>
                <w:rFonts w:ascii="Calibri" w:eastAsia="Times New Roman" w:hAnsi="Calibri" w:cs="Calibri"/>
                <w:b/>
                <w:bCs/>
                <w:sz w:val="16"/>
                <w:szCs w:val="16"/>
              </w:rPr>
              <w:t>132.153.320</w:t>
            </w:r>
          </w:p>
        </w:tc>
      </w:tr>
    </w:tbl>
    <w:p w14:paraId="4A1A7594" w14:textId="77777777" w:rsidR="00974413" w:rsidRPr="00974413" w:rsidRDefault="00974413" w:rsidP="00974413">
      <w:pPr>
        <w:autoSpaceDE w:val="0"/>
        <w:autoSpaceDN w:val="0"/>
        <w:adjustRightInd w:val="0"/>
        <w:spacing w:before="120"/>
        <w:jc w:val="both"/>
        <w:rPr>
          <w:rFonts w:cstheme="minorHAnsi"/>
          <w:sz w:val="20"/>
          <w:shd w:val="clear" w:color="auto" w:fill="FFFFFF"/>
        </w:rPr>
      </w:pPr>
      <w:r w:rsidRPr="00974413">
        <w:rPr>
          <w:rFonts w:cstheme="minorHAns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741D9AA9" w14:textId="77777777" w:rsidR="00974413" w:rsidRPr="00974413" w:rsidRDefault="00974413" w:rsidP="00974413">
      <w:pPr>
        <w:autoSpaceDE w:val="0"/>
        <w:autoSpaceDN w:val="0"/>
        <w:adjustRightInd w:val="0"/>
        <w:spacing w:before="120"/>
        <w:jc w:val="both"/>
        <w:rPr>
          <w:rFonts w:cstheme="minorHAnsi"/>
          <w:sz w:val="20"/>
          <w:shd w:val="clear" w:color="auto" w:fill="FFFFFF"/>
        </w:rPr>
      </w:pPr>
      <w:r w:rsidRPr="00974413">
        <w:rPr>
          <w:rFonts w:cstheme="minorHAns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0232BFD8" w14:textId="2EC34BD1" w:rsidR="00F62836" w:rsidRPr="00E864B1" w:rsidRDefault="00974413" w:rsidP="00974413">
      <w:pPr>
        <w:autoSpaceDE w:val="0"/>
        <w:autoSpaceDN w:val="0"/>
        <w:adjustRightInd w:val="0"/>
        <w:spacing w:before="120"/>
        <w:jc w:val="both"/>
        <w:rPr>
          <w:rFonts w:cstheme="minorHAnsi"/>
          <w:sz w:val="20"/>
          <w:shd w:val="clear" w:color="auto" w:fill="FFFFFF"/>
        </w:rPr>
      </w:pPr>
      <w:r w:rsidRPr="00974413">
        <w:rPr>
          <w:rFonts w:cstheme="minorHAnsi"/>
          <w:sz w:val="20"/>
          <w:shd w:val="clear" w:color="auto" w:fill="FFFFFF"/>
        </w:rPr>
        <w:t>A FICO foi subdividida em trechos, conforme demonstrado na tabela a seguir:</w:t>
      </w:r>
    </w:p>
    <w:tbl>
      <w:tblPr>
        <w:tblW w:w="10490" w:type="dxa"/>
        <w:tblCellMar>
          <w:left w:w="70" w:type="dxa"/>
          <w:right w:w="70" w:type="dxa"/>
        </w:tblCellMar>
        <w:tblLook w:val="04A0" w:firstRow="1" w:lastRow="0" w:firstColumn="1" w:lastColumn="0" w:noHBand="0" w:noVBand="1"/>
      </w:tblPr>
      <w:tblGrid>
        <w:gridCol w:w="2977"/>
        <w:gridCol w:w="851"/>
        <w:gridCol w:w="6662"/>
      </w:tblGrid>
      <w:tr w:rsidR="000C4AE4" w:rsidRPr="00FC136C" w14:paraId="695D6D96" w14:textId="77777777" w:rsidTr="000C4AE4">
        <w:trPr>
          <w:trHeight w:val="227"/>
        </w:trPr>
        <w:tc>
          <w:tcPr>
            <w:tcW w:w="2977" w:type="dxa"/>
            <w:tcBorders>
              <w:top w:val="nil"/>
              <w:left w:val="nil"/>
              <w:bottom w:val="single" w:sz="8" w:space="0" w:color="auto"/>
              <w:right w:val="nil"/>
            </w:tcBorders>
            <w:shd w:val="clear" w:color="auto" w:fill="DEEAF6" w:themeFill="accent1" w:themeFillTint="33"/>
            <w:vAlign w:val="center"/>
            <w:hideMark/>
          </w:tcPr>
          <w:p w14:paraId="25A63BEE" w14:textId="77777777" w:rsidR="000C4AE4" w:rsidRPr="00E864B1" w:rsidRDefault="000C4AE4" w:rsidP="00752EB6">
            <w:pPr>
              <w:spacing w:after="0" w:line="240" w:lineRule="auto"/>
              <w:rPr>
                <w:rFonts w:ascii="Calibri" w:eastAsia="Times New Roman" w:hAnsi="Calibri" w:cs="Calibri"/>
                <w:b/>
                <w:sz w:val="16"/>
                <w:szCs w:val="16"/>
              </w:rPr>
            </w:pPr>
            <w:r w:rsidRPr="00E864B1">
              <w:rPr>
                <w:rFonts w:ascii="Calibri" w:eastAsia="Times New Roman" w:hAnsi="Calibri" w:cs="Calibri"/>
                <w:b/>
                <w:sz w:val="16"/>
                <w:szCs w:val="16"/>
              </w:rPr>
              <w:t xml:space="preserve">Ferrovia de Integração Centro-Oeste </w:t>
            </w:r>
          </w:p>
        </w:tc>
        <w:tc>
          <w:tcPr>
            <w:tcW w:w="851" w:type="dxa"/>
            <w:tcBorders>
              <w:top w:val="nil"/>
              <w:left w:val="nil"/>
              <w:bottom w:val="single" w:sz="8" w:space="0" w:color="auto"/>
              <w:right w:val="nil"/>
            </w:tcBorders>
            <w:shd w:val="clear" w:color="auto" w:fill="DEEAF6" w:themeFill="accent1" w:themeFillTint="33"/>
            <w:vAlign w:val="center"/>
            <w:hideMark/>
          </w:tcPr>
          <w:p w14:paraId="7555D254" w14:textId="77777777" w:rsidR="000C4AE4" w:rsidRPr="00E864B1" w:rsidRDefault="000C4AE4" w:rsidP="00CE2E55">
            <w:pPr>
              <w:spacing w:after="0" w:line="240" w:lineRule="auto"/>
              <w:jc w:val="right"/>
              <w:rPr>
                <w:rFonts w:ascii="Calibri" w:eastAsia="Times New Roman" w:hAnsi="Calibri" w:cs="Calibri"/>
                <w:b/>
                <w:sz w:val="16"/>
                <w:szCs w:val="16"/>
              </w:rPr>
            </w:pPr>
            <w:r w:rsidRPr="00E864B1">
              <w:rPr>
                <w:rFonts w:ascii="Calibri" w:eastAsia="Times New Roman" w:hAnsi="Calibri" w:cs="Calibri"/>
                <w:b/>
                <w:sz w:val="16"/>
                <w:szCs w:val="16"/>
              </w:rPr>
              <w:t>Extensão (Km)</w:t>
            </w:r>
          </w:p>
        </w:tc>
        <w:tc>
          <w:tcPr>
            <w:tcW w:w="6662" w:type="dxa"/>
            <w:tcBorders>
              <w:top w:val="nil"/>
              <w:left w:val="nil"/>
              <w:bottom w:val="single" w:sz="8" w:space="0" w:color="auto"/>
              <w:right w:val="nil"/>
            </w:tcBorders>
            <w:shd w:val="clear" w:color="auto" w:fill="DEEAF6" w:themeFill="accent1" w:themeFillTint="33"/>
            <w:vAlign w:val="center"/>
            <w:hideMark/>
          </w:tcPr>
          <w:p w14:paraId="7872DB8B" w14:textId="77777777" w:rsidR="000C4AE4" w:rsidRPr="00E864B1" w:rsidRDefault="000C4AE4" w:rsidP="00752EB6">
            <w:pPr>
              <w:spacing w:after="0" w:line="240" w:lineRule="auto"/>
              <w:jc w:val="center"/>
              <w:rPr>
                <w:rFonts w:ascii="Calibri" w:eastAsia="Times New Roman" w:hAnsi="Calibri" w:cs="Calibri"/>
                <w:b/>
                <w:sz w:val="16"/>
                <w:szCs w:val="16"/>
              </w:rPr>
            </w:pPr>
            <w:r w:rsidRPr="00E864B1">
              <w:rPr>
                <w:rFonts w:ascii="Calibri" w:eastAsia="Times New Roman" w:hAnsi="Calibri" w:cs="Calibri"/>
                <w:b/>
                <w:sz w:val="16"/>
                <w:szCs w:val="16"/>
              </w:rPr>
              <w:t>Status</w:t>
            </w:r>
          </w:p>
        </w:tc>
      </w:tr>
      <w:tr w:rsidR="000C4AE4" w:rsidRPr="00FC136C" w14:paraId="3ECB15BF" w14:textId="77777777" w:rsidTr="000C4AE4">
        <w:trPr>
          <w:trHeight w:val="227"/>
        </w:trPr>
        <w:tc>
          <w:tcPr>
            <w:tcW w:w="2977" w:type="dxa"/>
            <w:tcBorders>
              <w:top w:val="nil"/>
              <w:left w:val="nil"/>
              <w:right w:val="nil"/>
            </w:tcBorders>
            <w:shd w:val="clear" w:color="auto" w:fill="auto"/>
            <w:noWrap/>
            <w:vAlign w:val="center"/>
            <w:hideMark/>
          </w:tcPr>
          <w:p w14:paraId="40420AB4"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Mara Rosa/GO – Água Boa/MT</w:t>
            </w:r>
          </w:p>
        </w:tc>
        <w:tc>
          <w:tcPr>
            <w:tcW w:w="851" w:type="dxa"/>
            <w:tcBorders>
              <w:top w:val="nil"/>
              <w:left w:val="nil"/>
              <w:right w:val="nil"/>
            </w:tcBorders>
            <w:shd w:val="clear" w:color="auto" w:fill="auto"/>
            <w:noWrap/>
            <w:vAlign w:val="center"/>
            <w:hideMark/>
          </w:tcPr>
          <w:p w14:paraId="40A174DB" w14:textId="77777777" w:rsidR="000C4AE4" w:rsidRPr="00E864B1" w:rsidRDefault="000C4AE4" w:rsidP="00CE2E55">
            <w:pPr>
              <w:spacing w:after="0" w:line="240" w:lineRule="auto"/>
              <w:jc w:val="right"/>
              <w:rPr>
                <w:rFonts w:ascii="Calibri" w:eastAsia="Times New Roman" w:hAnsi="Calibri" w:cs="Calibri"/>
                <w:sz w:val="16"/>
                <w:szCs w:val="16"/>
              </w:rPr>
            </w:pPr>
            <w:r w:rsidRPr="00E864B1">
              <w:rPr>
                <w:rFonts w:ascii="Calibri" w:eastAsia="Times New Roman" w:hAnsi="Calibri" w:cs="Calibri"/>
                <w:sz w:val="16"/>
                <w:szCs w:val="16"/>
              </w:rPr>
              <w:t>383</w:t>
            </w:r>
          </w:p>
        </w:tc>
        <w:tc>
          <w:tcPr>
            <w:tcW w:w="6662" w:type="dxa"/>
            <w:tcBorders>
              <w:top w:val="nil"/>
              <w:left w:val="nil"/>
              <w:right w:val="nil"/>
            </w:tcBorders>
            <w:shd w:val="clear" w:color="auto" w:fill="auto"/>
            <w:vAlign w:val="center"/>
            <w:hideMark/>
          </w:tcPr>
          <w:p w14:paraId="0D0CCAC1"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 xml:space="preserve">EVTEA e Projeto Básico concluídos. Trecho sendo executado pela Vale S.A. sob o acompanhamento da Infra S.A. no âmbito do Investimento Cruzado. Maiores informações, vide a Nota Explicativa 24 </w:t>
            </w:r>
            <w:r w:rsidRPr="00E864B1">
              <w:rPr>
                <w:rFonts w:eastAsia="Times New Roman" w:cstheme="minorHAnsi"/>
                <w:color w:val="000000"/>
                <w:sz w:val="16"/>
                <w:szCs w:val="16"/>
              </w:rPr>
              <w:t>–</w:t>
            </w:r>
            <w:r w:rsidRPr="00E864B1">
              <w:rPr>
                <w:rFonts w:ascii="Calibri" w:eastAsia="Times New Roman" w:hAnsi="Calibri" w:cs="Calibri"/>
                <w:sz w:val="16"/>
                <w:szCs w:val="16"/>
              </w:rPr>
              <w:t xml:space="preserve"> Investimento Cruzado.</w:t>
            </w:r>
          </w:p>
        </w:tc>
      </w:tr>
      <w:tr w:rsidR="000C4AE4" w:rsidRPr="00FC136C" w14:paraId="2F16AA3D" w14:textId="77777777" w:rsidTr="000C4AE4">
        <w:trPr>
          <w:trHeight w:val="227"/>
        </w:trPr>
        <w:tc>
          <w:tcPr>
            <w:tcW w:w="2977" w:type="dxa"/>
            <w:tcBorders>
              <w:left w:val="nil"/>
              <w:right w:val="nil"/>
            </w:tcBorders>
            <w:shd w:val="clear" w:color="auto" w:fill="auto"/>
            <w:noWrap/>
            <w:vAlign w:val="center"/>
            <w:hideMark/>
          </w:tcPr>
          <w:p w14:paraId="100E0CBE"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Água Boa/MT – Lucas do Rio Verde/MT</w:t>
            </w:r>
          </w:p>
        </w:tc>
        <w:tc>
          <w:tcPr>
            <w:tcW w:w="851" w:type="dxa"/>
            <w:tcBorders>
              <w:left w:val="nil"/>
              <w:right w:val="nil"/>
            </w:tcBorders>
            <w:shd w:val="clear" w:color="auto" w:fill="auto"/>
            <w:noWrap/>
            <w:vAlign w:val="center"/>
            <w:hideMark/>
          </w:tcPr>
          <w:p w14:paraId="060B8C06" w14:textId="77777777" w:rsidR="000C4AE4" w:rsidRPr="00E864B1" w:rsidRDefault="000C4AE4" w:rsidP="00CE2E55">
            <w:pPr>
              <w:spacing w:after="0" w:line="240" w:lineRule="auto"/>
              <w:jc w:val="right"/>
              <w:rPr>
                <w:rFonts w:ascii="Calibri" w:eastAsia="Times New Roman" w:hAnsi="Calibri" w:cs="Calibri"/>
                <w:sz w:val="16"/>
                <w:szCs w:val="16"/>
              </w:rPr>
            </w:pPr>
            <w:r w:rsidRPr="00E864B1">
              <w:rPr>
                <w:rFonts w:ascii="Calibri" w:eastAsia="Times New Roman" w:hAnsi="Calibri" w:cs="Calibri"/>
                <w:sz w:val="16"/>
                <w:szCs w:val="16"/>
              </w:rPr>
              <w:t>505</w:t>
            </w:r>
          </w:p>
        </w:tc>
        <w:tc>
          <w:tcPr>
            <w:tcW w:w="6662" w:type="dxa"/>
            <w:tcBorders>
              <w:left w:val="nil"/>
              <w:right w:val="nil"/>
            </w:tcBorders>
            <w:shd w:val="clear" w:color="auto" w:fill="auto"/>
            <w:noWrap/>
            <w:vAlign w:val="center"/>
            <w:hideMark/>
          </w:tcPr>
          <w:p w14:paraId="04078219"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EVTEA e Projeto Básico concluídos.</w:t>
            </w:r>
          </w:p>
        </w:tc>
      </w:tr>
      <w:tr w:rsidR="000C4AE4" w:rsidRPr="00FC136C" w14:paraId="252AA402" w14:textId="77777777" w:rsidTr="000C4AE4">
        <w:trPr>
          <w:trHeight w:val="227"/>
        </w:trPr>
        <w:tc>
          <w:tcPr>
            <w:tcW w:w="2977" w:type="dxa"/>
            <w:tcBorders>
              <w:left w:val="nil"/>
              <w:bottom w:val="single" w:sz="4" w:space="0" w:color="auto"/>
              <w:right w:val="nil"/>
            </w:tcBorders>
            <w:shd w:val="clear" w:color="auto" w:fill="auto"/>
            <w:noWrap/>
            <w:vAlign w:val="center"/>
            <w:hideMark/>
          </w:tcPr>
          <w:p w14:paraId="138D9FA2"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Lucas do Rio Verde/MT – Vilhena/RO</w:t>
            </w:r>
          </w:p>
        </w:tc>
        <w:tc>
          <w:tcPr>
            <w:tcW w:w="851" w:type="dxa"/>
            <w:tcBorders>
              <w:left w:val="nil"/>
              <w:bottom w:val="single" w:sz="4" w:space="0" w:color="auto"/>
              <w:right w:val="nil"/>
            </w:tcBorders>
            <w:shd w:val="clear" w:color="auto" w:fill="auto"/>
            <w:noWrap/>
            <w:vAlign w:val="center"/>
            <w:hideMark/>
          </w:tcPr>
          <w:p w14:paraId="3B31C98B" w14:textId="77777777" w:rsidR="000C4AE4" w:rsidRPr="00E864B1" w:rsidRDefault="000C4AE4" w:rsidP="00CE2E55">
            <w:pPr>
              <w:spacing w:after="0" w:line="240" w:lineRule="auto"/>
              <w:jc w:val="right"/>
              <w:rPr>
                <w:rFonts w:ascii="Calibri" w:eastAsia="Times New Roman" w:hAnsi="Calibri" w:cs="Calibri"/>
                <w:sz w:val="16"/>
                <w:szCs w:val="16"/>
              </w:rPr>
            </w:pPr>
            <w:r w:rsidRPr="00E864B1">
              <w:rPr>
                <w:rFonts w:ascii="Calibri" w:eastAsia="Times New Roman" w:hAnsi="Calibri" w:cs="Calibri"/>
                <w:sz w:val="16"/>
                <w:szCs w:val="16"/>
              </w:rPr>
              <w:t>646</w:t>
            </w:r>
          </w:p>
        </w:tc>
        <w:tc>
          <w:tcPr>
            <w:tcW w:w="6662" w:type="dxa"/>
            <w:tcBorders>
              <w:left w:val="nil"/>
              <w:bottom w:val="single" w:sz="4" w:space="0" w:color="auto"/>
              <w:right w:val="nil"/>
            </w:tcBorders>
            <w:shd w:val="clear" w:color="auto" w:fill="auto"/>
            <w:noWrap/>
            <w:vAlign w:val="center"/>
            <w:hideMark/>
          </w:tcPr>
          <w:p w14:paraId="000D9C1D" w14:textId="77777777" w:rsidR="000C4AE4" w:rsidRPr="00E864B1" w:rsidRDefault="000C4AE4" w:rsidP="00752EB6">
            <w:pPr>
              <w:spacing w:after="0" w:line="240" w:lineRule="auto"/>
              <w:rPr>
                <w:rFonts w:ascii="Calibri" w:eastAsia="Times New Roman" w:hAnsi="Calibri" w:cs="Calibri"/>
                <w:sz w:val="16"/>
                <w:szCs w:val="16"/>
              </w:rPr>
            </w:pPr>
            <w:r w:rsidRPr="00E864B1">
              <w:rPr>
                <w:rFonts w:ascii="Calibri" w:eastAsia="Times New Roman" w:hAnsi="Calibri" w:cs="Calibri"/>
                <w:sz w:val="16"/>
                <w:szCs w:val="16"/>
              </w:rPr>
              <w:t>EVTEA concluído desde 2014 e com anteprojeto em andamento.</w:t>
            </w:r>
          </w:p>
        </w:tc>
      </w:tr>
      <w:tr w:rsidR="000C4AE4" w:rsidRPr="00FC136C" w14:paraId="6E6C66B9" w14:textId="77777777" w:rsidTr="000C4AE4">
        <w:trPr>
          <w:trHeight w:val="227"/>
        </w:trPr>
        <w:tc>
          <w:tcPr>
            <w:tcW w:w="2977" w:type="dxa"/>
            <w:tcBorders>
              <w:top w:val="single" w:sz="8" w:space="0" w:color="auto"/>
              <w:left w:val="nil"/>
              <w:bottom w:val="single" w:sz="8" w:space="0" w:color="auto"/>
              <w:right w:val="nil"/>
            </w:tcBorders>
            <w:shd w:val="clear" w:color="auto" w:fill="DEEAF6" w:themeFill="accent1" w:themeFillTint="33"/>
            <w:noWrap/>
            <w:vAlign w:val="center"/>
            <w:hideMark/>
          </w:tcPr>
          <w:p w14:paraId="6FE29F4A" w14:textId="77777777" w:rsidR="000C4AE4" w:rsidRPr="00E864B1" w:rsidRDefault="000C4AE4" w:rsidP="00752EB6">
            <w:pPr>
              <w:spacing w:after="0" w:line="240" w:lineRule="auto"/>
              <w:rPr>
                <w:rFonts w:ascii="Calibri" w:eastAsia="Times New Roman" w:hAnsi="Calibri" w:cs="Calibri"/>
                <w:b/>
                <w:sz w:val="16"/>
                <w:szCs w:val="16"/>
              </w:rPr>
            </w:pPr>
            <w:r w:rsidRPr="00E864B1">
              <w:rPr>
                <w:rFonts w:ascii="Calibri" w:eastAsia="Times New Roman" w:hAnsi="Calibri" w:cs="Calibri"/>
                <w:b/>
                <w:sz w:val="16"/>
                <w:szCs w:val="16"/>
              </w:rPr>
              <w:t>Extensão Total</w:t>
            </w:r>
          </w:p>
        </w:tc>
        <w:tc>
          <w:tcPr>
            <w:tcW w:w="851" w:type="dxa"/>
            <w:tcBorders>
              <w:top w:val="single" w:sz="8" w:space="0" w:color="auto"/>
              <w:left w:val="nil"/>
              <w:bottom w:val="single" w:sz="8" w:space="0" w:color="auto"/>
              <w:right w:val="nil"/>
            </w:tcBorders>
            <w:shd w:val="clear" w:color="auto" w:fill="DEEAF6" w:themeFill="accent1" w:themeFillTint="33"/>
            <w:noWrap/>
            <w:vAlign w:val="center"/>
            <w:hideMark/>
          </w:tcPr>
          <w:p w14:paraId="6405DB0F" w14:textId="77777777" w:rsidR="000C4AE4" w:rsidRPr="00E864B1" w:rsidRDefault="000C4AE4" w:rsidP="00CE2E55">
            <w:pPr>
              <w:spacing w:after="0" w:line="240" w:lineRule="auto"/>
              <w:jc w:val="right"/>
              <w:rPr>
                <w:rFonts w:ascii="Calibri" w:eastAsia="Times New Roman" w:hAnsi="Calibri" w:cs="Calibri"/>
                <w:b/>
                <w:sz w:val="16"/>
                <w:szCs w:val="16"/>
              </w:rPr>
            </w:pPr>
            <w:r w:rsidRPr="00E864B1">
              <w:rPr>
                <w:rFonts w:ascii="Calibri" w:eastAsia="Times New Roman" w:hAnsi="Calibri" w:cs="Calibri"/>
                <w:b/>
                <w:sz w:val="16"/>
                <w:szCs w:val="16"/>
              </w:rPr>
              <w:t>1.534</w:t>
            </w:r>
          </w:p>
        </w:tc>
        <w:tc>
          <w:tcPr>
            <w:tcW w:w="6662" w:type="dxa"/>
            <w:tcBorders>
              <w:top w:val="single" w:sz="8" w:space="0" w:color="auto"/>
              <w:left w:val="nil"/>
              <w:bottom w:val="single" w:sz="8" w:space="0" w:color="auto"/>
              <w:right w:val="nil"/>
            </w:tcBorders>
            <w:shd w:val="clear" w:color="auto" w:fill="DEEAF6" w:themeFill="accent1" w:themeFillTint="33"/>
            <w:noWrap/>
            <w:vAlign w:val="center"/>
            <w:hideMark/>
          </w:tcPr>
          <w:p w14:paraId="4FB1ADFB" w14:textId="77777777" w:rsidR="000C4AE4" w:rsidRPr="00E864B1" w:rsidRDefault="000C4AE4" w:rsidP="00752EB6">
            <w:pPr>
              <w:spacing w:after="0" w:line="240" w:lineRule="auto"/>
              <w:rPr>
                <w:rFonts w:ascii="Calibri" w:eastAsia="Times New Roman" w:hAnsi="Calibri" w:cs="Calibri"/>
                <w:b/>
                <w:sz w:val="16"/>
                <w:szCs w:val="16"/>
              </w:rPr>
            </w:pPr>
            <w:r w:rsidRPr="00E864B1">
              <w:rPr>
                <w:rFonts w:ascii="Calibri" w:eastAsia="Times New Roman" w:hAnsi="Calibri" w:cs="Calibri"/>
                <w:b/>
                <w:sz w:val="16"/>
                <w:szCs w:val="16"/>
              </w:rPr>
              <w:t> </w:t>
            </w:r>
          </w:p>
        </w:tc>
      </w:tr>
    </w:tbl>
    <w:p w14:paraId="4BB68656" w14:textId="77777777" w:rsidR="000C4AE4" w:rsidRDefault="000C4AE4" w:rsidP="000C4AE4">
      <w:pPr>
        <w:autoSpaceDE w:val="0"/>
        <w:autoSpaceDN w:val="0"/>
        <w:adjustRightInd w:val="0"/>
        <w:spacing w:before="120" w:after="0"/>
        <w:contextualSpacing/>
        <w:jc w:val="both"/>
        <w:rPr>
          <w:rFonts w:cstheme="minorHAnsi"/>
          <w:sz w:val="20"/>
          <w:shd w:val="clear" w:color="auto" w:fill="FFFFFF"/>
        </w:rPr>
      </w:pPr>
    </w:p>
    <w:p w14:paraId="01F63029" w14:textId="3DBD7B82" w:rsidR="002E69DE" w:rsidRDefault="002E69DE" w:rsidP="000C4AE4">
      <w:pPr>
        <w:autoSpaceDE w:val="0"/>
        <w:autoSpaceDN w:val="0"/>
        <w:adjustRightInd w:val="0"/>
        <w:spacing w:before="120" w:after="0"/>
        <w:contextualSpacing/>
        <w:jc w:val="both"/>
        <w:rPr>
          <w:rFonts w:cstheme="minorHAnsi"/>
          <w:sz w:val="20"/>
          <w:shd w:val="clear" w:color="auto" w:fill="FFFFFF"/>
        </w:rPr>
      </w:pPr>
      <w:r w:rsidRPr="002E69DE">
        <w:rPr>
          <w:rFonts w:cstheme="minorHAnsi"/>
          <w:sz w:val="20"/>
          <w:shd w:val="clear" w:color="auto" w:fill="FFFFFF"/>
        </w:rPr>
        <w:t xml:space="preserve">Além disso, houve contratação para elaboração de Estudos de Viabilidade Técnica, Econômica e Ambiental – EVTEA para o trecho entre Vilhena/RO – Porto Velho/RO.  </w:t>
      </w:r>
    </w:p>
    <w:p w14:paraId="688D9983" w14:textId="77777777" w:rsidR="004B4635" w:rsidRPr="00E65230" w:rsidRDefault="004B4635" w:rsidP="00C000AF">
      <w:pPr>
        <w:pStyle w:val="PargrafodaLista"/>
        <w:numPr>
          <w:ilvl w:val="0"/>
          <w:numId w:val="9"/>
        </w:numPr>
        <w:spacing w:before="120"/>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Pátio Porto Franco</w:t>
      </w:r>
    </w:p>
    <w:tbl>
      <w:tblPr>
        <w:tblW w:w="5000" w:type="pct"/>
        <w:tblCellMar>
          <w:left w:w="70" w:type="dxa"/>
          <w:right w:w="70" w:type="dxa"/>
        </w:tblCellMar>
        <w:tblLook w:val="04A0" w:firstRow="1" w:lastRow="0" w:firstColumn="1" w:lastColumn="0" w:noHBand="0" w:noVBand="1"/>
      </w:tblPr>
      <w:tblGrid>
        <w:gridCol w:w="3562"/>
        <w:gridCol w:w="1150"/>
        <w:gridCol w:w="1151"/>
        <w:gridCol w:w="1151"/>
        <w:gridCol w:w="1151"/>
        <w:gridCol w:w="1151"/>
        <w:gridCol w:w="1151"/>
      </w:tblGrid>
      <w:tr w:rsidR="00F7578B" w:rsidRPr="00FC136C" w14:paraId="555F1F02" w14:textId="77777777" w:rsidTr="001107B1">
        <w:trPr>
          <w:trHeight w:val="227"/>
        </w:trPr>
        <w:tc>
          <w:tcPr>
            <w:tcW w:w="3512" w:type="dxa"/>
            <w:tcBorders>
              <w:top w:val="nil"/>
              <w:left w:val="nil"/>
              <w:bottom w:val="single" w:sz="8" w:space="0" w:color="auto"/>
              <w:right w:val="nil"/>
            </w:tcBorders>
            <w:shd w:val="clear" w:color="auto" w:fill="DEEAF6" w:themeFill="accent1" w:themeFillTint="33"/>
            <w:vAlign w:val="center"/>
            <w:hideMark/>
          </w:tcPr>
          <w:p w14:paraId="32099000"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 xml:space="preserve">Pátio Porto Franco </w:t>
            </w:r>
          </w:p>
        </w:tc>
        <w:tc>
          <w:tcPr>
            <w:tcW w:w="1134" w:type="dxa"/>
            <w:tcBorders>
              <w:top w:val="nil"/>
              <w:left w:val="nil"/>
              <w:bottom w:val="single" w:sz="8" w:space="0" w:color="auto"/>
              <w:right w:val="nil"/>
            </w:tcBorders>
            <w:shd w:val="clear" w:color="auto" w:fill="DEEAF6" w:themeFill="accent1" w:themeFillTint="33"/>
            <w:vAlign w:val="center"/>
            <w:hideMark/>
          </w:tcPr>
          <w:p w14:paraId="33E60E31"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Custo de Aquisição</w:t>
            </w:r>
          </w:p>
        </w:tc>
        <w:tc>
          <w:tcPr>
            <w:tcW w:w="1134" w:type="dxa"/>
            <w:tcBorders>
              <w:top w:val="nil"/>
              <w:left w:val="nil"/>
              <w:bottom w:val="single" w:sz="8" w:space="0" w:color="auto"/>
              <w:right w:val="nil"/>
            </w:tcBorders>
            <w:shd w:val="clear" w:color="auto" w:fill="DEEAF6" w:themeFill="accent1" w:themeFillTint="33"/>
            <w:vAlign w:val="center"/>
            <w:hideMark/>
          </w:tcPr>
          <w:p w14:paraId="1BBB3E80"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Taxa de Depreciação %</w:t>
            </w:r>
          </w:p>
        </w:tc>
        <w:tc>
          <w:tcPr>
            <w:tcW w:w="1134" w:type="dxa"/>
            <w:tcBorders>
              <w:top w:val="nil"/>
              <w:left w:val="nil"/>
              <w:bottom w:val="single" w:sz="8" w:space="0" w:color="auto"/>
              <w:right w:val="nil"/>
            </w:tcBorders>
            <w:shd w:val="clear" w:color="auto" w:fill="DEEAF6" w:themeFill="accent1" w:themeFillTint="33"/>
            <w:vAlign w:val="center"/>
            <w:hideMark/>
          </w:tcPr>
          <w:p w14:paraId="79598006"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Depreciação</w:t>
            </w:r>
            <w:r>
              <w:br/>
            </w:r>
            <w:r w:rsidRPr="28307DB5">
              <w:rPr>
                <w:rFonts w:ascii="Calibri" w:eastAsia="Times New Roman" w:hAnsi="Calibri" w:cs="Calibri"/>
                <w:b/>
                <w:color w:val="000000" w:themeColor="text1"/>
                <w:sz w:val="16"/>
                <w:szCs w:val="16"/>
              </w:rPr>
              <w:t>Acumulada até 31/12/2022</w:t>
            </w:r>
          </w:p>
        </w:tc>
        <w:tc>
          <w:tcPr>
            <w:tcW w:w="1134" w:type="dxa"/>
            <w:tcBorders>
              <w:top w:val="nil"/>
              <w:left w:val="nil"/>
              <w:bottom w:val="single" w:sz="8" w:space="0" w:color="auto"/>
              <w:right w:val="nil"/>
            </w:tcBorders>
            <w:shd w:val="clear" w:color="auto" w:fill="DEEAF6" w:themeFill="accent1" w:themeFillTint="33"/>
            <w:vAlign w:val="center"/>
            <w:hideMark/>
          </w:tcPr>
          <w:p w14:paraId="799169FA"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Saldo em</w:t>
            </w:r>
            <w:r>
              <w:br/>
            </w:r>
            <w:r w:rsidRPr="28307DB5">
              <w:rPr>
                <w:rFonts w:ascii="Calibri" w:eastAsia="Times New Roman" w:hAnsi="Calibri" w:cs="Calibri"/>
                <w:b/>
                <w:color w:val="000000" w:themeColor="text1"/>
                <w:sz w:val="16"/>
                <w:szCs w:val="16"/>
              </w:rPr>
              <w:t>31/12/202</w:t>
            </w:r>
            <w:r>
              <w:rPr>
                <w:rFonts w:ascii="Calibri" w:eastAsia="Times New Roman" w:hAnsi="Calibri" w:cs="Calibri"/>
                <w:b/>
                <w:color w:val="000000" w:themeColor="text1"/>
                <w:sz w:val="16"/>
                <w:szCs w:val="16"/>
              </w:rPr>
              <w:t>3</w:t>
            </w:r>
          </w:p>
        </w:tc>
        <w:tc>
          <w:tcPr>
            <w:tcW w:w="1134" w:type="dxa"/>
            <w:tcBorders>
              <w:top w:val="nil"/>
              <w:left w:val="nil"/>
              <w:bottom w:val="single" w:sz="8" w:space="0" w:color="auto"/>
              <w:right w:val="nil"/>
            </w:tcBorders>
            <w:shd w:val="clear" w:color="auto" w:fill="DEEAF6" w:themeFill="accent1" w:themeFillTint="33"/>
            <w:vAlign w:val="center"/>
            <w:hideMark/>
          </w:tcPr>
          <w:p w14:paraId="5A9B8924"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Depreciação</w:t>
            </w:r>
            <w:r>
              <w:br/>
            </w:r>
            <w:r w:rsidRPr="28307DB5">
              <w:rPr>
                <w:rFonts w:ascii="Calibri" w:eastAsia="Times New Roman" w:hAnsi="Calibri" w:cs="Calibri"/>
                <w:b/>
                <w:color w:val="000000" w:themeColor="text1"/>
                <w:sz w:val="16"/>
                <w:szCs w:val="16"/>
              </w:rPr>
              <w:t>do Período</w:t>
            </w:r>
          </w:p>
        </w:tc>
        <w:tc>
          <w:tcPr>
            <w:tcW w:w="1134" w:type="dxa"/>
            <w:tcBorders>
              <w:top w:val="nil"/>
              <w:left w:val="nil"/>
              <w:bottom w:val="single" w:sz="8" w:space="0" w:color="auto"/>
              <w:right w:val="nil"/>
            </w:tcBorders>
            <w:shd w:val="clear" w:color="auto" w:fill="DEEAF6" w:themeFill="accent1" w:themeFillTint="33"/>
            <w:vAlign w:val="center"/>
            <w:hideMark/>
          </w:tcPr>
          <w:p w14:paraId="1BE90485"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Saldo em 31/</w:t>
            </w:r>
            <w:r>
              <w:rPr>
                <w:rFonts w:ascii="Calibri" w:eastAsia="Times New Roman" w:hAnsi="Calibri" w:cs="Calibri"/>
                <w:b/>
                <w:color w:val="000000" w:themeColor="text1"/>
                <w:sz w:val="16"/>
                <w:szCs w:val="16"/>
              </w:rPr>
              <w:t>03</w:t>
            </w:r>
            <w:r w:rsidRPr="28307DB5">
              <w:rPr>
                <w:rFonts w:ascii="Calibri" w:eastAsia="Times New Roman" w:hAnsi="Calibri" w:cs="Calibri"/>
                <w:b/>
                <w:color w:val="000000" w:themeColor="text1"/>
                <w:sz w:val="16"/>
                <w:szCs w:val="16"/>
              </w:rPr>
              <w:t>/202</w:t>
            </w:r>
            <w:r>
              <w:rPr>
                <w:rFonts w:ascii="Calibri" w:eastAsia="Times New Roman" w:hAnsi="Calibri" w:cs="Calibri"/>
                <w:b/>
                <w:color w:val="000000" w:themeColor="text1"/>
                <w:sz w:val="16"/>
                <w:szCs w:val="16"/>
              </w:rPr>
              <w:t>4</w:t>
            </w:r>
          </w:p>
        </w:tc>
      </w:tr>
      <w:tr w:rsidR="00F7578B" w:rsidRPr="00FC136C" w14:paraId="24B6941E" w14:textId="77777777" w:rsidTr="001107B1">
        <w:trPr>
          <w:trHeight w:val="227"/>
        </w:trPr>
        <w:tc>
          <w:tcPr>
            <w:tcW w:w="3512" w:type="dxa"/>
            <w:tcBorders>
              <w:top w:val="nil"/>
              <w:left w:val="nil"/>
              <w:bottom w:val="nil"/>
              <w:right w:val="nil"/>
            </w:tcBorders>
            <w:shd w:val="clear" w:color="auto" w:fill="auto"/>
            <w:noWrap/>
            <w:vAlign w:val="center"/>
            <w:hideMark/>
          </w:tcPr>
          <w:p w14:paraId="3D356E83" w14:textId="77777777" w:rsidR="00F7578B" w:rsidRPr="00FC136C" w:rsidRDefault="00F7578B" w:rsidP="00752EB6">
            <w:pPr>
              <w:spacing w:after="0" w:line="240" w:lineRule="auto"/>
              <w:rPr>
                <w:rFonts w:ascii="Calibri" w:eastAsia="Times New Roman" w:hAnsi="Calibri" w:cs="Calibri"/>
                <w:color w:val="000000"/>
                <w:sz w:val="16"/>
                <w:szCs w:val="16"/>
              </w:rPr>
            </w:pPr>
            <w:r w:rsidRPr="28307DB5">
              <w:rPr>
                <w:rFonts w:ascii="Calibri" w:eastAsia="Times New Roman" w:hAnsi="Calibri" w:cs="Calibri"/>
                <w:color w:val="000000" w:themeColor="text1"/>
                <w:sz w:val="16"/>
                <w:szCs w:val="16"/>
              </w:rPr>
              <w:t>Ativos de Concessão</w:t>
            </w:r>
          </w:p>
        </w:tc>
        <w:tc>
          <w:tcPr>
            <w:tcW w:w="1134" w:type="dxa"/>
            <w:tcBorders>
              <w:top w:val="nil"/>
              <w:left w:val="nil"/>
              <w:bottom w:val="nil"/>
              <w:right w:val="nil"/>
            </w:tcBorders>
            <w:shd w:val="clear" w:color="auto" w:fill="auto"/>
            <w:noWrap/>
            <w:vAlign w:val="center"/>
            <w:hideMark/>
          </w:tcPr>
          <w:p w14:paraId="45DD68D0" w14:textId="77777777" w:rsidR="00F7578B" w:rsidRPr="00FC136C" w:rsidRDefault="00F7578B" w:rsidP="00752EB6">
            <w:pPr>
              <w:spacing w:after="0" w:line="240" w:lineRule="auto"/>
              <w:jc w:val="right"/>
              <w:rPr>
                <w:rFonts w:ascii="Calibri" w:eastAsia="Times New Roman" w:hAnsi="Calibri" w:cs="Calibri"/>
                <w:color w:val="000000"/>
                <w:sz w:val="16"/>
                <w:szCs w:val="16"/>
              </w:rPr>
            </w:pPr>
            <w:r w:rsidRPr="28307DB5">
              <w:rPr>
                <w:rFonts w:ascii="Calibri" w:eastAsia="Times New Roman" w:hAnsi="Calibri" w:cs="Calibri"/>
                <w:color w:val="000000" w:themeColor="text1"/>
                <w:sz w:val="16"/>
                <w:szCs w:val="16"/>
              </w:rPr>
              <w:t>9.009.461</w:t>
            </w:r>
          </w:p>
        </w:tc>
        <w:tc>
          <w:tcPr>
            <w:tcW w:w="1134" w:type="dxa"/>
            <w:tcBorders>
              <w:top w:val="nil"/>
              <w:left w:val="nil"/>
              <w:bottom w:val="nil"/>
              <w:right w:val="nil"/>
            </w:tcBorders>
            <w:shd w:val="clear" w:color="auto" w:fill="auto"/>
            <w:noWrap/>
            <w:vAlign w:val="center"/>
            <w:hideMark/>
          </w:tcPr>
          <w:p w14:paraId="5A0AC981" w14:textId="77777777" w:rsidR="00F7578B" w:rsidRPr="00FC136C" w:rsidRDefault="00F7578B" w:rsidP="00752EB6">
            <w:pPr>
              <w:spacing w:after="0" w:line="240" w:lineRule="auto"/>
              <w:jc w:val="center"/>
              <w:rPr>
                <w:rFonts w:ascii="Calibri" w:eastAsia="Times New Roman" w:hAnsi="Calibri" w:cs="Calibri"/>
                <w:color w:val="000000"/>
                <w:sz w:val="16"/>
                <w:szCs w:val="16"/>
              </w:rPr>
            </w:pPr>
            <w:r w:rsidRPr="28307DB5">
              <w:rPr>
                <w:rFonts w:ascii="Calibri" w:eastAsia="Times New Roman" w:hAnsi="Calibri" w:cs="Calibri"/>
                <w:color w:val="000000" w:themeColor="text1"/>
                <w:sz w:val="16"/>
                <w:szCs w:val="16"/>
              </w:rPr>
              <w:t>5 a 30</w:t>
            </w:r>
          </w:p>
        </w:tc>
        <w:tc>
          <w:tcPr>
            <w:tcW w:w="1134" w:type="dxa"/>
            <w:tcBorders>
              <w:top w:val="nil"/>
              <w:left w:val="nil"/>
              <w:bottom w:val="nil"/>
              <w:right w:val="nil"/>
            </w:tcBorders>
            <w:shd w:val="clear" w:color="auto" w:fill="auto"/>
            <w:noWrap/>
            <w:vAlign w:val="center"/>
            <w:hideMark/>
          </w:tcPr>
          <w:p w14:paraId="6AE140D0" w14:textId="77777777" w:rsidR="00F7578B" w:rsidRPr="00FC136C" w:rsidRDefault="00F7578B" w:rsidP="00752EB6">
            <w:pPr>
              <w:spacing w:after="0" w:line="240" w:lineRule="auto"/>
              <w:jc w:val="right"/>
              <w:rPr>
                <w:rFonts w:ascii="Calibri" w:eastAsia="Times New Roman" w:hAnsi="Calibri" w:cs="Calibri"/>
                <w:color w:val="000000"/>
                <w:sz w:val="16"/>
                <w:szCs w:val="16"/>
              </w:rPr>
            </w:pPr>
            <w:r w:rsidRPr="3172E7BB">
              <w:rPr>
                <w:rFonts w:ascii="Calibri" w:eastAsia="Times New Roman" w:hAnsi="Calibri" w:cs="Calibri"/>
                <w:color w:val="000000" w:themeColor="text1"/>
                <w:sz w:val="16"/>
                <w:szCs w:val="16"/>
              </w:rPr>
              <w:t>(1.898.878)</w:t>
            </w:r>
          </w:p>
        </w:tc>
        <w:tc>
          <w:tcPr>
            <w:tcW w:w="1134" w:type="dxa"/>
            <w:tcBorders>
              <w:top w:val="nil"/>
              <w:left w:val="nil"/>
              <w:bottom w:val="nil"/>
              <w:right w:val="nil"/>
            </w:tcBorders>
            <w:shd w:val="clear" w:color="auto" w:fill="auto"/>
            <w:noWrap/>
            <w:vAlign w:val="center"/>
            <w:hideMark/>
          </w:tcPr>
          <w:p w14:paraId="5E805B6E" w14:textId="77777777" w:rsidR="00F7578B" w:rsidRPr="35620B55" w:rsidRDefault="00F7578B" w:rsidP="00752EB6">
            <w:pPr>
              <w:spacing w:after="0" w:line="240" w:lineRule="auto"/>
              <w:jc w:val="right"/>
              <w:rPr>
                <w:rFonts w:ascii="Calibri" w:eastAsia="Times New Roman" w:hAnsi="Calibri" w:cs="Calibri"/>
                <w:color w:val="000000" w:themeColor="text1"/>
                <w:sz w:val="16"/>
                <w:szCs w:val="16"/>
              </w:rPr>
            </w:pPr>
            <w:r w:rsidRPr="35620B55">
              <w:rPr>
                <w:rFonts w:ascii="Calibri" w:eastAsia="Times New Roman" w:hAnsi="Calibri" w:cs="Calibri"/>
                <w:color w:val="000000" w:themeColor="text1"/>
                <w:sz w:val="16"/>
                <w:szCs w:val="16"/>
              </w:rPr>
              <w:t>7.110.583</w:t>
            </w:r>
          </w:p>
        </w:tc>
        <w:tc>
          <w:tcPr>
            <w:tcW w:w="1134" w:type="dxa"/>
            <w:tcBorders>
              <w:top w:val="nil"/>
              <w:left w:val="nil"/>
              <w:bottom w:val="nil"/>
              <w:right w:val="nil"/>
            </w:tcBorders>
            <w:shd w:val="clear" w:color="auto" w:fill="auto"/>
            <w:noWrap/>
            <w:vAlign w:val="center"/>
            <w:hideMark/>
          </w:tcPr>
          <w:p w14:paraId="7D406C24" w14:textId="77777777" w:rsidR="00F7578B" w:rsidRPr="00FC136C" w:rsidRDefault="00F7578B" w:rsidP="00752EB6">
            <w:pPr>
              <w:spacing w:after="0" w:line="240" w:lineRule="auto"/>
              <w:jc w:val="right"/>
              <w:rPr>
                <w:rFonts w:ascii="Calibri" w:eastAsia="Times New Roman" w:hAnsi="Calibri" w:cs="Calibri"/>
                <w:color w:val="000000"/>
                <w:sz w:val="16"/>
                <w:szCs w:val="16"/>
              </w:rPr>
            </w:pPr>
            <w:r w:rsidRPr="6969CE91">
              <w:rPr>
                <w:rFonts w:ascii="Calibri" w:eastAsia="Times New Roman" w:hAnsi="Calibri" w:cs="Calibri"/>
                <w:color w:val="000000" w:themeColor="text1"/>
                <w:sz w:val="16"/>
                <w:szCs w:val="16"/>
              </w:rPr>
              <w:t>(60.282)</w:t>
            </w:r>
          </w:p>
        </w:tc>
        <w:tc>
          <w:tcPr>
            <w:tcW w:w="1134" w:type="dxa"/>
            <w:tcBorders>
              <w:top w:val="nil"/>
              <w:left w:val="nil"/>
              <w:bottom w:val="nil"/>
              <w:right w:val="nil"/>
            </w:tcBorders>
            <w:shd w:val="clear" w:color="auto" w:fill="auto"/>
            <w:noWrap/>
            <w:vAlign w:val="center"/>
            <w:hideMark/>
          </w:tcPr>
          <w:p w14:paraId="2B819179" w14:textId="77777777" w:rsidR="00F7578B" w:rsidRPr="00FC136C" w:rsidRDefault="00F7578B" w:rsidP="00752EB6">
            <w:pPr>
              <w:spacing w:after="0" w:line="240" w:lineRule="auto"/>
              <w:jc w:val="right"/>
              <w:rPr>
                <w:rFonts w:ascii="Calibri" w:eastAsia="Times New Roman" w:hAnsi="Calibri" w:cs="Calibri"/>
                <w:color w:val="000000"/>
                <w:sz w:val="16"/>
                <w:szCs w:val="16"/>
              </w:rPr>
            </w:pPr>
            <w:r w:rsidRPr="1CFFD02E">
              <w:rPr>
                <w:rFonts w:ascii="Calibri" w:eastAsia="Times New Roman" w:hAnsi="Calibri" w:cs="Calibri"/>
                <w:color w:val="000000" w:themeColor="text1"/>
                <w:sz w:val="16"/>
                <w:szCs w:val="16"/>
              </w:rPr>
              <w:t>7.050.301</w:t>
            </w:r>
          </w:p>
        </w:tc>
      </w:tr>
      <w:tr w:rsidR="00F7578B" w:rsidRPr="00FC136C" w14:paraId="421E2C64" w14:textId="77777777" w:rsidTr="001107B1">
        <w:trPr>
          <w:trHeight w:val="227"/>
        </w:trPr>
        <w:tc>
          <w:tcPr>
            <w:tcW w:w="3512" w:type="dxa"/>
            <w:tcBorders>
              <w:top w:val="single" w:sz="8" w:space="0" w:color="auto"/>
              <w:left w:val="nil"/>
              <w:bottom w:val="single" w:sz="8" w:space="0" w:color="auto"/>
              <w:right w:val="nil"/>
            </w:tcBorders>
            <w:shd w:val="clear" w:color="auto" w:fill="DEEAF6" w:themeFill="accent1" w:themeFillTint="33"/>
            <w:noWrap/>
            <w:vAlign w:val="center"/>
            <w:hideMark/>
          </w:tcPr>
          <w:p w14:paraId="0B5D0F7B" w14:textId="77777777" w:rsidR="00F7578B" w:rsidRPr="00FC136C" w:rsidRDefault="00F7578B" w:rsidP="00752EB6">
            <w:pPr>
              <w:spacing w:after="0" w:line="240" w:lineRule="auto"/>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Total</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0C27873A" w14:textId="77777777" w:rsidR="00F7578B" w:rsidRPr="00FC136C" w:rsidRDefault="00F7578B" w:rsidP="00752EB6">
            <w:pPr>
              <w:spacing w:after="0" w:line="240" w:lineRule="auto"/>
              <w:jc w:val="right"/>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9.009.461</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637B6F9F" w14:textId="77777777" w:rsidR="00F7578B" w:rsidRPr="00FC136C" w:rsidRDefault="00F7578B" w:rsidP="00752EB6">
            <w:pPr>
              <w:spacing w:after="0" w:line="240" w:lineRule="auto"/>
              <w:jc w:val="center"/>
              <w:rPr>
                <w:rFonts w:ascii="Calibri" w:eastAsia="Times New Roman" w:hAnsi="Calibri" w:cs="Calibri"/>
                <w:b/>
                <w:color w:val="000000"/>
                <w:sz w:val="16"/>
                <w:szCs w:val="16"/>
              </w:rPr>
            </w:pPr>
            <w:r w:rsidRPr="28307DB5">
              <w:rPr>
                <w:rFonts w:ascii="Calibri" w:eastAsia="Times New Roman" w:hAnsi="Calibri" w:cs="Calibri"/>
                <w:b/>
                <w:color w:val="000000" w:themeColor="text1"/>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1175FF68" w14:textId="77777777" w:rsidR="00F7578B" w:rsidRPr="00FC136C" w:rsidRDefault="00F7578B" w:rsidP="00752EB6">
            <w:pPr>
              <w:spacing w:after="0" w:line="240" w:lineRule="auto"/>
              <w:jc w:val="right"/>
              <w:rPr>
                <w:rFonts w:ascii="Calibri" w:eastAsia="Times New Roman" w:hAnsi="Calibri" w:cs="Calibri"/>
                <w:b/>
                <w:color w:val="000000"/>
                <w:sz w:val="16"/>
                <w:szCs w:val="16"/>
              </w:rPr>
            </w:pPr>
            <w:r w:rsidRPr="35620B55">
              <w:rPr>
                <w:rFonts w:ascii="Calibri" w:eastAsia="Times New Roman" w:hAnsi="Calibri" w:cs="Calibri"/>
                <w:b/>
                <w:bCs/>
                <w:color w:val="000000" w:themeColor="text1"/>
                <w:sz w:val="16"/>
                <w:szCs w:val="16"/>
              </w:rPr>
              <w:t>(</w:t>
            </w:r>
            <w:r w:rsidRPr="3172E7BB">
              <w:rPr>
                <w:rFonts w:ascii="Calibri" w:eastAsia="Times New Roman" w:hAnsi="Calibri" w:cs="Calibri"/>
                <w:b/>
                <w:bCs/>
                <w:color w:val="000000" w:themeColor="text1"/>
                <w:sz w:val="16"/>
                <w:szCs w:val="16"/>
              </w:rPr>
              <w:t>1.898.878)</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76D3E7AF" w14:textId="77777777" w:rsidR="00F7578B" w:rsidRPr="35620B55" w:rsidRDefault="00F7578B" w:rsidP="00752EB6">
            <w:pPr>
              <w:spacing w:after="0" w:line="240" w:lineRule="auto"/>
              <w:jc w:val="right"/>
              <w:rPr>
                <w:rFonts w:ascii="Calibri" w:eastAsia="Times New Roman" w:hAnsi="Calibri" w:cs="Calibri"/>
                <w:b/>
                <w:bCs/>
                <w:color w:val="000000" w:themeColor="text1"/>
                <w:sz w:val="16"/>
                <w:szCs w:val="16"/>
              </w:rPr>
            </w:pPr>
            <w:r w:rsidRPr="35620B55">
              <w:rPr>
                <w:rFonts w:ascii="Calibri" w:eastAsia="Times New Roman" w:hAnsi="Calibri" w:cs="Calibri"/>
                <w:b/>
                <w:bCs/>
                <w:color w:val="000000" w:themeColor="text1"/>
                <w:sz w:val="16"/>
                <w:szCs w:val="16"/>
              </w:rPr>
              <w:t>7.110.583</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3A6C198A" w14:textId="77777777" w:rsidR="00F7578B" w:rsidRPr="00FC136C" w:rsidRDefault="00F7578B" w:rsidP="00752EB6">
            <w:pPr>
              <w:spacing w:after="0" w:line="240" w:lineRule="auto"/>
              <w:jc w:val="right"/>
              <w:rPr>
                <w:rFonts w:ascii="Calibri" w:eastAsia="Times New Roman" w:hAnsi="Calibri" w:cs="Calibri"/>
                <w:b/>
                <w:color w:val="000000"/>
                <w:sz w:val="16"/>
                <w:szCs w:val="16"/>
              </w:rPr>
            </w:pPr>
            <w:r w:rsidRPr="30E3CFD9">
              <w:rPr>
                <w:rFonts w:ascii="Calibri" w:eastAsia="Times New Roman" w:hAnsi="Calibri" w:cs="Calibri"/>
                <w:b/>
                <w:bCs/>
                <w:color w:val="000000" w:themeColor="text1"/>
                <w:sz w:val="16"/>
                <w:szCs w:val="16"/>
              </w:rPr>
              <w:t>(60.282)</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601C8B70" w14:textId="77777777" w:rsidR="00F7578B" w:rsidRPr="00FC136C" w:rsidRDefault="00F7578B" w:rsidP="00752EB6">
            <w:pPr>
              <w:spacing w:after="0" w:line="240" w:lineRule="auto"/>
              <w:jc w:val="right"/>
              <w:rPr>
                <w:rFonts w:ascii="Calibri" w:eastAsia="Times New Roman" w:hAnsi="Calibri" w:cs="Calibri"/>
                <w:b/>
                <w:color w:val="000000"/>
                <w:sz w:val="16"/>
                <w:szCs w:val="16"/>
              </w:rPr>
            </w:pPr>
            <w:r w:rsidRPr="1CFFD02E">
              <w:rPr>
                <w:rFonts w:ascii="Calibri" w:eastAsia="Times New Roman" w:hAnsi="Calibri" w:cs="Calibri"/>
                <w:b/>
                <w:bCs/>
                <w:color w:val="000000" w:themeColor="text1"/>
                <w:sz w:val="16"/>
                <w:szCs w:val="16"/>
              </w:rPr>
              <w:t>7.050.301</w:t>
            </w:r>
          </w:p>
        </w:tc>
      </w:tr>
    </w:tbl>
    <w:p w14:paraId="1121916E" w14:textId="34AA8ACF" w:rsidR="007051CF" w:rsidRPr="00964CC5" w:rsidRDefault="007051CF" w:rsidP="00645DFB">
      <w:pPr>
        <w:pStyle w:val="PargrafodaLista"/>
        <w:spacing w:before="120" w:after="0" w:line="240" w:lineRule="auto"/>
        <w:ind w:left="0"/>
        <w:jc w:val="both"/>
        <w:rPr>
          <w:rFonts w:cstheme="minorHAnsi"/>
          <w:sz w:val="20"/>
          <w:shd w:val="clear" w:color="auto" w:fill="FFFFFF"/>
        </w:rPr>
      </w:pPr>
      <w:r w:rsidRPr="00964CC5">
        <w:rPr>
          <w:rFonts w:cstheme="minorHAnsi"/>
          <w:sz w:val="20"/>
          <w:shd w:val="clear" w:color="auto" w:fill="FFFFFF"/>
        </w:rPr>
        <w:lastRenderedPageBreak/>
        <w:t>A concessão dessa área tem o propósito de manter o Pátio de Porto Franco/MA como um polo de carga de destaque na operação de transbordo ferroviário, contribuindo para reduzir o custo logístico na exportação dos grãos de parte das regiões Norte e Nordeste do Brasil.</w:t>
      </w:r>
    </w:p>
    <w:p w14:paraId="33C9EB8B" w14:textId="77777777" w:rsidR="004B4635" w:rsidRPr="00E65230" w:rsidRDefault="0003313B" w:rsidP="00C000AF">
      <w:pPr>
        <w:pStyle w:val="PargrafodaLista"/>
        <w:numPr>
          <w:ilvl w:val="0"/>
          <w:numId w:val="9"/>
        </w:numPr>
        <w:spacing w:before="120"/>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Terrenos</w:t>
      </w:r>
    </w:p>
    <w:tbl>
      <w:tblPr>
        <w:tblW w:w="5000" w:type="pct"/>
        <w:jc w:val="center"/>
        <w:tblLook w:val="06A0" w:firstRow="1" w:lastRow="0" w:firstColumn="1" w:lastColumn="0" w:noHBand="1" w:noVBand="1"/>
      </w:tblPr>
      <w:tblGrid>
        <w:gridCol w:w="6903"/>
        <w:gridCol w:w="1188"/>
        <w:gridCol w:w="1188"/>
        <w:gridCol w:w="1188"/>
      </w:tblGrid>
      <w:tr w:rsidR="00770752" w14:paraId="4A8D1803" w14:textId="77777777" w:rsidTr="007C11FA">
        <w:trPr>
          <w:trHeight w:val="227"/>
          <w:jc w:val="center"/>
        </w:trPr>
        <w:tc>
          <w:tcPr>
            <w:tcW w:w="6587" w:type="dxa"/>
            <w:tcBorders>
              <w:top w:val="nil"/>
              <w:left w:val="nil"/>
              <w:bottom w:val="single" w:sz="8" w:space="0" w:color="auto"/>
              <w:right w:val="nil"/>
            </w:tcBorders>
            <w:shd w:val="clear" w:color="auto" w:fill="DEEAF6" w:themeFill="accent1" w:themeFillTint="33"/>
            <w:tcMar>
              <w:top w:w="15" w:type="dxa"/>
              <w:left w:w="15" w:type="dxa"/>
              <w:right w:w="15" w:type="dxa"/>
            </w:tcMar>
            <w:vAlign w:val="center"/>
          </w:tcPr>
          <w:p w14:paraId="3CF372C5" w14:textId="77777777" w:rsidR="00770752" w:rsidRDefault="00770752" w:rsidP="00752EB6">
            <w:pPr>
              <w:spacing w:after="0"/>
            </w:pPr>
            <w:r w:rsidRPr="6D2EF39E">
              <w:rPr>
                <w:rFonts w:ascii="Calibri" w:eastAsia="Calibri" w:hAnsi="Calibri" w:cs="Calibri"/>
                <w:b/>
                <w:bCs/>
                <w:color w:val="000000" w:themeColor="text1"/>
                <w:sz w:val="16"/>
                <w:szCs w:val="16"/>
              </w:rPr>
              <w:t>Terrenos</w:t>
            </w:r>
          </w:p>
        </w:tc>
        <w:tc>
          <w:tcPr>
            <w:tcW w:w="1134" w:type="dxa"/>
            <w:tcBorders>
              <w:top w:val="nil"/>
              <w:left w:val="nil"/>
              <w:bottom w:val="single" w:sz="8" w:space="0" w:color="auto"/>
              <w:right w:val="nil"/>
            </w:tcBorders>
            <w:shd w:val="clear" w:color="auto" w:fill="DEEAF6" w:themeFill="accent1" w:themeFillTint="33"/>
            <w:tcMar>
              <w:top w:w="15" w:type="dxa"/>
              <w:left w:w="15" w:type="dxa"/>
              <w:right w:w="15" w:type="dxa"/>
            </w:tcMar>
            <w:vAlign w:val="center"/>
          </w:tcPr>
          <w:p w14:paraId="6AFE4257" w14:textId="77777777" w:rsidR="00DB6574" w:rsidRDefault="00770752" w:rsidP="00DB6574">
            <w:pPr>
              <w:spacing w:after="0"/>
              <w:jc w:val="right"/>
              <w:rPr>
                <w:rFonts w:ascii="Calibri" w:eastAsia="Calibri" w:hAnsi="Calibri" w:cs="Calibri"/>
                <w:b/>
                <w:bCs/>
                <w:color w:val="000000" w:themeColor="text1"/>
                <w:sz w:val="16"/>
                <w:szCs w:val="16"/>
              </w:rPr>
            </w:pPr>
            <w:r w:rsidRPr="6D2EF39E">
              <w:rPr>
                <w:rFonts w:ascii="Calibri" w:eastAsia="Calibri" w:hAnsi="Calibri" w:cs="Calibri"/>
                <w:b/>
                <w:bCs/>
                <w:color w:val="000000" w:themeColor="text1"/>
                <w:sz w:val="16"/>
                <w:szCs w:val="16"/>
              </w:rPr>
              <w:t>Saldo</w:t>
            </w:r>
            <w:r>
              <w:rPr>
                <w:rFonts w:ascii="Calibri" w:eastAsia="Calibri" w:hAnsi="Calibri" w:cs="Calibri"/>
                <w:b/>
                <w:bCs/>
                <w:color w:val="000000" w:themeColor="text1"/>
                <w:sz w:val="16"/>
                <w:szCs w:val="16"/>
              </w:rPr>
              <w:t xml:space="preserve"> </w:t>
            </w:r>
            <w:r w:rsidRPr="6D2EF39E">
              <w:rPr>
                <w:rFonts w:ascii="Calibri" w:eastAsia="Calibri" w:hAnsi="Calibri" w:cs="Calibri"/>
                <w:b/>
                <w:bCs/>
                <w:color w:val="000000" w:themeColor="text1"/>
                <w:sz w:val="16"/>
                <w:szCs w:val="16"/>
              </w:rPr>
              <w:t>em</w:t>
            </w:r>
          </w:p>
          <w:p w14:paraId="6286CE59" w14:textId="07874211" w:rsidR="00770752" w:rsidRPr="00DB6574" w:rsidRDefault="00770752" w:rsidP="00DB6574">
            <w:pPr>
              <w:spacing w:after="0"/>
              <w:jc w:val="right"/>
              <w:rPr>
                <w:rFonts w:ascii="Calibri" w:eastAsia="Calibri" w:hAnsi="Calibri" w:cs="Calibri"/>
                <w:b/>
                <w:bCs/>
                <w:color w:val="000000" w:themeColor="text1"/>
                <w:sz w:val="16"/>
                <w:szCs w:val="16"/>
              </w:rPr>
            </w:pPr>
            <w:r>
              <w:rPr>
                <w:rFonts w:ascii="Calibri" w:eastAsia="Calibri" w:hAnsi="Calibri" w:cs="Calibri"/>
                <w:b/>
                <w:bCs/>
                <w:color w:val="000000" w:themeColor="text1"/>
                <w:sz w:val="16"/>
                <w:szCs w:val="16"/>
              </w:rPr>
              <w:t xml:space="preserve"> </w:t>
            </w:r>
            <w:r w:rsidRPr="6D2EF39E">
              <w:rPr>
                <w:rFonts w:ascii="Calibri" w:eastAsia="Calibri" w:hAnsi="Calibri" w:cs="Calibri"/>
                <w:b/>
                <w:bCs/>
                <w:color w:val="000000" w:themeColor="text1"/>
                <w:sz w:val="16"/>
                <w:szCs w:val="16"/>
              </w:rPr>
              <w:t>31/12/2023</w:t>
            </w:r>
          </w:p>
        </w:tc>
        <w:tc>
          <w:tcPr>
            <w:tcW w:w="1134" w:type="dxa"/>
            <w:tcBorders>
              <w:top w:val="nil"/>
              <w:left w:val="nil"/>
              <w:bottom w:val="single" w:sz="8" w:space="0" w:color="auto"/>
              <w:right w:val="nil"/>
            </w:tcBorders>
            <w:shd w:val="clear" w:color="auto" w:fill="DEEAF6" w:themeFill="accent1" w:themeFillTint="33"/>
            <w:tcMar>
              <w:top w:w="15" w:type="dxa"/>
              <w:left w:w="15" w:type="dxa"/>
              <w:right w:w="15" w:type="dxa"/>
            </w:tcMar>
            <w:vAlign w:val="center"/>
          </w:tcPr>
          <w:p w14:paraId="68A723EA" w14:textId="77777777" w:rsidR="00770752" w:rsidRDefault="00770752" w:rsidP="00DB6574">
            <w:pPr>
              <w:spacing w:after="0"/>
              <w:jc w:val="right"/>
            </w:pPr>
            <w:r w:rsidRPr="6D2EF39E">
              <w:rPr>
                <w:rFonts w:ascii="Calibri" w:eastAsia="Calibri" w:hAnsi="Calibri" w:cs="Calibri"/>
                <w:b/>
                <w:bCs/>
                <w:color w:val="000000" w:themeColor="text1"/>
                <w:sz w:val="16"/>
                <w:szCs w:val="16"/>
              </w:rPr>
              <w:t>Entradas</w:t>
            </w:r>
          </w:p>
        </w:tc>
        <w:tc>
          <w:tcPr>
            <w:tcW w:w="1134" w:type="dxa"/>
            <w:tcBorders>
              <w:top w:val="nil"/>
              <w:left w:val="nil"/>
              <w:bottom w:val="single" w:sz="8" w:space="0" w:color="auto"/>
              <w:right w:val="nil"/>
            </w:tcBorders>
            <w:shd w:val="clear" w:color="auto" w:fill="DEEAF6" w:themeFill="accent1" w:themeFillTint="33"/>
            <w:tcMar>
              <w:top w:w="15" w:type="dxa"/>
              <w:left w:w="15" w:type="dxa"/>
              <w:right w:w="15" w:type="dxa"/>
            </w:tcMar>
            <w:vAlign w:val="center"/>
          </w:tcPr>
          <w:p w14:paraId="46811776" w14:textId="77777777" w:rsidR="00DB6574" w:rsidRDefault="00770752" w:rsidP="00752EB6">
            <w:pPr>
              <w:spacing w:after="0"/>
              <w:jc w:val="right"/>
              <w:rPr>
                <w:rFonts w:ascii="Calibri" w:eastAsia="Calibri" w:hAnsi="Calibri" w:cs="Calibri"/>
                <w:b/>
                <w:bCs/>
                <w:color w:val="000000" w:themeColor="text1"/>
                <w:sz w:val="16"/>
                <w:szCs w:val="16"/>
              </w:rPr>
            </w:pPr>
            <w:r w:rsidRPr="6D2EF39E">
              <w:rPr>
                <w:rFonts w:ascii="Calibri" w:eastAsia="Calibri" w:hAnsi="Calibri" w:cs="Calibri"/>
                <w:b/>
                <w:bCs/>
                <w:color w:val="000000" w:themeColor="text1"/>
                <w:sz w:val="16"/>
                <w:szCs w:val="16"/>
              </w:rPr>
              <w:t>Saldo</w:t>
            </w:r>
            <w:r>
              <w:rPr>
                <w:rFonts w:ascii="Calibri" w:eastAsia="Calibri" w:hAnsi="Calibri" w:cs="Calibri"/>
                <w:b/>
                <w:bCs/>
                <w:color w:val="000000" w:themeColor="text1"/>
                <w:sz w:val="16"/>
                <w:szCs w:val="16"/>
              </w:rPr>
              <w:t xml:space="preserve"> </w:t>
            </w:r>
            <w:r w:rsidRPr="6D2EF39E">
              <w:rPr>
                <w:rFonts w:ascii="Calibri" w:eastAsia="Calibri" w:hAnsi="Calibri" w:cs="Calibri"/>
                <w:b/>
                <w:bCs/>
                <w:color w:val="000000" w:themeColor="text1"/>
                <w:sz w:val="16"/>
                <w:szCs w:val="16"/>
              </w:rPr>
              <w:t>em</w:t>
            </w:r>
          </w:p>
          <w:p w14:paraId="6F19C450" w14:textId="3743FE57" w:rsidR="00770752" w:rsidRDefault="00770752" w:rsidP="00752EB6">
            <w:pPr>
              <w:spacing w:after="0"/>
              <w:jc w:val="right"/>
            </w:pPr>
            <w:r>
              <w:rPr>
                <w:rFonts w:ascii="Calibri" w:eastAsia="Calibri" w:hAnsi="Calibri" w:cs="Calibri"/>
                <w:b/>
                <w:bCs/>
                <w:color w:val="000000" w:themeColor="text1"/>
                <w:sz w:val="16"/>
                <w:szCs w:val="16"/>
              </w:rPr>
              <w:t xml:space="preserve"> </w:t>
            </w:r>
            <w:r w:rsidRPr="6D2EF39E">
              <w:rPr>
                <w:rFonts w:ascii="Calibri" w:eastAsia="Calibri" w:hAnsi="Calibri" w:cs="Calibri"/>
                <w:b/>
                <w:bCs/>
                <w:color w:val="000000" w:themeColor="text1"/>
                <w:sz w:val="16"/>
                <w:szCs w:val="16"/>
              </w:rPr>
              <w:t>31/03/2024</w:t>
            </w:r>
          </w:p>
        </w:tc>
      </w:tr>
      <w:tr w:rsidR="00770752" w14:paraId="111C1C3A" w14:textId="77777777" w:rsidTr="007C11FA">
        <w:trPr>
          <w:trHeight w:val="227"/>
          <w:jc w:val="center"/>
        </w:trPr>
        <w:tc>
          <w:tcPr>
            <w:tcW w:w="6587" w:type="dxa"/>
            <w:tcBorders>
              <w:top w:val="single" w:sz="8" w:space="0" w:color="auto"/>
              <w:left w:val="nil"/>
              <w:bottom w:val="nil"/>
              <w:right w:val="nil"/>
            </w:tcBorders>
            <w:tcMar>
              <w:top w:w="15" w:type="dxa"/>
              <w:left w:w="15" w:type="dxa"/>
              <w:right w:w="15" w:type="dxa"/>
            </w:tcMar>
            <w:vAlign w:val="center"/>
          </w:tcPr>
          <w:p w14:paraId="21DF1B1C" w14:textId="77777777" w:rsidR="00770752" w:rsidRDefault="00770752" w:rsidP="00752EB6">
            <w:pPr>
              <w:spacing w:after="0"/>
            </w:pPr>
            <w:r w:rsidRPr="6D2EF39E">
              <w:rPr>
                <w:rFonts w:ascii="Calibri" w:eastAsia="Calibri" w:hAnsi="Calibri" w:cs="Calibri"/>
                <w:color w:val="000000" w:themeColor="text1"/>
                <w:sz w:val="16"/>
                <w:szCs w:val="16"/>
              </w:rPr>
              <w:t>Ferrovia Norte Sul (FNS)</w:t>
            </w:r>
          </w:p>
        </w:tc>
        <w:tc>
          <w:tcPr>
            <w:tcW w:w="1134" w:type="dxa"/>
            <w:tcBorders>
              <w:top w:val="single" w:sz="8" w:space="0" w:color="auto"/>
              <w:left w:val="nil"/>
              <w:bottom w:val="nil"/>
              <w:right w:val="nil"/>
            </w:tcBorders>
            <w:tcMar>
              <w:top w:w="15" w:type="dxa"/>
              <w:left w:w="15" w:type="dxa"/>
              <w:right w:w="15" w:type="dxa"/>
            </w:tcMar>
            <w:vAlign w:val="center"/>
          </w:tcPr>
          <w:p w14:paraId="071FC9DB" w14:textId="77777777" w:rsidR="00770752" w:rsidRDefault="00770752" w:rsidP="00752EB6">
            <w:pPr>
              <w:spacing w:after="0"/>
              <w:jc w:val="right"/>
            </w:pPr>
            <w:r w:rsidRPr="6D2EF39E">
              <w:rPr>
                <w:rFonts w:ascii="Calibri" w:eastAsia="Calibri" w:hAnsi="Calibri" w:cs="Calibri"/>
                <w:color w:val="000000" w:themeColor="text1"/>
                <w:sz w:val="16"/>
                <w:szCs w:val="16"/>
              </w:rPr>
              <w:t>281.063.090</w:t>
            </w:r>
          </w:p>
        </w:tc>
        <w:tc>
          <w:tcPr>
            <w:tcW w:w="1134" w:type="dxa"/>
            <w:tcBorders>
              <w:top w:val="single" w:sz="8" w:space="0" w:color="auto"/>
              <w:left w:val="nil"/>
              <w:bottom w:val="nil"/>
              <w:right w:val="nil"/>
            </w:tcBorders>
            <w:tcMar>
              <w:top w:w="15" w:type="dxa"/>
              <w:left w:w="15" w:type="dxa"/>
              <w:right w:w="15" w:type="dxa"/>
            </w:tcMar>
            <w:vAlign w:val="center"/>
          </w:tcPr>
          <w:p w14:paraId="698F9160" w14:textId="77777777" w:rsidR="00770752" w:rsidRDefault="00770752" w:rsidP="00752EB6">
            <w:pPr>
              <w:spacing w:after="0"/>
              <w:jc w:val="right"/>
            </w:pPr>
            <w:r w:rsidRPr="6D2EF39E">
              <w:rPr>
                <w:rFonts w:ascii="Calibri" w:eastAsia="Calibri" w:hAnsi="Calibri" w:cs="Calibri"/>
                <w:color w:val="000000" w:themeColor="text1"/>
                <w:sz w:val="16"/>
                <w:szCs w:val="16"/>
              </w:rPr>
              <w:t>1.244.311</w:t>
            </w:r>
          </w:p>
        </w:tc>
        <w:tc>
          <w:tcPr>
            <w:tcW w:w="1134" w:type="dxa"/>
            <w:tcBorders>
              <w:top w:val="single" w:sz="8" w:space="0" w:color="auto"/>
              <w:left w:val="nil"/>
              <w:bottom w:val="nil"/>
              <w:right w:val="nil"/>
            </w:tcBorders>
            <w:tcMar>
              <w:top w:w="15" w:type="dxa"/>
              <w:left w:w="15" w:type="dxa"/>
              <w:right w:w="15" w:type="dxa"/>
            </w:tcMar>
            <w:vAlign w:val="center"/>
          </w:tcPr>
          <w:p w14:paraId="43C90044" w14:textId="77777777" w:rsidR="00770752" w:rsidRDefault="00770752" w:rsidP="00752EB6">
            <w:pPr>
              <w:spacing w:after="0"/>
              <w:jc w:val="right"/>
            </w:pPr>
            <w:r w:rsidRPr="6D2EF39E">
              <w:rPr>
                <w:rFonts w:ascii="Calibri" w:eastAsia="Calibri" w:hAnsi="Calibri" w:cs="Calibri"/>
                <w:color w:val="000000" w:themeColor="text1"/>
                <w:sz w:val="16"/>
                <w:szCs w:val="16"/>
              </w:rPr>
              <w:t>282.307.401</w:t>
            </w:r>
          </w:p>
        </w:tc>
      </w:tr>
      <w:tr w:rsidR="00770752" w14:paraId="6E15E37F" w14:textId="77777777" w:rsidTr="007C11FA">
        <w:trPr>
          <w:trHeight w:val="227"/>
          <w:jc w:val="center"/>
        </w:trPr>
        <w:tc>
          <w:tcPr>
            <w:tcW w:w="6587" w:type="dxa"/>
            <w:tcBorders>
              <w:top w:val="nil"/>
              <w:left w:val="nil"/>
              <w:bottom w:val="nil"/>
              <w:right w:val="nil"/>
            </w:tcBorders>
            <w:tcMar>
              <w:top w:w="15" w:type="dxa"/>
              <w:left w:w="15" w:type="dxa"/>
              <w:right w:w="15" w:type="dxa"/>
            </w:tcMar>
            <w:vAlign w:val="center"/>
          </w:tcPr>
          <w:p w14:paraId="7E73A9A5" w14:textId="77777777" w:rsidR="00770752" w:rsidRDefault="00770752" w:rsidP="00752EB6">
            <w:pPr>
              <w:spacing w:after="0"/>
            </w:pPr>
            <w:r w:rsidRPr="6D2EF39E">
              <w:rPr>
                <w:rFonts w:ascii="Calibri" w:eastAsia="Calibri" w:hAnsi="Calibri" w:cs="Calibri"/>
                <w:color w:val="000000" w:themeColor="text1"/>
                <w:sz w:val="16"/>
                <w:szCs w:val="16"/>
              </w:rPr>
              <w:t>Ferrovia de Integração Oeste-Leste (FIOL)</w:t>
            </w:r>
          </w:p>
        </w:tc>
        <w:tc>
          <w:tcPr>
            <w:tcW w:w="1134" w:type="dxa"/>
            <w:tcBorders>
              <w:top w:val="nil"/>
              <w:left w:val="nil"/>
              <w:bottom w:val="nil"/>
              <w:right w:val="nil"/>
            </w:tcBorders>
            <w:tcMar>
              <w:top w:w="15" w:type="dxa"/>
              <w:left w:w="15" w:type="dxa"/>
              <w:right w:w="15" w:type="dxa"/>
            </w:tcMar>
            <w:vAlign w:val="center"/>
          </w:tcPr>
          <w:p w14:paraId="36401135" w14:textId="77777777" w:rsidR="00770752" w:rsidRDefault="00770752" w:rsidP="00752EB6">
            <w:pPr>
              <w:spacing w:after="0"/>
              <w:jc w:val="right"/>
            </w:pPr>
            <w:r w:rsidRPr="6D2EF39E">
              <w:rPr>
                <w:rFonts w:ascii="Calibri" w:eastAsia="Calibri" w:hAnsi="Calibri" w:cs="Calibri"/>
                <w:color w:val="000000" w:themeColor="text1"/>
                <w:sz w:val="16"/>
                <w:szCs w:val="16"/>
              </w:rPr>
              <w:t>134.699.087</w:t>
            </w:r>
          </w:p>
        </w:tc>
        <w:tc>
          <w:tcPr>
            <w:tcW w:w="1134" w:type="dxa"/>
            <w:tcBorders>
              <w:top w:val="nil"/>
              <w:left w:val="nil"/>
              <w:bottom w:val="nil"/>
              <w:right w:val="nil"/>
            </w:tcBorders>
            <w:tcMar>
              <w:top w:w="15" w:type="dxa"/>
              <w:left w:w="15" w:type="dxa"/>
              <w:right w:w="15" w:type="dxa"/>
            </w:tcMar>
            <w:vAlign w:val="center"/>
          </w:tcPr>
          <w:p w14:paraId="52E0F83E" w14:textId="77777777" w:rsidR="00770752" w:rsidRDefault="00770752" w:rsidP="00752EB6">
            <w:pPr>
              <w:spacing w:after="0"/>
              <w:jc w:val="right"/>
            </w:pPr>
            <w:r w:rsidRPr="6D2EF39E">
              <w:rPr>
                <w:rFonts w:ascii="Calibri" w:eastAsia="Calibri" w:hAnsi="Calibri" w:cs="Calibri"/>
                <w:color w:val="000000" w:themeColor="text1"/>
                <w:sz w:val="16"/>
                <w:szCs w:val="16"/>
              </w:rPr>
              <w:t>5.408</w:t>
            </w:r>
          </w:p>
        </w:tc>
        <w:tc>
          <w:tcPr>
            <w:tcW w:w="1134" w:type="dxa"/>
            <w:tcBorders>
              <w:top w:val="nil"/>
              <w:left w:val="nil"/>
              <w:bottom w:val="nil"/>
              <w:right w:val="nil"/>
            </w:tcBorders>
            <w:tcMar>
              <w:top w:w="15" w:type="dxa"/>
              <w:left w:w="15" w:type="dxa"/>
              <w:right w:w="15" w:type="dxa"/>
            </w:tcMar>
            <w:vAlign w:val="center"/>
          </w:tcPr>
          <w:p w14:paraId="1BA04222" w14:textId="77777777" w:rsidR="00770752" w:rsidRDefault="00770752" w:rsidP="00752EB6">
            <w:pPr>
              <w:spacing w:after="0"/>
              <w:jc w:val="right"/>
            </w:pPr>
            <w:r w:rsidRPr="6D2EF39E">
              <w:rPr>
                <w:rFonts w:ascii="Calibri" w:eastAsia="Calibri" w:hAnsi="Calibri" w:cs="Calibri"/>
                <w:color w:val="000000" w:themeColor="text1"/>
                <w:sz w:val="16"/>
                <w:szCs w:val="16"/>
              </w:rPr>
              <w:t>134.704.495</w:t>
            </w:r>
          </w:p>
        </w:tc>
      </w:tr>
      <w:tr w:rsidR="00770752" w14:paraId="13ABE9A1" w14:textId="77777777" w:rsidTr="007C11FA">
        <w:trPr>
          <w:trHeight w:val="227"/>
          <w:jc w:val="center"/>
        </w:trPr>
        <w:tc>
          <w:tcPr>
            <w:tcW w:w="6587" w:type="dxa"/>
            <w:tcBorders>
              <w:top w:val="nil"/>
              <w:left w:val="nil"/>
              <w:bottom w:val="nil"/>
              <w:right w:val="nil"/>
            </w:tcBorders>
            <w:tcMar>
              <w:top w:w="15" w:type="dxa"/>
              <w:left w:w="15" w:type="dxa"/>
              <w:right w:w="15" w:type="dxa"/>
            </w:tcMar>
            <w:vAlign w:val="center"/>
          </w:tcPr>
          <w:p w14:paraId="58C57479" w14:textId="77777777" w:rsidR="00770752" w:rsidRDefault="00770752" w:rsidP="00752EB6">
            <w:pPr>
              <w:spacing w:after="0"/>
            </w:pPr>
            <w:r w:rsidRPr="6D2EF39E">
              <w:rPr>
                <w:rFonts w:ascii="Calibri" w:eastAsia="Calibri" w:hAnsi="Calibri" w:cs="Calibri"/>
                <w:color w:val="000000" w:themeColor="text1"/>
                <w:sz w:val="16"/>
                <w:szCs w:val="16"/>
              </w:rPr>
              <w:t>Ferrovia de Integração Centro-Oeste (FICO)</w:t>
            </w:r>
          </w:p>
        </w:tc>
        <w:tc>
          <w:tcPr>
            <w:tcW w:w="1134" w:type="dxa"/>
            <w:tcBorders>
              <w:top w:val="nil"/>
              <w:left w:val="nil"/>
              <w:bottom w:val="nil"/>
              <w:right w:val="nil"/>
            </w:tcBorders>
            <w:tcMar>
              <w:top w:w="15" w:type="dxa"/>
              <w:left w:w="15" w:type="dxa"/>
              <w:right w:w="15" w:type="dxa"/>
            </w:tcMar>
            <w:vAlign w:val="center"/>
          </w:tcPr>
          <w:p w14:paraId="2A12312E" w14:textId="77777777" w:rsidR="00770752" w:rsidRDefault="00770752" w:rsidP="00752EB6">
            <w:pPr>
              <w:spacing w:after="0"/>
              <w:jc w:val="right"/>
            </w:pPr>
            <w:r w:rsidRPr="6D2EF39E">
              <w:rPr>
                <w:rFonts w:ascii="Calibri" w:eastAsia="Calibri" w:hAnsi="Calibri" w:cs="Calibri"/>
                <w:color w:val="000000" w:themeColor="text1"/>
                <w:sz w:val="16"/>
                <w:szCs w:val="16"/>
              </w:rPr>
              <w:t>983.728</w:t>
            </w:r>
          </w:p>
        </w:tc>
        <w:tc>
          <w:tcPr>
            <w:tcW w:w="1134" w:type="dxa"/>
            <w:tcBorders>
              <w:top w:val="nil"/>
              <w:left w:val="nil"/>
              <w:bottom w:val="nil"/>
              <w:right w:val="nil"/>
            </w:tcBorders>
            <w:tcMar>
              <w:top w:w="15" w:type="dxa"/>
              <w:left w:w="15" w:type="dxa"/>
              <w:right w:w="15" w:type="dxa"/>
            </w:tcMar>
            <w:vAlign w:val="center"/>
          </w:tcPr>
          <w:p w14:paraId="16F588C8" w14:textId="77777777" w:rsidR="00770752" w:rsidRDefault="00770752" w:rsidP="00752EB6">
            <w:pPr>
              <w:spacing w:after="0"/>
              <w:jc w:val="right"/>
            </w:pPr>
            <w:r w:rsidRPr="6D2EF39E">
              <w:rPr>
                <w:rFonts w:ascii="Calibri" w:eastAsia="Calibri" w:hAnsi="Calibri" w:cs="Calibri"/>
                <w:color w:val="000000" w:themeColor="text1"/>
                <w:sz w:val="16"/>
                <w:szCs w:val="16"/>
              </w:rPr>
              <w:t>122.457</w:t>
            </w:r>
          </w:p>
        </w:tc>
        <w:tc>
          <w:tcPr>
            <w:tcW w:w="1134" w:type="dxa"/>
            <w:tcBorders>
              <w:top w:val="nil"/>
              <w:left w:val="nil"/>
              <w:bottom w:val="nil"/>
              <w:right w:val="nil"/>
            </w:tcBorders>
            <w:tcMar>
              <w:top w:w="15" w:type="dxa"/>
              <w:left w:w="15" w:type="dxa"/>
              <w:right w:w="15" w:type="dxa"/>
            </w:tcMar>
            <w:vAlign w:val="center"/>
          </w:tcPr>
          <w:p w14:paraId="648D16AD" w14:textId="77777777" w:rsidR="00770752" w:rsidRDefault="00770752" w:rsidP="00752EB6">
            <w:pPr>
              <w:spacing w:after="0"/>
              <w:jc w:val="right"/>
            </w:pPr>
            <w:r w:rsidRPr="6D2EF39E">
              <w:rPr>
                <w:rFonts w:ascii="Calibri" w:eastAsia="Calibri" w:hAnsi="Calibri" w:cs="Calibri"/>
                <w:color w:val="000000" w:themeColor="text1"/>
                <w:sz w:val="16"/>
                <w:szCs w:val="16"/>
              </w:rPr>
              <w:t>1.106.185</w:t>
            </w:r>
          </w:p>
        </w:tc>
      </w:tr>
      <w:tr w:rsidR="00770752" w14:paraId="046124D2" w14:textId="77777777" w:rsidTr="007C11FA">
        <w:trPr>
          <w:trHeight w:val="227"/>
          <w:jc w:val="center"/>
        </w:trPr>
        <w:tc>
          <w:tcPr>
            <w:tcW w:w="6587" w:type="dxa"/>
            <w:tcBorders>
              <w:top w:val="nil"/>
              <w:left w:val="nil"/>
              <w:bottom w:val="nil"/>
              <w:right w:val="nil"/>
            </w:tcBorders>
            <w:tcMar>
              <w:top w:w="15" w:type="dxa"/>
              <w:left w:w="15" w:type="dxa"/>
              <w:right w:w="15" w:type="dxa"/>
            </w:tcMar>
            <w:vAlign w:val="center"/>
          </w:tcPr>
          <w:p w14:paraId="452E85DA" w14:textId="32B53ECD" w:rsidR="00770752" w:rsidRDefault="00770752" w:rsidP="00752EB6">
            <w:pPr>
              <w:spacing w:after="0"/>
            </w:pPr>
            <w:r w:rsidRPr="6D2EF39E">
              <w:rPr>
                <w:rFonts w:ascii="Calibri" w:eastAsia="Calibri" w:hAnsi="Calibri" w:cs="Calibri"/>
                <w:color w:val="000000" w:themeColor="text1"/>
                <w:sz w:val="16"/>
                <w:szCs w:val="16"/>
              </w:rPr>
              <w:t>Investimento Cruzado – (FICO)</w:t>
            </w:r>
          </w:p>
        </w:tc>
        <w:tc>
          <w:tcPr>
            <w:tcW w:w="1134" w:type="dxa"/>
            <w:tcBorders>
              <w:top w:val="nil"/>
              <w:left w:val="nil"/>
              <w:bottom w:val="nil"/>
              <w:right w:val="nil"/>
            </w:tcBorders>
            <w:tcMar>
              <w:top w:w="15" w:type="dxa"/>
              <w:left w:w="15" w:type="dxa"/>
              <w:right w:w="15" w:type="dxa"/>
            </w:tcMar>
            <w:vAlign w:val="center"/>
          </w:tcPr>
          <w:p w14:paraId="24D1D729" w14:textId="77777777" w:rsidR="00770752" w:rsidRDefault="00770752" w:rsidP="00752EB6">
            <w:pPr>
              <w:spacing w:after="0"/>
              <w:jc w:val="right"/>
            </w:pPr>
            <w:r w:rsidRPr="6D2EF39E">
              <w:rPr>
                <w:rFonts w:ascii="Calibri" w:eastAsia="Calibri" w:hAnsi="Calibri" w:cs="Calibri"/>
                <w:color w:val="000000" w:themeColor="text1"/>
                <w:sz w:val="16"/>
                <w:szCs w:val="16"/>
              </w:rPr>
              <w:t>59.841.328</w:t>
            </w:r>
          </w:p>
        </w:tc>
        <w:tc>
          <w:tcPr>
            <w:tcW w:w="1134" w:type="dxa"/>
            <w:tcBorders>
              <w:top w:val="nil"/>
              <w:left w:val="nil"/>
              <w:bottom w:val="nil"/>
              <w:right w:val="nil"/>
            </w:tcBorders>
            <w:tcMar>
              <w:top w:w="15" w:type="dxa"/>
              <w:left w:w="15" w:type="dxa"/>
              <w:right w:w="15" w:type="dxa"/>
            </w:tcMar>
            <w:vAlign w:val="center"/>
          </w:tcPr>
          <w:p w14:paraId="21380701" w14:textId="77777777" w:rsidR="00770752" w:rsidRDefault="00770752" w:rsidP="00752EB6">
            <w:pPr>
              <w:spacing w:after="0"/>
              <w:jc w:val="right"/>
            </w:pPr>
            <w:r w:rsidRPr="6D2EF39E">
              <w:rPr>
                <w:rFonts w:ascii="Calibri" w:eastAsia="Calibri" w:hAnsi="Calibri" w:cs="Calibri"/>
                <w:color w:val="000000" w:themeColor="text1"/>
                <w:sz w:val="16"/>
                <w:szCs w:val="16"/>
              </w:rPr>
              <w:t>7.817.391</w:t>
            </w:r>
          </w:p>
        </w:tc>
        <w:tc>
          <w:tcPr>
            <w:tcW w:w="1134" w:type="dxa"/>
            <w:tcBorders>
              <w:top w:val="nil"/>
              <w:left w:val="nil"/>
              <w:bottom w:val="nil"/>
              <w:right w:val="nil"/>
            </w:tcBorders>
            <w:tcMar>
              <w:top w:w="15" w:type="dxa"/>
              <w:left w:w="15" w:type="dxa"/>
              <w:right w:w="15" w:type="dxa"/>
            </w:tcMar>
            <w:vAlign w:val="center"/>
          </w:tcPr>
          <w:p w14:paraId="7D71734C" w14:textId="77777777" w:rsidR="00770752" w:rsidRDefault="00770752" w:rsidP="00752EB6">
            <w:pPr>
              <w:spacing w:after="0"/>
              <w:jc w:val="right"/>
            </w:pPr>
            <w:r w:rsidRPr="6D2EF39E">
              <w:rPr>
                <w:rFonts w:ascii="Calibri" w:eastAsia="Calibri" w:hAnsi="Calibri" w:cs="Calibri"/>
                <w:color w:val="000000" w:themeColor="text1"/>
                <w:sz w:val="16"/>
                <w:szCs w:val="16"/>
              </w:rPr>
              <w:t>67.658.718</w:t>
            </w:r>
          </w:p>
        </w:tc>
      </w:tr>
      <w:tr w:rsidR="00770752" w14:paraId="16CD466C" w14:textId="77777777" w:rsidTr="007C11FA">
        <w:trPr>
          <w:trHeight w:val="227"/>
          <w:jc w:val="center"/>
        </w:trPr>
        <w:tc>
          <w:tcPr>
            <w:tcW w:w="6587" w:type="dxa"/>
            <w:tcBorders>
              <w:top w:val="single" w:sz="8" w:space="0" w:color="auto"/>
              <w:left w:val="nil"/>
              <w:bottom w:val="single" w:sz="8" w:space="0" w:color="auto"/>
              <w:right w:val="nil"/>
            </w:tcBorders>
            <w:shd w:val="clear" w:color="auto" w:fill="DEEAF6" w:themeFill="accent1" w:themeFillTint="33"/>
            <w:tcMar>
              <w:top w:w="15" w:type="dxa"/>
              <w:left w:w="15" w:type="dxa"/>
              <w:right w:w="15" w:type="dxa"/>
            </w:tcMar>
            <w:vAlign w:val="center"/>
          </w:tcPr>
          <w:p w14:paraId="1DCE49A8" w14:textId="77777777" w:rsidR="00770752" w:rsidRDefault="00770752" w:rsidP="00752EB6">
            <w:pPr>
              <w:spacing w:after="0"/>
            </w:pPr>
            <w:r w:rsidRPr="6D2EF39E">
              <w:rPr>
                <w:rFonts w:ascii="Calibri" w:eastAsia="Calibri" w:hAnsi="Calibri" w:cs="Calibri"/>
                <w:b/>
                <w:bCs/>
                <w:color w:val="000000" w:themeColor="text1"/>
                <w:sz w:val="16"/>
                <w:szCs w:val="16"/>
              </w:rPr>
              <w:t>Total</w:t>
            </w:r>
          </w:p>
        </w:tc>
        <w:tc>
          <w:tcPr>
            <w:tcW w:w="1134" w:type="dxa"/>
            <w:tcBorders>
              <w:top w:val="single" w:sz="8" w:space="0" w:color="auto"/>
              <w:left w:val="nil"/>
              <w:bottom w:val="single" w:sz="8" w:space="0" w:color="auto"/>
              <w:right w:val="nil"/>
            </w:tcBorders>
            <w:shd w:val="clear" w:color="auto" w:fill="DEEAF6" w:themeFill="accent1" w:themeFillTint="33"/>
            <w:tcMar>
              <w:top w:w="15" w:type="dxa"/>
              <w:left w:w="15" w:type="dxa"/>
              <w:right w:w="15" w:type="dxa"/>
            </w:tcMar>
            <w:vAlign w:val="center"/>
          </w:tcPr>
          <w:p w14:paraId="0DEC82CF" w14:textId="77777777" w:rsidR="00770752" w:rsidRDefault="00770752" w:rsidP="00752EB6">
            <w:pPr>
              <w:spacing w:after="0"/>
              <w:jc w:val="right"/>
            </w:pPr>
            <w:r w:rsidRPr="6D2EF39E">
              <w:rPr>
                <w:rFonts w:ascii="Calibri" w:eastAsia="Calibri" w:hAnsi="Calibri" w:cs="Calibri"/>
                <w:b/>
                <w:bCs/>
                <w:color w:val="000000" w:themeColor="text1"/>
                <w:sz w:val="16"/>
                <w:szCs w:val="16"/>
              </w:rPr>
              <w:t>476.587.233</w:t>
            </w:r>
          </w:p>
        </w:tc>
        <w:tc>
          <w:tcPr>
            <w:tcW w:w="1134" w:type="dxa"/>
            <w:tcBorders>
              <w:top w:val="single" w:sz="8" w:space="0" w:color="auto"/>
              <w:left w:val="nil"/>
              <w:bottom w:val="single" w:sz="8" w:space="0" w:color="auto"/>
              <w:right w:val="nil"/>
            </w:tcBorders>
            <w:shd w:val="clear" w:color="auto" w:fill="DEEAF6" w:themeFill="accent1" w:themeFillTint="33"/>
            <w:tcMar>
              <w:top w:w="15" w:type="dxa"/>
              <w:left w:w="15" w:type="dxa"/>
              <w:right w:w="15" w:type="dxa"/>
            </w:tcMar>
            <w:vAlign w:val="center"/>
          </w:tcPr>
          <w:p w14:paraId="4562EB55" w14:textId="77777777" w:rsidR="00770752" w:rsidRDefault="00770752" w:rsidP="00752EB6">
            <w:pPr>
              <w:spacing w:after="0"/>
              <w:jc w:val="right"/>
            </w:pPr>
            <w:r w:rsidRPr="6D2EF39E">
              <w:rPr>
                <w:rFonts w:ascii="Calibri" w:eastAsia="Calibri" w:hAnsi="Calibri" w:cs="Calibri"/>
                <w:b/>
                <w:bCs/>
                <w:color w:val="000000" w:themeColor="text1"/>
                <w:sz w:val="16"/>
                <w:szCs w:val="16"/>
              </w:rPr>
              <w:t>9.189.566</w:t>
            </w:r>
          </w:p>
        </w:tc>
        <w:tc>
          <w:tcPr>
            <w:tcW w:w="1134" w:type="dxa"/>
            <w:tcBorders>
              <w:top w:val="single" w:sz="8" w:space="0" w:color="auto"/>
              <w:left w:val="nil"/>
              <w:bottom w:val="single" w:sz="8" w:space="0" w:color="auto"/>
              <w:right w:val="nil"/>
            </w:tcBorders>
            <w:shd w:val="clear" w:color="auto" w:fill="DEEAF6" w:themeFill="accent1" w:themeFillTint="33"/>
            <w:tcMar>
              <w:top w:w="15" w:type="dxa"/>
              <w:left w:w="15" w:type="dxa"/>
              <w:right w:w="15" w:type="dxa"/>
            </w:tcMar>
            <w:vAlign w:val="center"/>
          </w:tcPr>
          <w:p w14:paraId="7EEAF531" w14:textId="77777777" w:rsidR="00770752" w:rsidRDefault="00770752" w:rsidP="00752EB6">
            <w:pPr>
              <w:spacing w:after="0"/>
              <w:jc w:val="right"/>
            </w:pPr>
            <w:r w:rsidRPr="6D2EF39E">
              <w:rPr>
                <w:rFonts w:ascii="Calibri" w:eastAsia="Calibri" w:hAnsi="Calibri" w:cs="Calibri"/>
                <w:b/>
                <w:bCs/>
                <w:color w:val="000000" w:themeColor="text1"/>
                <w:sz w:val="16"/>
                <w:szCs w:val="16"/>
              </w:rPr>
              <w:t>485.776.799</w:t>
            </w:r>
          </w:p>
        </w:tc>
      </w:tr>
    </w:tbl>
    <w:p w14:paraId="2086351C" w14:textId="397EC605" w:rsidR="00552073" w:rsidRDefault="00D84D81" w:rsidP="000B4E0C">
      <w:pPr>
        <w:pStyle w:val="NormalWeb"/>
        <w:spacing w:before="120" w:beforeAutospacing="0" w:after="0" w:afterAutospacing="0"/>
        <w:jc w:val="both"/>
        <w:rPr>
          <w:rFonts w:cstheme="minorHAnsi"/>
          <w:sz w:val="20"/>
        </w:rPr>
      </w:pPr>
      <w:r w:rsidRPr="00E65230">
        <w:rPr>
          <w:rFonts w:cstheme="minorHAnsi"/>
          <w:sz w:val="20"/>
        </w:rPr>
        <w:t>A conta Terrenos é composta pelos custos relacionados aos processos de desapropriação, custas processuais e taxas cartoriais.</w:t>
      </w:r>
      <w:r w:rsidR="00797A83">
        <w:rPr>
          <w:rFonts w:cstheme="minorHAnsi"/>
          <w:sz w:val="20"/>
        </w:rPr>
        <w:t xml:space="preserve"> </w:t>
      </w:r>
      <w:r w:rsidR="00797A83" w:rsidRPr="00797A83">
        <w:rPr>
          <w:rFonts w:cstheme="minorHAnsi"/>
          <w:sz w:val="20"/>
        </w:rPr>
        <w:t>Ressalta-se que os imóveis desapropriados pela INFRA S.A estão afetados a uma finalidade pública específica, qual seja o serviço público de transporte ferroviário. Trata-se, portanto, de bens de uso especial que, enquanto permanecerem afetados à finalidade pública, possuem características tais como: indisponibilidade, inalienabilidade e imprescritibilidade.</w:t>
      </w:r>
    </w:p>
    <w:p w14:paraId="0ADC6BA2" w14:textId="5BBBCA35" w:rsidR="004B4635" w:rsidRPr="00E65230" w:rsidRDefault="00B51BF9" w:rsidP="00C000AF">
      <w:pPr>
        <w:pStyle w:val="PargrafodaLista"/>
        <w:numPr>
          <w:ilvl w:val="0"/>
          <w:numId w:val="9"/>
        </w:numPr>
        <w:spacing w:before="120"/>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 xml:space="preserve">Outros </w:t>
      </w:r>
      <w:r w:rsidR="00042780">
        <w:rPr>
          <w:rFonts w:eastAsiaTheme="majorEastAsia" w:cstheme="minorHAnsi"/>
          <w:color w:val="2E74B5" w:themeColor="accent1" w:themeShade="BF"/>
          <w:sz w:val="20"/>
        </w:rPr>
        <w:t>E</w:t>
      </w:r>
      <w:r w:rsidRPr="00E65230">
        <w:rPr>
          <w:rFonts w:eastAsiaTheme="majorEastAsia" w:cstheme="minorHAnsi"/>
          <w:color w:val="2E74B5" w:themeColor="accent1" w:themeShade="BF"/>
          <w:sz w:val="20"/>
        </w:rPr>
        <w:t>mpreendimentos</w:t>
      </w:r>
    </w:p>
    <w:tbl>
      <w:tblPr>
        <w:tblW w:w="5000" w:type="pct"/>
        <w:jc w:val="center"/>
        <w:tblCellMar>
          <w:left w:w="70" w:type="dxa"/>
          <w:right w:w="70" w:type="dxa"/>
        </w:tblCellMar>
        <w:tblLook w:val="04A0" w:firstRow="1" w:lastRow="0" w:firstColumn="1" w:lastColumn="0" w:noHBand="0" w:noVBand="1"/>
      </w:tblPr>
      <w:tblGrid>
        <w:gridCol w:w="6948"/>
        <w:gridCol w:w="1173"/>
        <w:gridCol w:w="1173"/>
        <w:gridCol w:w="1173"/>
      </w:tblGrid>
      <w:tr w:rsidR="00BA2846" w:rsidRPr="00FC136C" w14:paraId="3B6D81E5" w14:textId="77777777" w:rsidTr="00DE191C">
        <w:trPr>
          <w:trHeight w:val="227"/>
          <w:jc w:val="center"/>
        </w:trPr>
        <w:tc>
          <w:tcPr>
            <w:tcW w:w="6948" w:type="dxa"/>
            <w:tcBorders>
              <w:top w:val="nil"/>
              <w:left w:val="nil"/>
              <w:bottom w:val="single" w:sz="8" w:space="0" w:color="auto"/>
              <w:right w:val="nil"/>
            </w:tcBorders>
            <w:shd w:val="clear" w:color="000000" w:fill="DEEAF6"/>
            <w:vAlign w:val="center"/>
            <w:hideMark/>
          </w:tcPr>
          <w:p w14:paraId="00DCB135" w14:textId="77777777" w:rsidR="00BA2846" w:rsidRPr="00D756F8" w:rsidRDefault="00BA2846" w:rsidP="00752EB6">
            <w:pPr>
              <w:spacing w:after="0" w:line="240" w:lineRule="auto"/>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Outros Empreendimentos</w:t>
            </w:r>
          </w:p>
        </w:tc>
        <w:tc>
          <w:tcPr>
            <w:tcW w:w="1173" w:type="dxa"/>
            <w:tcBorders>
              <w:top w:val="nil"/>
              <w:left w:val="nil"/>
              <w:bottom w:val="single" w:sz="8" w:space="0" w:color="auto"/>
              <w:right w:val="nil"/>
            </w:tcBorders>
            <w:shd w:val="clear" w:color="000000" w:fill="DEEAF6"/>
            <w:vAlign w:val="center"/>
            <w:hideMark/>
          </w:tcPr>
          <w:p w14:paraId="2D86E96A" w14:textId="77777777"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Custo de Aquisição</w:t>
            </w:r>
          </w:p>
        </w:tc>
        <w:tc>
          <w:tcPr>
            <w:tcW w:w="1173" w:type="dxa"/>
            <w:tcBorders>
              <w:top w:val="nil"/>
              <w:left w:val="nil"/>
              <w:bottom w:val="single" w:sz="8" w:space="0" w:color="auto"/>
              <w:right w:val="nil"/>
            </w:tcBorders>
            <w:shd w:val="clear" w:color="000000" w:fill="DEEAF6"/>
            <w:vAlign w:val="center"/>
            <w:hideMark/>
          </w:tcPr>
          <w:p w14:paraId="2BB552F7" w14:textId="7E81EC98"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Saldo em 31/12/202</w:t>
            </w:r>
            <w:r w:rsidR="00082D88">
              <w:rPr>
                <w:rFonts w:ascii="Calibri" w:eastAsia="Times New Roman" w:hAnsi="Calibri" w:cs="Calibri"/>
                <w:b/>
                <w:color w:val="000000"/>
                <w:sz w:val="16"/>
                <w:szCs w:val="16"/>
              </w:rPr>
              <w:t>3</w:t>
            </w:r>
          </w:p>
        </w:tc>
        <w:tc>
          <w:tcPr>
            <w:tcW w:w="1173" w:type="dxa"/>
            <w:tcBorders>
              <w:top w:val="nil"/>
              <w:left w:val="nil"/>
              <w:bottom w:val="single" w:sz="8" w:space="0" w:color="auto"/>
              <w:right w:val="nil"/>
            </w:tcBorders>
            <w:shd w:val="clear" w:color="000000" w:fill="DEEAF6"/>
            <w:vAlign w:val="center"/>
            <w:hideMark/>
          </w:tcPr>
          <w:p w14:paraId="663C8955" w14:textId="16FC1968"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Saldo em 31/12/202</w:t>
            </w:r>
            <w:r w:rsidR="00082D88">
              <w:rPr>
                <w:rFonts w:ascii="Calibri" w:eastAsia="Times New Roman" w:hAnsi="Calibri" w:cs="Calibri"/>
                <w:b/>
                <w:color w:val="000000"/>
                <w:sz w:val="16"/>
                <w:szCs w:val="16"/>
              </w:rPr>
              <w:t>4</w:t>
            </w:r>
          </w:p>
        </w:tc>
      </w:tr>
      <w:tr w:rsidR="00BA2846" w:rsidRPr="00FC136C" w14:paraId="4921FCC1" w14:textId="77777777" w:rsidTr="00DE191C">
        <w:trPr>
          <w:trHeight w:val="227"/>
          <w:jc w:val="center"/>
        </w:trPr>
        <w:tc>
          <w:tcPr>
            <w:tcW w:w="6948" w:type="dxa"/>
            <w:tcBorders>
              <w:top w:val="nil"/>
              <w:left w:val="nil"/>
              <w:right w:val="nil"/>
            </w:tcBorders>
            <w:shd w:val="clear" w:color="auto" w:fill="auto"/>
            <w:noWrap/>
            <w:vAlign w:val="center"/>
            <w:hideMark/>
          </w:tcPr>
          <w:p w14:paraId="731D01A9" w14:textId="77777777" w:rsidR="00BA2846" w:rsidRPr="00D756F8" w:rsidRDefault="00BA2846" w:rsidP="00752EB6">
            <w:pPr>
              <w:spacing w:after="0" w:line="240" w:lineRule="auto"/>
              <w:rPr>
                <w:rFonts w:ascii="Calibri" w:eastAsia="Times New Roman" w:hAnsi="Calibri" w:cs="Calibri"/>
                <w:color w:val="000000"/>
                <w:sz w:val="16"/>
                <w:szCs w:val="16"/>
              </w:rPr>
            </w:pPr>
            <w:r w:rsidRPr="00D756F8">
              <w:rPr>
                <w:rFonts w:ascii="Calibri" w:eastAsia="Times New Roman" w:hAnsi="Calibri" w:cs="Calibri"/>
                <w:color w:val="000000"/>
                <w:sz w:val="16"/>
                <w:szCs w:val="16"/>
              </w:rPr>
              <w:t>Corredor Ferroviário de Santa Catarina</w:t>
            </w:r>
          </w:p>
        </w:tc>
        <w:tc>
          <w:tcPr>
            <w:tcW w:w="1173" w:type="dxa"/>
            <w:tcBorders>
              <w:top w:val="nil"/>
              <w:left w:val="nil"/>
              <w:right w:val="nil"/>
            </w:tcBorders>
            <w:shd w:val="clear" w:color="auto" w:fill="auto"/>
            <w:noWrap/>
            <w:vAlign w:val="center"/>
            <w:hideMark/>
          </w:tcPr>
          <w:p w14:paraId="3AD59792"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6.122.640</w:t>
            </w:r>
          </w:p>
        </w:tc>
        <w:tc>
          <w:tcPr>
            <w:tcW w:w="1173" w:type="dxa"/>
            <w:tcBorders>
              <w:top w:val="nil"/>
              <w:left w:val="nil"/>
              <w:right w:val="nil"/>
            </w:tcBorders>
            <w:shd w:val="clear" w:color="auto" w:fill="auto"/>
            <w:noWrap/>
            <w:vAlign w:val="center"/>
            <w:hideMark/>
          </w:tcPr>
          <w:p w14:paraId="2F249A86"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6.122.640</w:t>
            </w:r>
          </w:p>
        </w:tc>
        <w:tc>
          <w:tcPr>
            <w:tcW w:w="1173" w:type="dxa"/>
            <w:tcBorders>
              <w:top w:val="nil"/>
              <w:left w:val="nil"/>
              <w:right w:val="nil"/>
            </w:tcBorders>
            <w:shd w:val="clear" w:color="auto" w:fill="auto"/>
            <w:noWrap/>
            <w:vAlign w:val="center"/>
            <w:hideMark/>
          </w:tcPr>
          <w:p w14:paraId="2A48E265"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6.122.640</w:t>
            </w:r>
          </w:p>
        </w:tc>
      </w:tr>
      <w:tr w:rsidR="00BA2846" w:rsidRPr="00FC136C" w14:paraId="297CC919" w14:textId="77777777" w:rsidTr="00DE191C">
        <w:trPr>
          <w:trHeight w:val="227"/>
          <w:jc w:val="center"/>
        </w:trPr>
        <w:tc>
          <w:tcPr>
            <w:tcW w:w="6948" w:type="dxa"/>
            <w:tcBorders>
              <w:left w:val="nil"/>
              <w:right w:val="nil"/>
            </w:tcBorders>
            <w:shd w:val="clear" w:color="auto" w:fill="auto"/>
            <w:noWrap/>
            <w:vAlign w:val="center"/>
            <w:hideMark/>
          </w:tcPr>
          <w:p w14:paraId="37EA5D91" w14:textId="77777777" w:rsidR="00BA2846" w:rsidRPr="00D756F8" w:rsidRDefault="00BA2846" w:rsidP="00752EB6">
            <w:pPr>
              <w:spacing w:after="0" w:line="240" w:lineRule="auto"/>
              <w:rPr>
                <w:rFonts w:ascii="Calibri" w:eastAsia="Times New Roman" w:hAnsi="Calibri" w:cs="Calibri"/>
                <w:color w:val="000000"/>
                <w:sz w:val="16"/>
                <w:szCs w:val="16"/>
              </w:rPr>
            </w:pPr>
            <w:r w:rsidRPr="00D756F8">
              <w:rPr>
                <w:rFonts w:ascii="Calibri" w:eastAsia="Times New Roman" w:hAnsi="Calibri" w:cs="Calibri"/>
                <w:color w:val="000000"/>
                <w:sz w:val="16"/>
                <w:szCs w:val="16"/>
              </w:rPr>
              <w:t>Ferrovia do Pantanal</w:t>
            </w:r>
          </w:p>
        </w:tc>
        <w:tc>
          <w:tcPr>
            <w:tcW w:w="1173" w:type="dxa"/>
            <w:tcBorders>
              <w:left w:val="nil"/>
              <w:right w:val="nil"/>
            </w:tcBorders>
            <w:shd w:val="clear" w:color="auto" w:fill="auto"/>
            <w:noWrap/>
            <w:vAlign w:val="center"/>
            <w:hideMark/>
          </w:tcPr>
          <w:p w14:paraId="35145B45"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5.502.335</w:t>
            </w:r>
          </w:p>
        </w:tc>
        <w:tc>
          <w:tcPr>
            <w:tcW w:w="1173" w:type="dxa"/>
            <w:tcBorders>
              <w:left w:val="nil"/>
              <w:right w:val="nil"/>
            </w:tcBorders>
            <w:shd w:val="clear" w:color="auto" w:fill="auto"/>
            <w:noWrap/>
            <w:vAlign w:val="center"/>
            <w:hideMark/>
          </w:tcPr>
          <w:p w14:paraId="68FE2681"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5.502.335</w:t>
            </w:r>
          </w:p>
        </w:tc>
        <w:tc>
          <w:tcPr>
            <w:tcW w:w="1173" w:type="dxa"/>
            <w:tcBorders>
              <w:left w:val="nil"/>
              <w:right w:val="nil"/>
            </w:tcBorders>
            <w:shd w:val="clear" w:color="auto" w:fill="auto"/>
            <w:noWrap/>
            <w:vAlign w:val="center"/>
            <w:hideMark/>
          </w:tcPr>
          <w:p w14:paraId="791804CB"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5.502.335</w:t>
            </w:r>
          </w:p>
        </w:tc>
      </w:tr>
      <w:tr w:rsidR="00BA2846" w:rsidRPr="00FC136C" w14:paraId="3003B53F" w14:textId="77777777" w:rsidTr="00DE191C">
        <w:trPr>
          <w:trHeight w:val="227"/>
          <w:jc w:val="center"/>
        </w:trPr>
        <w:tc>
          <w:tcPr>
            <w:tcW w:w="6948" w:type="dxa"/>
            <w:tcBorders>
              <w:left w:val="nil"/>
              <w:right w:val="nil"/>
            </w:tcBorders>
            <w:shd w:val="clear" w:color="auto" w:fill="auto"/>
            <w:noWrap/>
            <w:vAlign w:val="center"/>
            <w:hideMark/>
          </w:tcPr>
          <w:p w14:paraId="333B868B" w14:textId="77777777" w:rsidR="00BA2846" w:rsidRPr="00D756F8" w:rsidRDefault="00BA2846" w:rsidP="00752EB6">
            <w:pPr>
              <w:spacing w:after="0" w:line="240" w:lineRule="auto"/>
              <w:rPr>
                <w:rFonts w:ascii="Calibri" w:eastAsia="Times New Roman" w:hAnsi="Calibri" w:cs="Calibri"/>
                <w:color w:val="000000"/>
                <w:sz w:val="16"/>
                <w:szCs w:val="16"/>
              </w:rPr>
            </w:pPr>
            <w:r w:rsidRPr="00D756F8">
              <w:rPr>
                <w:rFonts w:ascii="Calibri" w:eastAsia="Times New Roman" w:hAnsi="Calibri" w:cs="Calibri"/>
                <w:color w:val="000000"/>
                <w:sz w:val="16"/>
                <w:szCs w:val="16"/>
              </w:rPr>
              <w:t xml:space="preserve">EVTEA </w:t>
            </w:r>
            <w:r w:rsidRPr="00D756F8">
              <w:rPr>
                <w:rFonts w:eastAsia="Times New Roman" w:cstheme="minorHAnsi"/>
                <w:color w:val="000000"/>
                <w:sz w:val="16"/>
                <w:szCs w:val="16"/>
              </w:rPr>
              <w:t>–</w:t>
            </w:r>
            <w:r w:rsidRPr="00D756F8">
              <w:rPr>
                <w:rFonts w:ascii="Calibri" w:eastAsia="Times New Roman" w:hAnsi="Calibri" w:cs="Calibri"/>
                <w:color w:val="000000"/>
                <w:sz w:val="16"/>
                <w:szCs w:val="16"/>
              </w:rPr>
              <w:t xml:space="preserve"> Açailândia – Belém</w:t>
            </w:r>
          </w:p>
        </w:tc>
        <w:tc>
          <w:tcPr>
            <w:tcW w:w="1173" w:type="dxa"/>
            <w:tcBorders>
              <w:left w:val="nil"/>
              <w:right w:val="nil"/>
            </w:tcBorders>
            <w:shd w:val="clear" w:color="auto" w:fill="auto"/>
            <w:noWrap/>
            <w:vAlign w:val="center"/>
            <w:hideMark/>
          </w:tcPr>
          <w:p w14:paraId="0DA560C2"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3.625.774</w:t>
            </w:r>
          </w:p>
        </w:tc>
        <w:tc>
          <w:tcPr>
            <w:tcW w:w="1173" w:type="dxa"/>
            <w:tcBorders>
              <w:left w:val="nil"/>
              <w:right w:val="nil"/>
            </w:tcBorders>
            <w:shd w:val="clear" w:color="auto" w:fill="auto"/>
            <w:noWrap/>
            <w:vAlign w:val="center"/>
            <w:hideMark/>
          </w:tcPr>
          <w:p w14:paraId="1C7DB949"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3.625.774</w:t>
            </w:r>
          </w:p>
        </w:tc>
        <w:tc>
          <w:tcPr>
            <w:tcW w:w="1173" w:type="dxa"/>
            <w:tcBorders>
              <w:left w:val="nil"/>
              <w:right w:val="nil"/>
            </w:tcBorders>
            <w:shd w:val="clear" w:color="auto" w:fill="auto"/>
            <w:noWrap/>
            <w:vAlign w:val="center"/>
            <w:hideMark/>
          </w:tcPr>
          <w:p w14:paraId="1E39F1F3"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3.625.774</w:t>
            </w:r>
          </w:p>
        </w:tc>
      </w:tr>
      <w:tr w:rsidR="00BA2846" w:rsidRPr="00FC136C" w14:paraId="2A415C95" w14:textId="77777777" w:rsidTr="00DE191C">
        <w:trPr>
          <w:trHeight w:val="227"/>
          <w:jc w:val="center"/>
        </w:trPr>
        <w:tc>
          <w:tcPr>
            <w:tcW w:w="6948" w:type="dxa"/>
            <w:tcBorders>
              <w:left w:val="nil"/>
              <w:right w:val="nil"/>
            </w:tcBorders>
            <w:shd w:val="clear" w:color="auto" w:fill="auto"/>
            <w:noWrap/>
            <w:vAlign w:val="center"/>
            <w:hideMark/>
          </w:tcPr>
          <w:p w14:paraId="194CEDAF" w14:textId="77777777" w:rsidR="00BA2846" w:rsidRPr="00D756F8" w:rsidRDefault="00BA2846" w:rsidP="00752EB6">
            <w:pPr>
              <w:spacing w:after="0" w:line="240" w:lineRule="auto"/>
              <w:rPr>
                <w:rFonts w:ascii="Calibri" w:eastAsia="Times New Roman" w:hAnsi="Calibri" w:cs="Calibri"/>
                <w:color w:val="000000"/>
                <w:sz w:val="16"/>
                <w:szCs w:val="16"/>
              </w:rPr>
            </w:pPr>
            <w:r w:rsidRPr="00D756F8">
              <w:rPr>
                <w:rFonts w:ascii="Calibri" w:eastAsia="Times New Roman" w:hAnsi="Calibri" w:cs="Calibri"/>
                <w:color w:val="000000"/>
                <w:sz w:val="16"/>
                <w:szCs w:val="16"/>
              </w:rPr>
              <w:t xml:space="preserve">FNS </w:t>
            </w:r>
            <w:r w:rsidRPr="00D756F8">
              <w:rPr>
                <w:rFonts w:eastAsia="Times New Roman" w:cstheme="minorHAnsi"/>
                <w:color w:val="000000"/>
                <w:sz w:val="16"/>
                <w:szCs w:val="16"/>
              </w:rPr>
              <w:t>–</w:t>
            </w:r>
            <w:r w:rsidRPr="00D756F8">
              <w:rPr>
                <w:rFonts w:ascii="Calibri" w:eastAsia="Times New Roman" w:hAnsi="Calibri" w:cs="Calibri"/>
                <w:color w:val="000000"/>
                <w:sz w:val="16"/>
                <w:szCs w:val="16"/>
              </w:rPr>
              <w:t xml:space="preserve"> Panorama/SP </w:t>
            </w:r>
            <w:r w:rsidRPr="00D756F8">
              <w:rPr>
                <w:rFonts w:eastAsia="Times New Roman" w:cstheme="minorHAnsi"/>
                <w:color w:val="000000"/>
                <w:sz w:val="16"/>
                <w:szCs w:val="16"/>
              </w:rPr>
              <w:t>–</w:t>
            </w:r>
            <w:r w:rsidRPr="00D756F8">
              <w:rPr>
                <w:rFonts w:ascii="Calibri" w:eastAsia="Times New Roman" w:hAnsi="Calibri" w:cs="Calibri"/>
                <w:color w:val="000000"/>
                <w:sz w:val="16"/>
                <w:szCs w:val="16"/>
              </w:rPr>
              <w:t xml:space="preserve"> Chapecó/ SC</w:t>
            </w:r>
          </w:p>
        </w:tc>
        <w:tc>
          <w:tcPr>
            <w:tcW w:w="1173" w:type="dxa"/>
            <w:tcBorders>
              <w:left w:val="nil"/>
              <w:right w:val="nil"/>
            </w:tcBorders>
            <w:shd w:val="clear" w:color="auto" w:fill="auto"/>
            <w:noWrap/>
            <w:vAlign w:val="center"/>
            <w:hideMark/>
          </w:tcPr>
          <w:p w14:paraId="3747041A"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4.549.355</w:t>
            </w:r>
          </w:p>
        </w:tc>
        <w:tc>
          <w:tcPr>
            <w:tcW w:w="1173" w:type="dxa"/>
            <w:tcBorders>
              <w:left w:val="nil"/>
              <w:right w:val="nil"/>
            </w:tcBorders>
            <w:shd w:val="clear" w:color="auto" w:fill="auto"/>
            <w:noWrap/>
            <w:vAlign w:val="center"/>
            <w:hideMark/>
          </w:tcPr>
          <w:p w14:paraId="3A7535C2"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4.549.355</w:t>
            </w:r>
          </w:p>
        </w:tc>
        <w:tc>
          <w:tcPr>
            <w:tcW w:w="1173" w:type="dxa"/>
            <w:tcBorders>
              <w:left w:val="nil"/>
              <w:right w:val="nil"/>
            </w:tcBorders>
            <w:shd w:val="clear" w:color="auto" w:fill="auto"/>
            <w:noWrap/>
            <w:vAlign w:val="center"/>
            <w:hideMark/>
          </w:tcPr>
          <w:p w14:paraId="3D9C24ED"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4.549.355</w:t>
            </w:r>
          </w:p>
        </w:tc>
      </w:tr>
      <w:tr w:rsidR="00BA2846" w:rsidRPr="00FC136C" w14:paraId="52E633DB" w14:textId="77777777" w:rsidTr="00DE191C">
        <w:trPr>
          <w:trHeight w:val="227"/>
          <w:jc w:val="center"/>
        </w:trPr>
        <w:tc>
          <w:tcPr>
            <w:tcW w:w="6948" w:type="dxa"/>
            <w:tcBorders>
              <w:left w:val="nil"/>
              <w:right w:val="nil"/>
            </w:tcBorders>
            <w:shd w:val="clear" w:color="auto" w:fill="auto"/>
            <w:noWrap/>
            <w:vAlign w:val="center"/>
            <w:hideMark/>
          </w:tcPr>
          <w:p w14:paraId="28899AB8" w14:textId="77777777" w:rsidR="00BA2846" w:rsidRPr="00D756F8" w:rsidRDefault="00BA2846" w:rsidP="00752EB6">
            <w:pPr>
              <w:spacing w:after="0" w:line="240" w:lineRule="auto"/>
              <w:rPr>
                <w:rFonts w:ascii="Calibri" w:eastAsia="Times New Roman" w:hAnsi="Calibri" w:cs="Calibri"/>
                <w:color w:val="000000"/>
                <w:sz w:val="16"/>
                <w:szCs w:val="16"/>
              </w:rPr>
            </w:pPr>
            <w:hyperlink r:id="rId18" w:history="1">
              <w:r w:rsidRPr="00D756F8">
                <w:rPr>
                  <w:rFonts w:ascii="Calibri" w:eastAsia="Times New Roman" w:hAnsi="Calibri" w:cs="Calibri"/>
                  <w:color w:val="000000"/>
                  <w:sz w:val="16"/>
                  <w:szCs w:val="16"/>
                </w:rPr>
                <w:t xml:space="preserve">FNS </w:t>
              </w:r>
              <w:r w:rsidRPr="00D756F8">
                <w:rPr>
                  <w:rFonts w:eastAsia="Times New Roman" w:cstheme="minorHAnsi"/>
                  <w:color w:val="000000"/>
                  <w:sz w:val="16"/>
                  <w:szCs w:val="16"/>
                </w:rPr>
                <w:t>–</w:t>
              </w:r>
              <w:r w:rsidRPr="00D756F8">
                <w:rPr>
                  <w:rFonts w:ascii="Calibri" w:eastAsia="Times New Roman" w:hAnsi="Calibri" w:cs="Calibri"/>
                  <w:color w:val="000000"/>
                  <w:sz w:val="16"/>
                  <w:szCs w:val="16"/>
                </w:rPr>
                <w:t xml:space="preserve"> Chapecó/SC </w:t>
              </w:r>
              <w:r w:rsidRPr="00D756F8">
                <w:rPr>
                  <w:rFonts w:eastAsia="Times New Roman" w:cstheme="minorHAnsi"/>
                  <w:color w:val="000000"/>
                  <w:sz w:val="16"/>
                  <w:szCs w:val="16"/>
                </w:rPr>
                <w:t>–</w:t>
              </w:r>
              <w:r w:rsidRPr="00D756F8">
                <w:rPr>
                  <w:rFonts w:ascii="Calibri" w:eastAsia="Times New Roman" w:hAnsi="Calibri" w:cs="Calibri"/>
                  <w:color w:val="000000"/>
                  <w:sz w:val="16"/>
                  <w:szCs w:val="16"/>
                </w:rPr>
                <w:t xml:space="preserve"> Porto Rio Grande do Sul/ RS</w:t>
              </w:r>
            </w:hyperlink>
          </w:p>
        </w:tc>
        <w:tc>
          <w:tcPr>
            <w:tcW w:w="1173" w:type="dxa"/>
            <w:tcBorders>
              <w:left w:val="nil"/>
              <w:right w:val="nil"/>
            </w:tcBorders>
            <w:shd w:val="clear" w:color="auto" w:fill="auto"/>
            <w:noWrap/>
            <w:vAlign w:val="center"/>
            <w:hideMark/>
          </w:tcPr>
          <w:p w14:paraId="42014F79"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5.724.983</w:t>
            </w:r>
          </w:p>
        </w:tc>
        <w:tc>
          <w:tcPr>
            <w:tcW w:w="1173" w:type="dxa"/>
            <w:tcBorders>
              <w:left w:val="nil"/>
              <w:right w:val="nil"/>
            </w:tcBorders>
            <w:shd w:val="clear" w:color="auto" w:fill="auto"/>
            <w:noWrap/>
            <w:vAlign w:val="center"/>
            <w:hideMark/>
          </w:tcPr>
          <w:p w14:paraId="4752AB80"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5.724.983</w:t>
            </w:r>
          </w:p>
        </w:tc>
        <w:tc>
          <w:tcPr>
            <w:tcW w:w="1173" w:type="dxa"/>
            <w:tcBorders>
              <w:left w:val="nil"/>
              <w:right w:val="nil"/>
            </w:tcBorders>
            <w:shd w:val="clear" w:color="auto" w:fill="auto"/>
            <w:noWrap/>
            <w:vAlign w:val="center"/>
            <w:hideMark/>
          </w:tcPr>
          <w:p w14:paraId="498A1F79"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5.724.983</w:t>
            </w:r>
          </w:p>
        </w:tc>
      </w:tr>
      <w:tr w:rsidR="00BA2846" w:rsidRPr="00FC136C" w14:paraId="62F7BF86" w14:textId="77777777" w:rsidTr="00DE191C">
        <w:trPr>
          <w:trHeight w:val="227"/>
          <w:jc w:val="center"/>
        </w:trPr>
        <w:tc>
          <w:tcPr>
            <w:tcW w:w="6948" w:type="dxa"/>
            <w:tcBorders>
              <w:left w:val="nil"/>
              <w:bottom w:val="nil"/>
              <w:right w:val="nil"/>
            </w:tcBorders>
            <w:shd w:val="clear" w:color="auto" w:fill="auto"/>
            <w:noWrap/>
            <w:vAlign w:val="center"/>
            <w:hideMark/>
          </w:tcPr>
          <w:p w14:paraId="64603CA9" w14:textId="77777777" w:rsidR="00BA2846" w:rsidRPr="00D756F8" w:rsidRDefault="00BA2846" w:rsidP="00752EB6">
            <w:pPr>
              <w:spacing w:after="0" w:line="240" w:lineRule="auto"/>
              <w:rPr>
                <w:rFonts w:ascii="Calibri" w:eastAsia="Times New Roman" w:hAnsi="Calibri" w:cs="Calibri"/>
                <w:color w:val="000000"/>
                <w:sz w:val="16"/>
                <w:szCs w:val="16"/>
              </w:rPr>
            </w:pPr>
            <w:hyperlink r:id="rId19" w:history="1">
              <w:r w:rsidRPr="00D756F8">
                <w:rPr>
                  <w:rFonts w:ascii="Calibri" w:eastAsia="Times New Roman" w:hAnsi="Calibri" w:cs="Calibri"/>
                  <w:color w:val="000000"/>
                  <w:sz w:val="16"/>
                  <w:szCs w:val="16"/>
                </w:rPr>
                <w:t>Demais</w:t>
              </w:r>
            </w:hyperlink>
          </w:p>
        </w:tc>
        <w:tc>
          <w:tcPr>
            <w:tcW w:w="1173" w:type="dxa"/>
            <w:tcBorders>
              <w:left w:val="nil"/>
              <w:bottom w:val="nil"/>
              <w:right w:val="nil"/>
            </w:tcBorders>
            <w:shd w:val="clear" w:color="auto" w:fill="auto"/>
            <w:noWrap/>
            <w:vAlign w:val="center"/>
            <w:hideMark/>
          </w:tcPr>
          <w:p w14:paraId="5B041302"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32.874</w:t>
            </w:r>
          </w:p>
        </w:tc>
        <w:tc>
          <w:tcPr>
            <w:tcW w:w="1173" w:type="dxa"/>
            <w:tcBorders>
              <w:left w:val="nil"/>
              <w:bottom w:val="nil"/>
              <w:right w:val="nil"/>
            </w:tcBorders>
            <w:shd w:val="clear" w:color="auto" w:fill="auto"/>
            <w:noWrap/>
            <w:vAlign w:val="center"/>
            <w:hideMark/>
          </w:tcPr>
          <w:p w14:paraId="465A17FB"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32.874</w:t>
            </w:r>
          </w:p>
        </w:tc>
        <w:tc>
          <w:tcPr>
            <w:tcW w:w="1173" w:type="dxa"/>
            <w:tcBorders>
              <w:left w:val="nil"/>
              <w:bottom w:val="nil"/>
              <w:right w:val="nil"/>
            </w:tcBorders>
            <w:shd w:val="clear" w:color="auto" w:fill="auto"/>
            <w:noWrap/>
            <w:vAlign w:val="center"/>
            <w:hideMark/>
          </w:tcPr>
          <w:p w14:paraId="0956D360" w14:textId="77777777" w:rsidR="00BA2846" w:rsidRPr="00D756F8" w:rsidRDefault="00BA2846" w:rsidP="00752EB6">
            <w:pPr>
              <w:spacing w:after="0" w:line="240" w:lineRule="auto"/>
              <w:jc w:val="right"/>
              <w:rPr>
                <w:rFonts w:ascii="Calibri" w:eastAsia="Times New Roman" w:hAnsi="Calibri" w:cs="Calibri"/>
                <w:color w:val="000000"/>
                <w:sz w:val="16"/>
                <w:szCs w:val="16"/>
              </w:rPr>
            </w:pPr>
            <w:r w:rsidRPr="00D756F8">
              <w:rPr>
                <w:rFonts w:ascii="Calibri" w:eastAsia="Times New Roman" w:hAnsi="Calibri" w:cs="Calibri"/>
                <w:color w:val="000000"/>
                <w:sz w:val="16"/>
                <w:szCs w:val="16"/>
              </w:rPr>
              <w:t>32.874</w:t>
            </w:r>
          </w:p>
        </w:tc>
      </w:tr>
      <w:tr w:rsidR="00BA2846" w:rsidRPr="00FC136C" w14:paraId="2C88CD8F" w14:textId="77777777" w:rsidTr="00DE191C">
        <w:trPr>
          <w:trHeight w:val="227"/>
          <w:jc w:val="center"/>
        </w:trPr>
        <w:tc>
          <w:tcPr>
            <w:tcW w:w="6948" w:type="dxa"/>
            <w:tcBorders>
              <w:top w:val="single" w:sz="8" w:space="0" w:color="auto"/>
              <w:left w:val="nil"/>
              <w:bottom w:val="single" w:sz="8" w:space="0" w:color="auto"/>
              <w:right w:val="nil"/>
            </w:tcBorders>
            <w:shd w:val="clear" w:color="000000" w:fill="DEEAF6"/>
            <w:noWrap/>
            <w:vAlign w:val="center"/>
            <w:hideMark/>
          </w:tcPr>
          <w:p w14:paraId="557B539E" w14:textId="77777777" w:rsidR="00BA2846" w:rsidRPr="00D756F8" w:rsidRDefault="00BA2846" w:rsidP="00752EB6">
            <w:pPr>
              <w:spacing w:after="0" w:line="240" w:lineRule="auto"/>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Total</w:t>
            </w:r>
          </w:p>
        </w:tc>
        <w:tc>
          <w:tcPr>
            <w:tcW w:w="1173" w:type="dxa"/>
            <w:tcBorders>
              <w:top w:val="single" w:sz="8" w:space="0" w:color="auto"/>
              <w:left w:val="nil"/>
              <w:bottom w:val="single" w:sz="8" w:space="0" w:color="auto"/>
              <w:right w:val="nil"/>
            </w:tcBorders>
            <w:shd w:val="clear" w:color="000000" w:fill="DEEAF6"/>
            <w:noWrap/>
            <w:vAlign w:val="center"/>
            <w:hideMark/>
          </w:tcPr>
          <w:p w14:paraId="7743A95D" w14:textId="77777777"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25.557.961</w:t>
            </w:r>
          </w:p>
        </w:tc>
        <w:tc>
          <w:tcPr>
            <w:tcW w:w="1173" w:type="dxa"/>
            <w:tcBorders>
              <w:top w:val="single" w:sz="8" w:space="0" w:color="auto"/>
              <w:left w:val="nil"/>
              <w:bottom w:val="single" w:sz="8" w:space="0" w:color="auto"/>
              <w:right w:val="nil"/>
            </w:tcBorders>
            <w:shd w:val="clear" w:color="000000" w:fill="DEEAF6"/>
            <w:noWrap/>
            <w:vAlign w:val="center"/>
            <w:hideMark/>
          </w:tcPr>
          <w:p w14:paraId="79C5543C" w14:textId="77777777"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25.557.961</w:t>
            </w:r>
          </w:p>
        </w:tc>
        <w:tc>
          <w:tcPr>
            <w:tcW w:w="1173" w:type="dxa"/>
            <w:tcBorders>
              <w:top w:val="single" w:sz="8" w:space="0" w:color="auto"/>
              <w:left w:val="nil"/>
              <w:bottom w:val="single" w:sz="8" w:space="0" w:color="auto"/>
              <w:right w:val="nil"/>
            </w:tcBorders>
            <w:shd w:val="clear" w:color="000000" w:fill="DEEAF6"/>
            <w:noWrap/>
            <w:vAlign w:val="center"/>
            <w:hideMark/>
          </w:tcPr>
          <w:p w14:paraId="223D80F4" w14:textId="77777777" w:rsidR="00BA2846" w:rsidRPr="00D756F8" w:rsidRDefault="00BA2846" w:rsidP="00752EB6">
            <w:pPr>
              <w:spacing w:after="0" w:line="240" w:lineRule="auto"/>
              <w:jc w:val="right"/>
              <w:rPr>
                <w:rFonts w:ascii="Calibri" w:eastAsia="Times New Roman" w:hAnsi="Calibri" w:cs="Calibri"/>
                <w:b/>
                <w:color w:val="000000"/>
                <w:sz w:val="16"/>
                <w:szCs w:val="16"/>
              </w:rPr>
            </w:pPr>
            <w:r w:rsidRPr="00D756F8">
              <w:rPr>
                <w:rFonts w:ascii="Calibri" w:eastAsia="Times New Roman" w:hAnsi="Calibri" w:cs="Calibri"/>
                <w:b/>
                <w:color w:val="000000"/>
                <w:sz w:val="16"/>
                <w:szCs w:val="16"/>
              </w:rPr>
              <w:t>25.557.961</w:t>
            </w:r>
          </w:p>
        </w:tc>
      </w:tr>
    </w:tbl>
    <w:p w14:paraId="28F53F28" w14:textId="77777777" w:rsidR="00DE191C" w:rsidRPr="00DE191C" w:rsidRDefault="00DE191C" w:rsidP="00DE191C">
      <w:pPr>
        <w:autoSpaceDE w:val="0"/>
        <w:autoSpaceDN w:val="0"/>
        <w:adjustRightInd w:val="0"/>
        <w:spacing w:before="120"/>
        <w:jc w:val="both"/>
        <w:rPr>
          <w:rFonts w:cstheme="minorHAnsi"/>
          <w:sz w:val="20"/>
          <w:shd w:val="clear" w:color="auto" w:fill="FFFFFF"/>
        </w:rPr>
      </w:pPr>
      <w:r w:rsidRPr="00DE191C">
        <w:rPr>
          <w:rFonts w:cstheme="minorHAnsi"/>
          <w:sz w:val="20"/>
          <w:shd w:val="clear" w:color="auto" w:fill="FFFFFF"/>
        </w:rPr>
        <w:t xml:space="preserve">Compete à Infra S.A., em conformidade com as diretrizes do Ministério dos Transportes, desenvolver estudos e projetos de obras de Infraestrutura ferroviária. A título de exemplo, em 2014 foi contratada a elaboração do EVTEA e do Projeto Básico do Corredor Ferroviário de Santa Catarina – EF 280 que visa ligar a EF 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6384B812" w14:textId="77777777" w:rsidR="00DE191C" w:rsidRPr="00DE191C" w:rsidRDefault="00DE191C" w:rsidP="00DE191C">
      <w:pPr>
        <w:autoSpaceDE w:val="0"/>
        <w:autoSpaceDN w:val="0"/>
        <w:adjustRightInd w:val="0"/>
        <w:spacing w:before="120"/>
        <w:jc w:val="both"/>
        <w:rPr>
          <w:rFonts w:cstheme="minorHAnsi"/>
          <w:sz w:val="20"/>
          <w:shd w:val="clear" w:color="auto" w:fill="FFFFFF"/>
        </w:rPr>
      </w:pPr>
      <w:r w:rsidRPr="00DE191C">
        <w:rPr>
          <w:rFonts w:cstheme="minorHAnsi"/>
          <w:sz w:val="20"/>
          <w:shd w:val="clear" w:color="auto" w:fill="FFFFFF"/>
        </w:rPr>
        <w:t>Por interconectar-se com projetos previstos, como a Ferrovia Litorânea e a extensão prevista da Ferrovia Norte-Sul – 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 116). O projeto, ainda, interliga-se logisticamente aos cincos portos existentes em Santa Catarina, através da conexão prevista com a Ferrovia Litorânea.</w:t>
      </w:r>
    </w:p>
    <w:p w14:paraId="759682DF" w14:textId="77777777" w:rsidR="00DE191C" w:rsidRPr="00DE191C" w:rsidRDefault="00DE191C" w:rsidP="00DE191C">
      <w:pPr>
        <w:autoSpaceDE w:val="0"/>
        <w:autoSpaceDN w:val="0"/>
        <w:adjustRightInd w:val="0"/>
        <w:spacing w:before="120"/>
        <w:jc w:val="both"/>
        <w:rPr>
          <w:rFonts w:cstheme="minorHAnsi"/>
          <w:sz w:val="20"/>
          <w:shd w:val="clear" w:color="auto" w:fill="FFFFFF"/>
        </w:rPr>
      </w:pPr>
      <w:r w:rsidRPr="00DE191C">
        <w:rPr>
          <w:rFonts w:cstheme="minorHAnsi"/>
          <w:sz w:val="20"/>
          <w:shd w:val="clear" w:color="auto" w:fill="FFFFFF"/>
        </w:rPr>
        <w:t>O início deste estudo teve embasamento no Ofício n° 621/2012/SE/MT de 29 de outubro de 2012, o qual define que o EVTEA seria realizado pela Infra S.A. Ressalta-se que esse estudo foi finalizado em 2020.</w:t>
      </w:r>
    </w:p>
    <w:p w14:paraId="7A190804" w14:textId="2CDBA2BC" w:rsidR="00FD1FB1" w:rsidRDefault="00DE191C" w:rsidP="00DE191C">
      <w:pPr>
        <w:autoSpaceDE w:val="0"/>
        <w:autoSpaceDN w:val="0"/>
        <w:adjustRightInd w:val="0"/>
        <w:spacing w:before="120"/>
        <w:jc w:val="both"/>
        <w:rPr>
          <w:rFonts w:cstheme="minorHAnsi"/>
          <w:sz w:val="20"/>
          <w:shd w:val="clear" w:color="auto" w:fill="FFFFFF"/>
        </w:rPr>
      </w:pPr>
      <w:r w:rsidRPr="00DE191C">
        <w:rPr>
          <w:rFonts w:cstheme="minorHAnsi"/>
          <w:sz w:val="20"/>
          <w:shd w:val="clear" w:color="auto" w:fill="FFFFFF"/>
        </w:rPr>
        <w:t xml:space="preserve">A Ferrovia do Pantanal – EF 267, com aproximadamente 734km, foi outorgada à Infra S.A. estabelecendo o direito de construção, uso e gozo por meio da Lei n° 11.772/2008. Esta ferrovia fará a conexão da FNS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FNS. Dentre as demandas para essa ferrovia destacam-se também as cargas no sentido importação (mar – continente), como fertilizantes e cargas gerais, além das cargas para consumo interno. O EVTEA desse trecho, contratado pela Infra S.A., foi finalizado em maio 2012, consumindo recursos da ordem de R$ 5,5 milhões.  </w:t>
      </w:r>
    </w:p>
    <w:p w14:paraId="23BCDAC3" w14:textId="0F5E4325" w:rsidR="006A16BF" w:rsidRPr="00E65230" w:rsidRDefault="006A16BF" w:rsidP="00C000AF">
      <w:pPr>
        <w:pStyle w:val="PargrafodaLista"/>
        <w:numPr>
          <w:ilvl w:val="0"/>
          <w:numId w:val="9"/>
        </w:numPr>
        <w:spacing w:before="120"/>
        <w:ind w:left="425" w:hanging="425"/>
        <w:contextualSpacing w:val="0"/>
        <w:rPr>
          <w:rFonts w:cstheme="minorHAnsi"/>
          <w:sz w:val="20"/>
        </w:rPr>
      </w:pPr>
      <w:r w:rsidRPr="00E65230">
        <w:rPr>
          <w:rFonts w:eastAsiaTheme="majorEastAsia" w:cstheme="minorHAnsi"/>
          <w:color w:val="2E74B5" w:themeColor="accent1" w:themeShade="BF"/>
          <w:sz w:val="20"/>
        </w:rPr>
        <w:t xml:space="preserve">Outros </w:t>
      </w:r>
      <w:r w:rsidR="00DB1802">
        <w:rPr>
          <w:rFonts w:eastAsiaTheme="majorEastAsia" w:cstheme="minorHAnsi"/>
          <w:color w:val="2E74B5" w:themeColor="accent1" w:themeShade="BF"/>
          <w:sz w:val="20"/>
        </w:rPr>
        <w:t>B</w:t>
      </w:r>
      <w:r w:rsidRPr="00E65230">
        <w:rPr>
          <w:rFonts w:eastAsiaTheme="majorEastAsia" w:cstheme="minorHAnsi"/>
          <w:color w:val="2E74B5" w:themeColor="accent1" w:themeShade="BF"/>
          <w:sz w:val="20"/>
        </w:rPr>
        <w:t>ens</w:t>
      </w:r>
    </w:p>
    <w:tbl>
      <w:tblPr>
        <w:tblW w:w="5000" w:type="pct"/>
        <w:tblCellMar>
          <w:left w:w="70" w:type="dxa"/>
          <w:right w:w="70" w:type="dxa"/>
        </w:tblCellMar>
        <w:tblLook w:val="04A0" w:firstRow="1" w:lastRow="0" w:firstColumn="1" w:lastColumn="0" w:noHBand="0" w:noVBand="1"/>
      </w:tblPr>
      <w:tblGrid>
        <w:gridCol w:w="3412"/>
        <w:gridCol w:w="1175"/>
        <w:gridCol w:w="1176"/>
        <w:gridCol w:w="1176"/>
        <w:gridCol w:w="1176"/>
        <w:gridCol w:w="1176"/>
        <w:gridCol w:w="1176"/>
      </w:tblGrid>
      <w:tr w:rsidR="00E54AB2" w:rsidRPr="002D0E80" w14:paraId="6A00CCD5" w14:textId="77777777" w:rsidTr="007C11FA">
        <w:trPr>
          <w:trHeight w:val="227"/>
        </w:trPr>
        <w:tc>
          <w:tcPr>
            <w:tcW w:w="3292" w:type="dxa"/>
            <w:tcBorders>
              <w:top w:val="nil"/>
              <w:left w:val="nil"/>
              <w:bottom w:val="single" w:sz="8" w:space="0" w:color="auto"/>
              <w:right w:val="nil"/>
            </w:tcBorders>
            <w:shd w:val="clear" w:color="000000" w:fill="DEEAF6"/>
            <w:vAlign w:val="center"/>
            <w:hideMark/>
          </w:tcPr>
          <w:p w14:paraId="01248ECB" w14:textId="77777777" w:rsidR="00E54AB2" w:rsidRPr="002D0E80" w:rsidRDefault="00E54AB2" w:rsidP="005D1D58">
            <w:pPr>
              <w:spacing w:after="0" w:line="240" w:lineRule="auto"/>
              <w:rPr>
                <w:rFonts w:ascii="Calibri" w:eastAsia="Times New Roman" w:hAnsi="Calibri" w:cs="Calibri"/>
                <w:b/>
                <w:bCs/>
                <w:color w:val="000000"/>
                <w:sz w:val="16"/>
                <w:szCs w:val="16"/>
              </w:rPr>
            </w:pPr>
            <w:bookmarkStart w:id="50" w:name="_Toc152230739"/>
            <w:r w:rsidRPr="002D0E80">
              <w:rPr>
                <w:rFonts w:ascii="Calibri" w:eastAsia="Times New Roman" w:hAnsi="Calibri" w:cs="Calibri"/>
                <w:b/>
                <w:bCs/>
                <w:color w:val="000000"/>
                <w:sz w:val="16"/>
                <w:szCs w:val="16"/>
              </w:rPr>
              <w:t>Outros bens</w:t>
            </w:r>
          </w:p>
        </w:tc>
        <w:tc>
          <w:tcPr>
            <w:tcW w:w="1134" w:type="dxa"/>
            <w:tcBorders>
              <w:top w:val="nil"/>
              <w:left w:val="nil"/>
              <w:bottom w:val="single" w:sz="8" w:space="0" w:color="auto"/>
              <w:right w:val="nil"/>
            </w:tcBorders>
            <w:shd w:val="clear" w:color="000000" w:fill="DEEAF6"/>
            <w:vAlign w:val="center"/>
            <w:hideMark/>
          </w:tcPr>
          <w:p w14:paraId="7286A58F"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Custo de Aquisição</w:t>
            </w:r>
          </w:p>
        </w:tc>
        <w:tc>
          <w:tcPr>
            <w:tcW w:w="1134" w:type="dxa"/>
            <w:tcBorders>
              <w:top w:val="nil"/>
              <w:left w:val="nil"/>
              <w:bottom w:val="single" w:sz="8" w:space="0" w:color="auto"/>
              <w:right w:val="nil"/>
            </w:tcBorders>
            <w:shd w:val="clear" w:color="000000" w:fill="DEEAF6"/>
            <w:vAlign w:val="center"/>
            <w:hideMark/>
          </w:tcPr>
          <w:p w14:paraId="328A5869"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Taxa de Depreciação %</w:t>
            </w:r>
          </w:p>
        </w:tc>
        <w:tc>
          <w:tcPr>
            <w:tcW w:w="1134" w:type="dxa"/>
            <w:tcBorders>
              <w:top w:val="nil"/>
              <w:left w:val="nil"/>
              <w:bottom w:val="single" w:sz="8" w:space="0" w:color="auto"/>
              <w:right w:val="nil"/>
            </w:tcBorders>
            <w:shd w:val="clear" w:color="000000" w:fill="DEEAF6"/>
            <w:vAlign w:val="center"/>
            <w:hideMark/>
          </w:tcPr>
          <w:p w14:paraId="006E8419"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Depreciação Acumulada 31/12/2023</w:t>
            </w:r>
          </w:p>
        </w:tc>
        <w:tc>
          <w:tcPr>
            <w:tcW w:w="1134" w:type="dxa"/>
            <w:tcBorders>
              <w:top w:val="nil"/>
              <w:left w:val="nil"/>
              <w:bottom w:val="single" w:sz="8" w:space="0" w:color="auto"/>
              <w:right w:val="nil"/>
            </w:tcBorders>
            <w:shd w:val="clear" w:color="000000" w:fill="DEEAF6"/>
            <w:vAlign w:val="center"/>
            <w:hideMark/>
          </w:tcPr>
          <w:p w14:paraId="2ACE5F4B"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4A2A7A2B"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Depreciação do Período</w:t>
            </w:r>
          </w:p>
        </w:tc>
        <w:tc>
          <w:tcPr>
            <w:tcW w:w="1134" w:type="dxa"/>
            <w:tcBorders>
              <w:top w:val="nil"/>
              <w:left w:val="nil"/>
              <w:bottom w:val="single" w:sz="8" w:space="0" w:color="auto"/>
              <w:right w:val="nil"/>
            </w:tcBorders>
            <w:shd w:val="clear" w:color="000000" w:fill="DEEAF6"/>
            <w:vAlign w:val="center"/>
            <w:hideMark/>
          </w:tcPr>
          <w:p w14:paraId="5A9D9242" w14:textId="77777777" w:rsidR="00E54AB2" w:rsidRPr="002D0E80" w:rsidRDefault="00E54AB2" w:rsidP="00752EB6">
            <w:pPr>
              <w:spacing w:after="0" w:line="240" w:lineRule="auto"/>
              <w:jc w:val="center"/>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Saldo em 31/03/2024</w:t>
            </w:r>
          </w:p>
        </w:tc>
      </w:tr>
      <w:tr w:rsidR="00E54AB2" w:rsidRPr="002D0E80" w14:paraId="6819EB51" w14:textId="77777777" w:rsidTr="007C11FA">
        <w:trPr>
          <w:trHeight w:val="227"/>
        </w:trPr>
        <w:tc>
          <w:tcPr>
            <w:tcW w:w="3292" w:type="dxa"/>
            <w:tcBorders>
              <w:top w:val="nil"/>
              <w:left w:val="nil"/>
              <w:bottom w:val="nil"/>
              <w:right w:val="nil"/>
            </w:tcBorders>
            <w:shd w:val="clear" w:color="auto" w:fill="auto"/>
            <w:noWrap/>
            <w:vAlign w:val="center"/>
            <w:hideMark/>
          </w:tcPr>
          <w:p w14:paraId="3BBF05EF" w14:textId="77777777" w:rsidR="00E54AB2" w:rsidRPr="002D0E80" w:rsidRDefault="00E54AB2" w:rsidP="00752EB6">
            <w:pPr>
              <w:spacing w:after="0" w:line="240" w:lineRule="auto"/>
              <w:rPr>
                <w:rFonts w:ascii="Calibri" w:eastAsia="Times New Roman" w:hAnsi="Calibri" w:cs="Calibri"/>
                <w:color w:val="000000"/>
                <w:sz w:val="16"/>
                <w:szCs w:val="16"/>
              </w:rPr>
            </w:pPr>
            <w:r w:rsidRPr="002D0E80">
              <w:rPr>
                <w:rFonts w:ascii="Calibri" w:eastAsia="Times New Roman" w:hAnsi="Calibri" w:cs="Calibri"/>
                <w:color w:val="000000"/>
                <w:sz w:val="16"/>
                <w:szCs w:val="16"/>
              </w:rPr>
              <w:t>Salas e Escritórios</w:t>
            </w:r>
          </w:p>
        </w:tc>
        <w:tc>
          <w:tcPr>
            <w:tcW w:w="1134" w:type="dxa"/>
            <w:tcBorders>
              <w:top w:val="nil"/>
              <w:left w:val="nil"/>
              <w:bottom w:val="nil"/>
              <w:right w:val="nil"/>
            </w:tcBorders>
            <w:shd w:val="clear" w:color="auto" w:fill="auto"/>
            <w:noWrap/>
            <w:vAlign w:val="center"/>
            <w:hideMark/>
          </w:tcPr>
          <w:p w14:paraId="2A5373A6"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2.196.421</w:t>
            </w:r>
          </w:p>
        </w:tc>
        <w:tc>
          <w:tcPr>
            <w:tcW w:w="1134" w:type="dxa"/>
            <w:tcBorders>
              <w:top w:val="nil"/>
              <w:left w:val="nil"/>
              <w:bottom w:val="nil"/>
              <w:right w:val="nil"/>
            </w:tcBorders>
            <w:shd w:val="clear" w:color="auto" w:fill="auto"/>
            <w:noWrap/>
            <w:vAlign w:val="center"/>
            <w:hideMark/>
          </w:tcPr>
          <w:p w14:paraId="5E886844" w14:textId="77777777" w:rsidR="00E54AB2" w:rsidRPr="002D0E80" w:rsidRDefault="00E54AB2" w:rsidP="00752EB6">
            <w:pPr>
              <w:spacing w:after="0" w:line="240" w:lineRule="auto"/>
              <w:jc w:val="center"/>
              <w:rPr>
                <w:rFonts w:ascii="Calibri" w:eastAsia="Times New Roman" w:hAnsi="Calibri" w:cs="Calibri"/>
                <w:color w:val="000000"/>
                <w:sz w:val="16"/>
                <w:szCs w:val="16"/>
              </w:rPr>
            </w:pPr>
            <w:r w:rsidRPr="002D0E80">
              <w:rPr>
                <w:rFonts w:ascii="Calibri" w:eastAsia="Times New Roman" w:hAnsi="Calibri" w:cs="Calibri"/>
                <w:color w:val="000000"/>
                <w:sz w:val="16"/>
                <w:szCs w:val="16"/>
              </w:rPr>
              <w:t>10</w:t>
            </w:r>
          </w:p>
        </w:tc>
        <w:tc>
          <w:tcPr>
            <w:tcW w:w="1134" w:type="dxa"/>
            <w:tcBorders>
              <w:top w:val="nil"/>
              <w:left w:val="nil"/>
              <w:bottom w:val="nil"/>
              <w:right w:val="nil"/>
            </w:tcBorders>
            <w:shd w:val="clear" w:color="auto" w:fill="auto"/>
            <w:noWrap/>
            <w:vAlign w:val="center"/>
            <w:hideMark/>
          </w:tcPr>
          <w:p w14:paraId="3214E50D"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(2.133.174)</w:t>
            </w:r>
          </w:p>
        </w:tc>
        <w:tc>
          <w:tcPr>
            <w:tcW w:w="1134" w:type="dxa"/>
            <w:tcBorders>
              <w:top w:val="nil"/>
              <w:left w:val="nil"/>
              <w:bottom w:val="nil"/>
              <w:right w:val="nil"/>
            </w:tcBorders>
            <w:shd w:val="clear" w:color="auto" w:fill="auto"/>
            <w:noWrap/>
            <w:vAlign w:val="center"/>
            <w:hideMark/>
          </w:tcPr>
          <w:p w14:paraId="66A3F039"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63.248</w:t>
            </w:r>
          </w:p>
        </w:tc>
        <w:tc>
          <w:tcPr>
            <w:tcW w:w="1134" w:type="dxa"/>
            <w:tcBorders>
              <w:top w:val="nil"/>
              <w:left w:val="nil"/>
              <w:bottom w:val="nil"/>
              <w:right w:val="nil"/>
            </w:tcBorders>
            <w:shd w:val="clear" w:color="auto" w:fill="auto"/>
            <w:noWrap/>
            <w:vAlign w:val="center"/>
            <w:hideMark/>
          </w:tcPr>
          <w:p w14:paraId="3A43A601" w14:textId="3C64174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(7.520)</w:t>
            </w:r>
          </w:p>
        </w:tc>
        <w:tc>
          <w:tcPr>
            <w:tcW w:w="1134" w:type="dxa"/>
            <w:tcBorders>
              <w:top w:val="nil"/>
              <w:left w:val="nil"/>
              <w:bottom w:val="nil"/>
              <w:right w:val="nil"/>
            </w:tcBorders>
            <w:shd w:val="clear" w:color="auto" w:fill="auto"/>
            <w:noWrap/>
            <w:vAlign w:val="center"/>
            <w:hideMark/>
          </w:tcPr>
          <w:p w14:paraId="50445266"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55.728</w:t>
            </w:r>
          </w:p>
        </w:tc>
      </w:tr>
      <w:tr w:rsidR="00E54AB2" w:rsidRPr="002D0E80" w14:paraId="5D381EB0" w14:textId="77777777" w:rsidTr="007C11FA">
        <w:trPr>
          <w:trHeight w:val="227"/>
        </w:trPr>
        <w:tc>
          <w:tcPr>
            <w:tcW w:w="3292" w:type="dxa"/>
            <w:tcBorders>
              <w:top w:val="nil"/>
              <w:left w:val="nil"/>
              <w:bottom w:val="nil"/>
              <w:right w:val="nil"/>
            </w:tcBorders>
            <w:shd w:val="clear" w:color="auto" w:fill="auto"/>
            <w:noWrap/>
            <w:vAlign w:val="center"/>
            <w:hideMark/>
          </w:tcPr>
          <w:p w14:paraId="45658194" w14:textId="77777777" w:rsidR="00E54AB2" w:rsidRPr="002D0E80" w:rsidRDefault="00E54AB2" w:rsidP="00752EB6">
            <w:pPr>
              <w:spacing w:after="0" w:line="240" w:lineRule="auto"/>
              <w:rPr>
                <w:rFonts w:ascii="Calibri" w:eastAsia="Times New Roman" w:hAnsi="Calibri" w:cs="Calibri"/>
                <w:color w:val="000000"/>
                <w:sz w:val="16"/>
                <w:szCs w:val="16"/>
              </w:rPr>
            </w:pPr>
            <w:r w:rsidRPr="002D0E80">
              <w:rPr>
                <w:rFonts w:ascii="Calibri" w:eastAsia="Times New Roman" w:hAnsi="Calibri" w:cs="Calibri"/>
                <w:color w:val="000000"/>
                <w:sz w:val="16"/>
                <w:szCs w:val="16"/>
              </w:rPr>
              <w:lastRenderedPageBreak/>
              <w:t xml:space="preserve">Benfeitorias </w:t>
            </w:r>
          </w:p>
        </w:tc>
        <w:tc>
          <w:tcPr>
            <w:tcW w:w="1134" w:type="dxa"/>
            <w:tcBorders>
              <w:top w:val="nil"/>
              <w:left w:val="nil"/>
              <w:bottom w:val="nil"/>
              <w:right w:val="nil"/>
            </w:tcBorders>
            <w:shd w:val="clear" w:color="auto" w:fill="auto"/>
            <w:noWrap/>
            <w:vAlign w:val="center"/>
            <w:hideMark/>
          </w:tcPr>
          <w:p w14:paraId="6228EDF8"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528.832</w:t>
            </w:r>
          </w:p>
        </w:tc>
        <w:tc>
          <w:tcPr>
            <w:tcW w:w="1134" w:type="dxa"/>
            <w:tcBorders>
              <w:top w:val="nil"/>
              <w:left w:val="nil"/>
              <w:bottom w:val="nil"/>
              <w:right w:val="nil"/>
            </w:tcBorders>
            <w:shd w:val="clear" w:color="auto" w:fill="auto"/>
            <w:noWrap/>
            <w:vAlign w:val="center"/>
            <w:hideMark/>
          </w:tcPr>
          <w:p w14:paraId="573E2FD0" w14:textId="77777777" w:rsidR="00E54AB2" w:rsidRPr="002D0E80" w:rsidRDefault="00E54AB2" w:rsidP="00752EB6">
            <w:pPr>
              <w:spacing w:after="0" w:line="240" w:lineRule="auto"/>
              <w:jc w:val="center"/>
              <w:rPr>
                <w:rFonts w:ascii="Calibri" w:eastAsia="Times New Roman" w:hAnsi="Calibri" w:cs="Calibri"/>
                <w:color w:val="000000"/>
                <w:sz w:val="16"/>
                <w:szCs w:val="16"/>
              </w:rPr>
            </w:pPr>
            <w:r w:rsidRPr="002D0E80">
              <w:rPr>
                <w:rFonts w:ascii="Calibri" w:eastAsia="Times New Roman" w:hAnsi="Calibri" w:cs="Calibri"/>
                <w:color w:val="000000"/>
                <w:sz w:val="16"/>
                <w:szCs w:val="16"/>
              </w:rPr>
              <w:t>10</w:t>
            </w:r>
          </w:p>
        </w:tc>
        <w:tc>
          <w:tcPr>
            <w:tcW w:w="1134" w:type="dxa"/>
            <w:tcBorders>
              <w:top w:val="nil"/>
              <w:left w:val="nil"/>
              <w:bottom w:val="nil"/>
              <w:right w:val="nil"/>
            </w:tcBorders>
            <w:shd w:val="clear" w:color="auto" w:fill="auto"/>
            <w:noWrap/>
            <w:vAlign w:val="center"/>
            <w:hideMark/>
          </w:tcPr>
          <w:p w14:paraId="07BD2DE9"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(528.832)</w:t>
            </w:r>
          </w:p>
        </w:tc>
        <w:tc>
          <w:tcPr>
            <w:tcW w:w="1134" w:type="dxa"/>
            <w:tcBorders>
              <w:top w:val="nil"/>
              <w:left w:val="nil"/>
              <w:bottom w:val="nil"/>
              <w:right w:val="nil"/>
            </w:tcBorders>
            <w:shd w:val="clear" w:color="auto" w:fill="auto"/>
            <w:noWrap/>
            <w:vAlign w:val="center"/>
            <w:hideMark/>
          </w:tcPr>
          <w:p w14:paraId="7F96F3F8"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D1A775D"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B6217CE" w14:textId="77777777" w:rsidR="00E54AB2" w:rsidRPr="002D0E80" w:rsidRDefault="00E54AB2" w:rsidP="00752EB6">
            <w:pPr>
              <w:spacing w:after="0" w:line="240" w:lineRule="auto"/>
              <w:jc w:val="right"/>
              <w:rPr>
                <w:rFonts w:ascii="Calibri" w:eastAsia="Times New Roman" w:hAnsi="Calibri" w:cs="Calibri"/>
                <w:color w:val="000000"/>
                <w:sz w:val="16"/>
                <w:szCs w:val="16"/>
              </w:rPr>
            </w:pPr>
            <w:r w:rsidRPr="002D0E80">
              <w:rPr>
                <w:rFonts w:ascii="Calibri" w:eastAsia="Times New Roman" w:hAnsi="Calibri" w:cs="Calibri"/>
                <w:color w:val="000000"/>
                <w:sz w:val="16"/>
                <w:szCs w:val="16"/>
              </w:rPr>
              <w:t>-</w:t>
            </w:r>
          </w:p>
        </w:tc>
      </w:tr>
      <w:tr w:rsidR="00E54AB2" w:rsidRPr="002D0E80" w14:paraId="26661082" w14:textId="77777777" w:rsidTr="007C11FA">
        <w:trPr>
          <w:trHeight w:val="227"/>
        </w:trPr>
        <w:tc>
          <w:tcPr>
            <w:tcW w:w="3292" w:type="dxa"/>
            <w:tcBorders>
              <w:top w:val="single" w:sz="8" w:space="0" w:color="auto"/>
              <w:left w:val="nil"/>
              <w:bottom w:val="single" w:sz="8" w:space="0" w:color="auto"/>
              <w:right w:val="nil"/>
            </w:tcBorders>
            <w:shd w:val="clear" w:color="000000" w:fill="DEEAF6"/>
            <w:noWrap/>
            <w:vAlign w:val="center"/>
            <w:hideMark/>
          </w:tcPr>
          <w:p w14:paraId="4CFE3282" w14:textId="77777777" w:rsidR="00E54AB2" w:rsidRPr="002D0E80" w:rsidRDefault="00E54AB2" w:rsidP="00752EB6">
            <w:pPr>
              <w:spacing w:after="0" w:line="240" w:lineRule="auto"/>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4EE486A2" w14:textId="77777777" w:rsidR="00E54AB2" w:rsidRPr="002D0E80" w:rsidRDefault="00E54AB2" w:rsidP="00752EB6">
            <w:pPr>
              <w:spacing w:after="0" w:line="240" w:lineRule="auto"/>
              <w:jc w:val="right"/>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2.725.253</w:t>
            </w:r>
          </w:p>
        </w:tc>
        <w:tc>
          <w:tcPr>
            <w:tcW w:w="1134" w:type="dxa"/>
            <w:tcBorders>
              <w:top w:val="single" w:sz="8" w:space="0" w:color="auto"/>
              <w:left w:val="nil"/>
              <w:bottom w:val="single" w:sz="8" w:space="0" w:color="auto"/>
              <w:right w:val="nil"/>
            </w:tcBorders>
            <w:shd w:val="clear" w:color="000000" w:fill="DEEAF6"/>
            <w:noWrap/>
            <w:vAlign w:val="center"/>
            <w:hideMark/>
          </w:tcPr>
          <w:p w14:paraId="300DD3C9" w14:textId="77777777" w:rsidR="00E54AB2" w:rsidRPr="002D0E80" w:rsidRDefault="00E54AB2" w:rsidP="00752EB6">
            <w:pPr>
              <w:spacing w:after="0" w:line="240" w:lineRule="auto"/>
              <w:jc w:val="center"/>
              <w:rPr>
                <w:rFonts w:ascii="Calibri" w:eastAsia="Times New Roman" w:hAnsi="Calibri" w:cs="Calibri"/>
                <w:color w:val="000000"/>
                <w:sz w:val="16"/>
                <w:szCs w:val="16"/>
              </w:rPr>
            </w:pPr>
            <w:r w:rsidRPr="002D0E80">
              <w:rPr>
                <w:rFonts w:ascii="Calibri" w:eastAsia="Times New Roman" w:hAnsi="Calibri" w:cs="Calibri"/>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1D82A52E" w14:textId="77777777" w:rsidR="00E54AB2" w:rsidRPr="002D0E80" w:rsidRDefault="00E54AB2" w:rsidP="00752EB6">
            <w:pPr>
              <w:spacing w:after="0" w:line="240" w:lineRule="auto"/>
              <w:jc w:val="right"/>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(2.662.006)</w:t>
            </w:r>
          </w:p>
        </w:tc>
        <w:tc>
          <w:tcPr>
            <w:tcW w:w="1134" w:type="dxa"/>
            <w:tcBorders>
              <w:top w:val="single" w:sz="8" w:space="0" w:color="auto"/>
              <w:left w:val="nil"/>
              <w:bottom w:val="single" w:sz="8" w:space="0" w:color="auto"/>
              <w:right w:val="nil"/>
            </w:tcBorders>
            <w:shd w:val="clear" w:color="000000" w:fill="DEEAF6"/>
            <w:noWrap/>
            <w:vAlign w:val="center"/>
            <w:hideMark/>
          </w:tcPr>
          <w:p w14:paraId="3807A36A" w14:textId="77777777" w:rsidR="00E54AB2" w:rsidRPr="002D0E80" w:rsidRDefault="00E54AB2" w:rsidP="00752EB6">
            <w:pPr>
              <w:spacing w:after="0" w:line="240" w:lineRule="auto"/>
              <w:jc w:val="right"/>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63.248</w:t>
            </w:r>
          </w:p>
        </w:tc>
        <w:tc>
          <w:tcPr>
            <w:tcW w:w="1134" w:type="dxa"/>
            <w:tcBorders>
              <w:top w:val="single" w:sz="8" w:space="0" w:color="auto"/>
              <w:left w:val="nil"/>
              <w:bottom w:val="single" w:sz="8" w:space="0" w:color="auto"/>
              <w:right w:val="nil"/>
            </w:tcBorders>
            <w:shd w:val="clear" w:color="000000" w:fill="DEEAF6"/>
            <w:noWrap/>
            <w:vAlign w:val="center"/>
            <w:hideMark/>
          </w:tcPr>
          <w:p w14:paraId="1814DAD9" w14:textId="3624F4F5" w:rsidR="00E54AB2" w:rsidRPr="002D0E80" w:rsidRDefault="00E54AB2" w:rsidP="00752EB6">
            <w:pPr>
              <w:spacing w:after="0" w:line="240" w:lineRule="auto"/>
              <w:jc w:val="right"/>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 xml:space="preserve"> (7.520)</w:t>
            </w:r>
          </w:p>
        </w:tc>
        <w:tc>
          <w:tcPr>
            <w:tcW w:w="1134" w:type="dxa"/>
            <w:tcBorders>
              <w:top w:val="single" w:sz="8" w:space="0" w:color="auto"/>
              <w:left w:val="nil"/>
              <w:bottom w:val="single" w:sz="8" w:space="0" w:color="auto"/>
              <w:right w:val="nil"/>
            </w:tcBorders>
            <w:shd w:val="clear" w:color="000000" w:fill="DEEAF6"/>
            <w:noWrap/>
            <w:vAlign w:val="center"/>
            <w:hideMark/>
          </w:tcPr>
          <w:p w14:paraId="731C794A" w14:textId="1897BE4C" w:rsidR="00E54AB2" w:rsidRPr="002D0E80" w:rsidRDefault="00E54AB2" w:rsidP="00752EB6">
            <w:pPr>
              <w:spacing w:after="0" w:line="240" w:lineRule="auto"/>
              <w:jc w:val="right"/>
              <w:rPr>
                <w:rFonts w:ascii="Calibri" w:eastAsia="Times New Roman" w:hAnsi="Calibri" w:cs="Calibri"/>
                <w:b/>
                <w:bCs/>
                <w:color w:val="000000"/>
                <w:sz w:val="16"/>
                <w:szCs w:val="16"/>
              </w:rPr>
            </w:pPr>
            <w:r w:rsidRPr="002D0E80">
              <w:rPr>
                <w:rFonts w:ascii="Calibri" w:eastAsia="Times New Roman" w:hAnsi="Calibri" w:cs="Calibri"/>
                <w:b/>
                <w:bCs/>
                <w:color w:val="000000"/>
                <w:sz w:val="16"/>
                <w:szCs w:val="16"/>
              </w:rPr>
              <w:t>55.72</w:t>
            </w:r>
            <w:r w:rsidR="000002BC">
              <w:rPr>
                <w:rFonts w:ascii="Calibri" w:eastAsia="Times New Roman" w:hAnsi="Calibri" w:cs="Calibri"/>
                <w:b/>
                <w:bCs/>
                <w:color w:val="000000"/>
                <w:sz w:val="16"/>
                <w:szCs w:val="16"/>
              </w:rPr>
              <w:t>8</w:t>
            </w:r>
          </w:p>
        </w:tc>
      </w:tr>
    </w:tbl>
    <w:p w14:paraId="3B3E7432" w14:textId="57057A0D" w:rsidR="00ED13A9" w:rsidRPr="00ED13A9" w:rsidRDefault="00895B2D" w:rsidP="00B33B5E">
      <w:pPr>
        <w:pStyle w:val="Ttulo2"/>
        <w:spacing w:before="120"/>
      </w:pPr>
      <w:bookmarkStart w:id="51" w:name="_Toc184926682"/>
      <w:r w:rsidRPr="00ED13A9">
        <w:t>13</w:t>
      </w:r>
      <w:r w:rsidR="001E2DD4" w:rsidRPr="00ED13A9">
        <w:t>.</w:t>
      </w:r>
      <w:r w:rsidR="00697DEA">
        <w:t>4</w:t>
      </w:r>
      <w:r w:rsidR="001E2DD4" w:rsidRPr="00ED13A9">
        <w:t xml:space="preserve"> – Práticas </w:t>
      </w:r>
      <w:r w:rsidR="006050BC">
        <w:t>A</w:t>
      </w:r>
      <w:r w:rsidR="001E2DD4" w:rsidRPr="00ED13A9">
        <w:t xml:space="preserve">dotadas em </w:t>
      </w:r>
      <w:r w:rsidR="006050BC">
        <w:t>R</w:t>
      </w:r>
      <w:r w:rsidR="001E2DD4" w:rsidRPr="00ED13A9">
        <w:t>elação ao Ativo Imobilizado</w:t>
      </w:r>
      <w:bookmarkEnd w:id="50"/>
      <w:bookmarkEnd w:id="51"/>
    </w:p>
    <w:p w14:paraId="4E539785"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Os bens corpóreos são reconhecidos pelo custo de aquisição. Devido ao desgaste e a obsolescência desses bens ao longo do tempo, exige-se o reconhecimento da despesa em virtude da depreciação calculada por meio do método linear, em função de taxas estabelecidas conforme apresentadas nas tabelas, fixadas por espécies de bens;</w:t>
      </w:r>
    </w:p>
    <w:p w14:paraId="77E8A83F"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 xml:space="preserve">As ferrovias </w:t>
      </w:r>
      <w:r w:rsidRPr="00F61CC2">
        <w:rPr>
          <w:rFonts w:cstheme="minorHAnsi"/>
          <w:sz w:val="20"/>
        </w:rPr>
        <w:t>construídas foram depreciadas retroativamente, até 31 de dezembro de 2016, pelos prazos de vida útil estabelecidos na Instrução Normativa SRF nº 162/1998, a</w:t>
      </w:r>
      <w:r w:rsidRPr="00ED13A9">
        <w:rPr>
          <w:rFonts w:cstheme="minorHAnsi"/>
          <w:sz w:val="20"/>
        </w:rPr>
        <w:t xml:space="preserve"> partir dessa data foi utilizada a tabela da ANTT, conforme Resolução ANTT </w:t>
      </w:r>
      <w:r>
        <w:rPr>
          <w:rFonts w:cstheme="minorHAnsi"/>
          <w:sz w:val="20"/>
        </w:rPr>
        <w:t>nº</w:t>
      </w:r>
      <w:r w:rsidRPr="00ED13A9">
        <w:rPr>
          <w:rFonts w:cstheme="minorHAnsi"/>
          <w:sz w:val="20"/>
        </w:rPr>
        <w:t xml:space="preserve"> 4540, de 19 de dezembro de 2014</w:t>
      </w:r>
      <w:r>
        <w:rPr>
          <w:rFonts w:cstheme="minorHAnsi"/>
          <w:sz w:val="20"/>
        </w:rPr>
        <w:t xml:space="preserve"> </w:t>
      </w:r>
      <w:r w:rsidRPr="000A7473">
        <w:rPr>
          <w:rFonts w:cstheme="minorHAnsi"/>
          <w:sz w:val="20"/>
          <w:szCs w:val="20"/>
        </w:rPr>
        <w:t>(Regulamenta as taxas de depreciação e de amortização anuais para os ativos no âmbito das concessões ferroviárias)</w:t>
      </w:r>
      <w:r w:rsidRPr="00ED13A9">
        <w:rPr>
          <w:rFonts w:cstheme="minorHAnsi"/>
          <w:sz w:val="20"/>
        </w:rPr>
        <w:t>;</w:t>
      </w:r>
    </w:p>
    <w:p w14:paraId="338B7E69"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097D5000"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Os Ativos Imobilizados da Infra S.A. são registrados em um sistema informatizado que permite controlar sequencialmente os bens móveis, gerando relatórios por localidade ou descrição do bem e são depreciados periodicamente;</w:t>
      </w:r>
    </w:p>
    <w:p w14:paraId="2772B8EA"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A provisão para “Redução ao valor Recuperável – Móveis” no valor de R$ 18,5 mil se refere:</w:t>
      </w:r>
    </w:p>
    <w:p w14:paraId="772CA339" w14:textId="77777777" w:rsidR="00A95C8C" w:rsidRPr="00ED13A9" w:rsidRDefault="00A95C8C" w:rsidP="00C000AF">
      <w:pPr>
        <w:pStyle w:val="NormalWeb"/>
        <w:numPr>
          <w:ilvl w:val="1"/>
          <w:numId w:val="2"/>
        </w:numPr>
        <w:spacing w:before="120" w:beforeAutospacing="0" w:after="120" w:afterAutospacing="0"/>
        <w:jc w:val="both"/>
        <w:rPr>
          <w:rFonts w:cstheme="minorHAnsi"/>
          <w:sz w:val="20"/>
        </w:rPr>
      </w:pPr>
      <w:r w:rsidRPr="00ED13A9">
        <w:rPr>
          <w:rFonts w:cstheme="minorHAnsi"/>
          <w:sz w:val="20"/>
        </w:rPr>
        <w:t>Ao valor contábil de 54 bens patrimoniais furtados ou extraviados, mas que se encontram com o processo administrativo de sindicância em andamento, conforme Processo SEI n</w:t>
      </w:r>
      <w:r>
        <w:rPr>
          <w:rFonts w:cstheme="minorHAnsi"/>
          <w:sz w:val="20"/>
        </w:rPr>
        <w:t>°</w:t>
      </w:r>
      <w:r w:rsidRPr="00ED13A9">
        <w:rPr>
          <w:rFonts w:cstheme="minorHAnsi"/>
          <w:sz w:val="20"/>
        </w:rPr>
        <w:t xml:space="preserve"> 51402.105367/2022-41, totalizando R$ 661. Ao final da instrução processual, com a devida autorização da Diretoria Executiva, esses bens serão efetivamente baixados do patrimônio da Infra S.A.; e</w:t>
      </w:r>
    </w:p>
    <w:p w14:paraId="067EC715" w14:textId="77777777" w:rsidR="00A95C8C" w:rsidRPr="00ED13A9" w:rsidRDefault="00A95C8C" w:rsidP="00C000AF">
      <w:pPr>
        <w:pStyle w:val="NormalWeb"/>
        <w:numPr>
          <w:ilvl w:val="1"/>
          <w:numId w:val="2"/>
        </w:numPr>
        <w:spacing w:before="120" w:beforeAutospacing="0" w:after="120" w:afterAutospacing="0"/>
        <w:jc w:val="both"/>
        <w:rPr>
          <w:rFonts w:cstheme="minorHAnsi"/>
          <w:sz w:val="20"/>
        </w:rPr>
      </w:pPr>
      <w:r w:rsidRPr="00ED13A9">
        <w:rPr>
          <w:rFonts w:cstheme="minorHAnsi"/>
          <w:sz w:val="20"/>
        </w:rPr>
        <w:t>Ao valor contábil de bens móveis que foram doados no exercício de 2021, totalizando R$ 17,88 mil, mas que, por questões de regularização de documentos do recebedor, encontram-se pendentes de assinatura do termo de doação, conforme Processo SEI n</w:t>
      </w:r>
      <w:r>
        <w:rPr>
          <w:rFonts w:cstheme="minorHAnsi"/>
          <w:sz w:val="20"/>
        </w:rPr>
        <w:t>°</w:t>
      </w:r>
      <w:r w:rsidRPr="00ED13A9">
        <w:rPr>
          <w:rFonts w:cstheme="minorHAnsi"/>
          <w:sz w:val="20"/>
        </w:rPr>
        <w:t xml:space="preserve"> 51402.106738/2021-21.</w:t>
      </w:r>
    </w:p>
    <w:p w14:paraId="48A83065"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 xml:space="preserve">A rubrica contábil “Estudos e Projetos” é composta pelos custos relacionados ao desenvolvimento </w:t>
      </w:r>
      <w:r w:rsidRPr="00ED13A9">
        <w:rPr>
          <w:rFonts w:cstheme="minorHAns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77555C45" w14:textId="77777777" w:rsidR="00A95C8C" w:rsidRPr="00ED13A9" w:rsidRDefault="00A95C8C" w:rsidP="00C000AF">
      <w:pPr>
        <w:pStyle w:val="NormalWeb"/>
        <w:numPr>
          <w:ilvl w:val="0"/>
          <w:numId w:val="2"/>
        </w:numPr>
        <w:spacing w:before="120" w:beforeAutospacing="0" w:after="120" w:afterAutospacing="0"/>
        <w:jc w:val="both"/>
        <w:rPr>
          <w:rFonts w:cstheme="minorHAnsi"/>
          <w:sz w:val="20"/>
        </w:rPr>
      </w:pPr>
      <w:r w:rsidRPr="00ED13A9">
        <w:rPr>
          <w:rFonts w:cstheme="minorHAnsi"/>
          <w:sz w:val="20"/>
        </w:rPr>
        <w:t xml:space="preserve">A rubrica contábil “Implantação – Ferrovias” é formada pelos custos das obras de construção das ferrovias que ainda se encontram em andamento, após as subconcessões dos trechos, os ativos </w:t>
      </w:r>
      <w:proofErr w:type="spellStart"/>
      <w:r w:rsidRPr="00ED13A9">
        <w:rPr>
          <w:rFonts w:cstheme="minorHAnsi"/>
          <w:sz w:val="20"/>
        </w:rPr>
        <w:t>subconcedidos</w:t>
      </w:r>
      <w:proofErr w:type="spellEnd"/>
      <w:r w:rsidRPr="00ED13A9">
        <w:rPr>
          <w:rFonts w:cstheme="minorHAnsi"/>
          <w:sz w:val="20"/>
        </w:rPr>
        <w:t xml:space="preserve"> são transferidos para a rubrica “Ativos de Concessão”;</w:t>
      </w:r>
    </w:p>
    <w:p w14:paraId="20C1AB25" w14:textId="77777777" w:rsidR="00A95C8C" w:rsidRPr="00E60574" w:rsidRDefault="00A95C8C" w:rsidP="00C000AF">
      <w:pPr>
        <w:pStyle w:val="NormalWeb"/>
        <w:numPr>
          <w:ilvl w:val="0"/>
          <w:numId w:val="2"/>
        </w:numPr>
        <w:spacing w:before="0" w:beforeAutospacing="0" w:after="0" w:afterAutospacing="0"/>
        <w:jc w:val="both"/>
        <w:rPr>
          <w:rFonts w:cstheme="minorHAnsi"/>
          <w:color w:val="FF0000"/>
          <w:sz w:val="20"/>
        </w:rPr>
      </w:pPr>
      <w:r w:rsidRPr="00ED13A9">
        <w:rPr>
          <w:rFonts w:cstheme="minorHAnsi"/>
          <w:sz w:val="20"/>
        </w:rPr>
        <w:t xml:space="preserve">A rubrica contábil “Direito de Uso” corresponde a direitos com origem em contratos de locação de imóveis conforme estabelecido no CPC 06 (R2). A sua composição bem como detalhamento estão evidenciados na Nota </w:t>
      </w:r>
      <w:r>
        <w:rPr>
          <w:rFonts w:cstheme="minorHAnsi"/>
          <w:sz w:val="20"/>
        </w:rPr>
        <w:t>Explicativa 21</w:t>
      </w:r>
      <w:r w:rsidRPr="00ED13A9">
        <w:rPr>
          <w:rFonts w:cstheme="minorHAnsi"/>
          <w:sz w:val="20"/>
        </w:rPr>
        <w:t>.</w:t>
      </w:r>
    </w:p>
    <w:p w14:paraId="438668CD" w14:textId="30D6661D" w:rsidR="00E71553" w:rsidRPr="00ED13A9" w:rsidRDefault="00E71553" w:rsidP="00645DFB">
      <w:pPr>
        <w:pStyle w:val="Ttulo1"/>
        <w:spacing w:before="120" w:line="240" w:lineRule="auto"/>
      </w:pPr>
      <w:bookmarkStart w:id="52" w:name="_Toc184926683"/>
      <w:r w:rsidRPr="00ED13A9">
        <w:t>1</w:t>
      </w:r>
      <w:r w:rsidR="00A11CB0" w:rsidRPr="00ED13A9">
        <w:t>4</w:t>
      </w:r>
      <w:r w:rsidRPr="00ED13A9">
        <w:t xml:space="preserve"> – </w:t>
      </w:r>
      <w:r w:rsidR="00A11CB0" w:rsidRPr="00ED13A9">
        <w:t>Intangível</w:t>
      </w:r>
      <w:bookmarkEnd w:id="52"/>
    </w:p>
    <w:p w14:paraId="48E18F42" w14:textId="77777777" w:rsidR="00DC0C58" w:rsidRDefault="00DC0C58" w:rsidP="00645DFB">
      <w:pPr>
        <w:pStyle w:val="Textoembloco"/>
        <w:spacing w:before="120" w:line="240" w:lineRule="auto"/>
        <w:ind w:left="0" w:right="0"/>
        <w:rPr>
          <w:rFonts w:asciiTheme="minorHAnsi" w:hAnsiTheme="minorHAnsi" w:cstheme="minorHAnsi"/>
          <w:szCs w:val="21"/>
          <w:shd w:val="clear" w:color="auto" w:fill="FFFFFF"/>
        </w:rPr>
      </w:pPr>
      <w:r w:rsidRPr="00476C49">
        <w:rPr>
          <w:rFonts w:asciiTheme="minorHAnsi" w:hAnsiTheme="minorHAnsi" w:cstheme="minorHAnsi"/>
          <w:szCs w:val="21"/>
          <w:shd w:val="clear" w:color="auto" w:fill="FFFFFF"/>
        </w:rPr>
        <w:t>Os valores registrados no Intangível referem-se aos bens e direitos incorpóreos destinados às atividades da entidade, e correspondiam aos seguintes montantes no primeiro trimestre de 2024:</w:t>
      </w:r>
    </w:p>
    <w:tbl>
      <w:tblPr>
        <w:tblW w:w="10467" w:type="dxa"/>
        <w:tblCellMar>
          <w:left w:w="70" w:type="dxa"/>
          <w:right w:w="70" w:type="dxa"/>
        </w:tblCellMar>
        <w:tblLook w:val="04A0" w:firstRow="1" w:lastRow="0" w:firstColumn="1" w:lastColumn="0" w:noHBand="0" w:noVBand="1"/>
      </w:tblPr>
      <w:tblGrid>
        <w:gridCol w:w="3483"/>
        <w:gridCol w:w="2628"/>
        <w:gridCol w:w="878"/>
        <w:gridCol w:w="798"/>
        <w:gridCol w:w="941"/>
        <w:gridCol w:w="875"/>
        <w:gridCol w:w="864"/>
      </w:tblGrid>
      <w:tr w:rsidR="0047458D" w:rsidRPr="00E84B0C" w14:paraId="79C8C1DB" w14:textId="77777777" w:rsidTr="66A9223B">
        <w:trPr>
          <w:trHeight w:val="227"/>
        </w:trPr>
        <w:tc>
          <w:tcPr>
            <w:tcW w:w="3483" w:type="dxa"/>
            <w:tcBorders>
              <w:top w:val="nil"/>
              <w:left w:val="nil"/>
              <w:bottom w:val="single" w:sz="8" w:space="0" w:color="000000" w:themeColor="text1"/>
              <w:right w:val="nil"/>
            </w:tcBorders>
            <w:shd w:val="clear" w:color="auto" w:fill="DEEAF6" w:themeFill="accent1" w:themeFillTint="33"/>
            <w:noWrap/>
            <w:vAlign w:val="center"/>
            <w:hideMark/>
          </w:tcPr>
          <w:p w14:paraId="64F8AE9C" w14:textId="77777777" w:rsidR="00E84B0C" w:rsidRPr="00E84B0C" w:rsidRDefault="00E84B0C" w:rsidP="00E84B0C">
            <w:pPr>
              <w:spacing w:after="0" w:line="240" w:lineRule="auto"/>
              <w:jc w:val="center"/>
              <w:rPr>
                <w:rFonts w:ascii="Calibri" w:eastAsia="Times New Roman" w:hAnsi="Calibri" w:cs="Calibri"/>
                <w:b/>
                <w:bCs/>
                <w:color w:val="000000"/>
                <w:sz w:val="14"/>
                <w:szCs w:val="14"/>
              </w:rPr>
            </w:pPr>
            <w:bookmarkStart w:id="53" w:name="_Hlk120176000"/>
            <w:r w:rsidRPr="00E84B0C">
              <w:rPr>
                <w:rFonts w:ascii="Calibri" w:eastAsia="Times New Roman" w:hAnsi="Calibri" w:cs="Calibri"/>
                <w:b/>
                <w:bCs/>
                <w:color w:val="000000"/>
                <w:sz w:val="14"/>
                <w:szCs w:val="14"/>
              </w:rPr>
              <w:t>Contrato</w:t>
            </w:r>
          </w:p>
        </w:tc>
        <w:tc>
          <w:tcPr>
            <w:tcW w:w="2628" w:type="dxa"/>
            <w:tcBorders>
              <w:top w:val="nil"/>
              <w:left w:val="nil"/>
              <w:bottom w:val="single" w:sz="8" w:space="0" w:color="000000" w:themeColor="text1"/>
              <w:right w:val="nil"/>
            </w:tcBorders>
            <w:shd w:val="clear" w:color="auto" w:fill="DEEAF6" w:themeFill="accent1" w:themeFillTint="33"/>
            <w:vAlign w:val="center"/>
            <w:hideMark/>
          </w:tcPr>
          <w:p w14:paraId="334F76BB" w14:textId="77777777" w:rsidR="00E84B0C" w:rsidRPr="00E84B0C" w:rsidRDefault="00E84B0C" w:rsidP="00E84B0C">
            <w:pPr>
              <w:spacing w:after="0" w:line="240" w:lineRule="auto"/>
              <w:jc w:val="center"/>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Rodovia/Porto</w:t>
            </w:r>
          </w:p>
        </w:tc>
        <w:tc>
          <w:tcPr>
            <w:tcW w:w="878" w:type="dxa"/>
            <w:tcBorders>
              <w:top w:val="nil"/>
              <w:left w:val="nil"/>
              <w:bottom w:val="single" w:sz="8" w:space="0" w:color="auto"/>
              <w:right w:val="nil"/>
            </w:tcBorders>
            <w:shd w:val="clear" w:color="auto" w:fill="DEEAF6" w:themeFill="accent1" w:themeFillTint="33"/>
            <w:vAlign w:val="center"/>
            <w:hideMark/>
          </w:tcPr>
          <w:p w14:paraId="0A8AB888" w14:textId="253C0EFF" w:rsidR="00E84B0C" w:rsidRPr="00E84B0C" w:rsidRDefault="00EA169A" w:rsidP="00954239">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Saldo em 31/12/2023</w:t>
            </w:r>
          </w:p>
        </w:tc>
        <w:tc>
          <w:tcPr>
            <w:tcW w:w="798" w:type="dxa"/>
            <w:tcBorders>
              <w:top w:val="nil"/>
              <w:left w:val="nil"/>
              <w:bottom w:val="single" w:sz="8" w:space="0" w:color="000000" w:themeColor="text1"/>
              <w:right w:val="nil"/>
            </w:tcBorders>
            <w:shd w:val="clear" w:color="auto" w:fill="DEEAF6" w:themeFill="accent1" w:themeFillTint="33"/>
            <w:vAlign w:val="center"/>
            <w:hideMark/>
          </w:tcPr>
          <w:p w14:paraId="06D5EFA8" w14:textId="77777777" w:rsidR="00E84B0C" w:rsidRPr="00E84B0C" w:rsidRDefault="00E84B0C" w:rsidP="00E84B0C">
            <w:pPr>
              <w:spacing w:after="0" w:line="240" w:lineRule="auto"/>
              <w:jc w:val="center"/>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Entradas</w:t>
            </w:r>
          </w:p>
        </w:tc>
        <w:tc>
          <w:tcPr>
            <w:tcW w:w="941" w:type="dxa"/>
            <w:tcBorders>
              <w:top w:val="nil"/>
              <w:left w:val="nil"/>
              <w:bottom w:val="single" w:sz="8" w:space="0" w:color="000000" w:themeColor="text1"/>
              <w:right w:val="nil"/>
            </w:tcBorders>
            <w:shd w:val="clear" w:color="auto" w:fill="DEEAF6" w:themeFill="accent1" w:themeFillTint="33"/>
            <w:vAlign w:val="center"/>
            <w:hideMark/>
          </w:tcPr>
          <w:p w14:paraId="5857C6FD" w14:textId="782428BE" w:rsidR="00E84B0C" w:rsidRPr="00E84B0C" w:rsidRDefault="00E84B0C" w:rsidP="00E84B0C">
            <w:pPr>
              <w:spacing w:after="0" w:line="240" w:lineRule="auto"/>
              <w:jc w:val="center"/>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Baixa</w:t>
            </w:r>
          </w:p>
        </w:tc>
        <w:tc>
          <w:tcPr>
            <w:tcW w:w="875" w:type="dxa"/>
            <w:tcBorders>
              <w:top w:val="nil"/>
              <w:left w:val="nil"/>
              <w:bottom w:val="single" w:sz="8" w:space="0" w:color="000000" w:themeColor="text1"/>
              <w:right w:val="nil"/>
            </w:tcBorders>
            <w:shd w:val="clear" w:color="auto" w:fill="DEEAF6" w:themeFill="accent1" w:themeFillTint="33"/>
            <w:vAlign w:val="center"/>
            <w:hideMark/>
          </w:tcPr>
          <w:p w14:paraId="3A79B246" w14:textId="77777777" w:rsidR="00E84B0C" w:rsidRPr="00E84B0C" w:rsidRDefault="00E84B0C" w:rsidP="00954239">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Amortização</w:t>
            </w:r>
          </w:p>
        </w:tc>
        <w:tc>
          <w:tcPr>
            <w:tcW w:w="864" w:type="dxa"/>
            <w:tcBorders>
              <w:top w:val="nil"/>
              <w:left w:val="nil"/>
              <w:bottom w:val="single" w:sz="8" w:space="0" w:color="000000" w:themeColor="text1"/>
              <w:right w:val="nil"/>
            </w:tcBorders>
            <w:shd w:val="clear" w:color="auto" w:fill="DEEAF6" w:themeFill="accent1" w:themeFillTint="33"/>
            <w:vAlign w:val="center"/>
            <w:hideMark/>
          </w:tcPr>
          <w:p w14:paraId="69B90384" w14:textId="77777777" w:rsidR="00E84B0C" w:rsidRPr="00E84B0C" w:rsidRDefault="00E84B0C" w:rsidP="00954239">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Saldo em 31/03/2024</w:t>
            </w:r>
          </w:p>
        </w:tc>
      </w:tr>
      <w:tr w:rsidR="0047458D" w:rsidRPr="00E84B0C" w14:paraId="1813B64C" w14:textId="77777777" w:rsidTr="0082350A">
        <w:trPr>
          <w:trHeight w:val="227"/>
        </w:trPr>
        <w:tc>
          <w:tcPr>
            <w:tcW w:w="3483" w:type="dxa"/>
            <w:tcBorders>
              <w:top w:val="nil"/>
              <w:left w:val="nil"/>
              <w:bottom w:val="dotted" w:sz="4" w:space="0" w:color="auto"/>
              <w:right w:val="nil"/>
            </w:tcBorders>
            <w:shd w:val="clear" w:color="auto" w:fill="auto"/>
            <w:noWrap/>
            <w:vAlign w:val="center"/>
            <w:hideMark/>
          </w:tcPr>
          <w:p w14:paraId="4CC56A5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01/2019 – Acordo IFC</w:t>
            </w:r>
          </w:p>
        </w:tc>
        <w:tc>
          <w:tcPr>
            <w:tcW w:w="2628" w:type="dxa"/>
            <w:tcBorders>
              <w:top w:val="nil"/>
              <w:left w:val="nil"/>
              <w:bottom w:val="dotted" w:sz="4" w:space="0" w:color="auto"/>
              <w:right w:val="nil"/>
            </w:tcBorders>
            <w:shd w:val="clear" w:color="auto" w:fill="auto"/>
            <w:noWrap/>
            <w:vAlign w:val="center"/>
            <w:hideMark/>
          </w:tcPr>
          <w:p w14:paraId="4C8C9E8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Anel de Integração</w:t>
            </w:r>
          </w:p>
        </w:tc>
        <w:tc>
          <w:tcPr>
            <w:tcW w:w="878" w:type="dxa"/>
            <w:tcBorders>
              <w:top w:val="single" w:sz="8" w:space="0" w:color="auto"/>
              <w:left w:val="nil"/>
              <w:bottom w:val="dotted" w:sz="4" w:space="0" w:color="auto"/>
              <w:right w:val="nil"/>
            </w:tcBorders>
            <w:shd w:val="clear" w:color="auto" w:fill="auto"/>
            <w:noWrap/>
            <w:vAlign w:val="center"/>
            <w:hideMark/>
          </w:tcPr>
          <w:p w14:paraId="49A9CF72" w14:textId="497BE66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26.916.964</w:t>
            </w:r>
          </w:p>
        </w:tc>
        <w:tc>
          <w:tcPr>
            <w:tcW w:w="798" w:type="dxa"/>
            <w:tcBorders>
              <w:top w:val="nil"/>
              <w:left w:val="nil"/>
              <w:bottom w:val="dotted" w:sz="4" w:space="0" w:color="auto"/>
              <w:right w:val="nil"/>
            </w:tcBorders>
            <w:shd w:val="clear" w:color="auto" w:fill="auto"/>
            <w:noWrap/>
            <w:vAlign w:val="center"/>
            <w:hideMark/>
          </w:tcPr>
          <w:p w14:paraId="128829AD" w14:textId="535E4F9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dotted" w:sz="4" w:space="0" w:color="auto"/>
              <w:right w:val="nil"/>
            </w:tcBorders>
            <w:shd w:val="clear" w:color="auto" w:fill="auto"/>
            <w:noWrap/>
            <w:vAlign w:val="center"/>
            <w:hideMark/>
          </w:tcPr>
          <w:p w14:paraId="0CB37C7C" w14:textId="7191CDF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dotted" w:sz="4" w:space="0" w:color="auto"/>
              <w:right w:val="nil"/>
            </w:tcBorders>
            <w:shd w:val="clear" w:color="auto" w:fill="auto"/>
            <w:noWrap/>
            <w:vAlign w:val="center"/>
            <w:hideMark/>
          </w:tcPr>
          <w:p w14:paraId="5CBB6215" w14:textId="10C7C3B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dotted" w:sz="4" w:space="0" w:color="auto"/>
              <w:right w:val="nil"/>
            </w:tcBorders>
            <w:shd w:val="clear" w:color="auto" w:fill="auto"/>
            <w:noWrap/>
            <w:vAlign w:val="center"/>
            <w:hideMark/>
          </w:tcPr>
          <w:p w14:paraId="1BAEB2F2" w14:textId="2E9A0166"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26.916.964</w:t>
            </w:r>
          </w:p>
        </w:tc>
      </w:tr>
      <w:tr w:rsidR="0047458D" w:rsidRPr="00E84B0C" w14:paraId="6E2AB650" w14:textId="77777777" w:rsidTr="0082350A">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474546E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13/2017 – IFC</w:t>
            </w:r>
          </w:p>
        </w:tc>
        <w:tc>
          <w:tcPr>
            <w:tcW w:w="2628" w:type="dxa"/>
            <w:tcBorders>
              <w:top w:val="dotted" w:sz="4" w:space="0" w:color="auto"/>
              <w:left w:val="nil"/>
              <w:right w:val="nil"/>
            </w:tcBorders>
            <w:shd w:val="clear" w:color="auto" w:fill="auto"/>
            <w:noWrap/>
            <w:vAlign w:val="center"/>
            <w:hideMark/>
          </w:tcPr>
          <w:p w14:paraId="47BE7FE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BR-153/080/414/TO/GO</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723CEB1F" w14:textId="0C8708D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10.340.782</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2615054A" w14:textId="082610A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vMerge w:val="restart"/>
            <w:tcBorders>
              <w:top w:val="dotted" w:sz="4" w:space="0" w:color="auto"/>
              <w:left w:val="nil"/>
              <w:bottom w:val="dotted" w:sz="4" w:space="0" w:color="auto"/>
              <w:right w:val="nil"/>
            </w:tcBorders>
            <w:shd w:val="clear" w:color="auto" w:fill="auto"/>
            <w:noWrap/>
            <w:vAlign w:val="center"/>
            <w:hideMark/>
          </w:tcPr>
          <w:p w14:paraId="0F78B9A2" w14:textId="69EE49C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noWrap/>
            <w:vAlign w:val="center"/>
            <w:hideMark/>
          </w:tcPr>
          <w:p w14:paraId="257635D9" w14:textId="66AAD43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42FC8FF0" w14:textId="1230D4A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10.340.782</w:t>
            </w:r>
          </w:p>
        </w:tc>
      </w:tr>
      <w:tr w:rsidR="0047458D" w:rsidRPr="00E84B0C" w14:paraId="2ECA9A33" w14:textId="77777777" w:rsidTr="0082350A">
        <w:trPr>
          <w:trHeight w:val="227"/>
        </w:trPr>
        <w:tc>
          <w:tcPr>
            <w:tcW w:w="3483" w:type="dxa"/>
            <w:vMerge/>
            <w:tcBorders>
              <w:top w:val="dotted" w:sz="4" w:space="0" w:color="auto"/>
              <w:bottom w:val="dotted" w:sz="4" w:space="0" w:color="auto"/>
            </w:tcBorders>
            <w:vAlign w:val="center"/>
            <w:hideMark/>
          </w:tcPr>
          <w:p w14:paraId="77A109E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7804EF73"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BR-116/101/SP/RJ (Dutra)</w:t>
            </w:r>
          </w:p>
        </w:tc>
        <w:tc>
          <w:tcPr>
            <w:tcW w:w="878" w:type="dxa"/>
            <w:vMerge/>
            <w:tcBorders>
              <w:top w:val="dotted" w:sz="4" w:space="0" w:color="auto"/>
              <w:bottom w:val="dotted" w:sz="4" w:space="0" w:color="auto"/>
            </w:tcBorders>
            <w:vAlign w:val="center"/>
            <w:hideMark/>
          </w:tcPr>
          <w:p w14:paraId="70631293"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23CC7EB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772659A4"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1549F20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50D5A292"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0C0CF994" w14:textId="77777777" w:rsidTr="0082350A">
        <w:trPr>
          <w:trHeight w:val="227"/>
        </w:trPr>
        <w:tc>
          <w:tcPr>
            <w:tcW w:w="3483" w:type="dxa"/>
            <w:vMerge/>
            <w:tcBorders>
              <w:top w:val="dotted" w:sz="4" w:space="0" w:color="auto"/>
              <w:bottom w:val="dotted" w:sz="4" w:space="0" w:color="auto"/>
            </w:tcBorders>
            <w:vAlign w:val="center"/>
            <w:hideMark/>
          </w:tcPr>
          <w:p w14:paraId="2D8A643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3133ECC6"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BR-040/495/MG/RJ (Concer)</w:t>
            </w:r>
          </w:p>
        </w:tc>
        <w:tc>
          <w:tcPr>
            <w:tcW w:w="878" w:type="dxa"/>
            <w:vMerge/>
            <w:tcBorders>
              <w:top w:val="dotted" w:sz="4" w:space="0" w:color="auto"/>
              <w:bottom w:val="dotted" w:sz="4" w:space="0" w:color="auto"/>
            </w:tcBorders>
            <w:vAlign w:val="center"/>
            <w:hideMark/>
          </w:tcPr>
          <w:p w14:paraId="300F2A64"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50DA1C9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5A8793A9"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1E38AD3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7F58C866"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7C0453E8" w14:textId="77777777" w:rsidTr="0082350A">
        <w:trPr>
          <w:trHeight w:val="227"/>
        </w:trPr>
        <w:tc>
          <w:tcPr>
            <w:tcW w:w="3483" w:type="dxa"/>
            <w:vMerge/>
            <w:tcBorders>
              <w:top w:val="dotted" w:sz="4" w:space="0" w:color="auto"/>
              <w:bottom w:val="dotted" w:sz="4" w:space="0" w:color="auto"/>
            </w:tcBorders>
            <w:vAlign w:val="center"/>
            <w:hideMark/>
          </w:tcPr>
          <w:p w14:paraId="68CF547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74E75D4C"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BR-116/493/RJ/MG (CRT)</w:t>
            </w:r>
          </w:p>
        </w:tc>
        <w:tc>
          <w:tcPr>
            <w:tcW w:w="878" w:type="dxa"/>
            <w:vMerge/>
            <w:tcBorders>
              <w:top w:val="dotted" w:sz="4" w:space="0" w:color="auto"/>
              <w:bottom w:val="dotted" w:sz="4" w:space="0" w:color="auto"/>
            </w:tcBorders>
            <w:vAlign w:val="center"/>
            <w:hideMark/>
          </w:tcPr>
          <w:p w14:paraId="6AF31C2D"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0B8CD60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34FB5868"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297B5869"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7BFB8AAF"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2E813DCF"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4D13E0B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02/2021 – Acordo BID</w:t>
            </w:r>
          </w:p>
        </w:tc>
        <w:tc>
          <w:tcPr>
            <w:tcW w:w="2628" w:type="dxa"/>
            <w:tcBorders>
              <w:top w:val="dotted" w:sz="4" w:space="0" w:color="auto"/>
              <w:left w:val="nil"/>
              <w:bottom w:val="dotted" w:sz="4" w:space="0" w:color="auto"/>
              <w:right w:val="nil"/>
            </w:tcBorders>
            <w:shd w:val="clear" w:color="auto" w:fill="auto"/>
            <w:noWrap/>
            <w:vAlign w:val="center"/>
            <w:hideMark/>
          </w:tcPr>
          <w:p w14:paraId="0E9FD86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Malha Rodoviária de SC</w:t>
            </w:r>
          </w:p>
        </w:tc>
        <w:tc>
          <w:tcPr>
            <w:tcW w:w="878" w:type="dxa"/>
            <w:tcBorders>
              <w:top w:val="dotted" w:sz="4" w:space="0" w:color="auto"/>
              <w:left w:val="nil"/>
              <w:bottom w:val="dotted" w:sz="4" w:space="0" w:color="auto"/>
              <w:right w:val="nil"/>
            </w:tcBorders>
            <w:shd w:val="clear" w:color="auto" w:fill="auto"/>
            <w:noWrap/>
            <w:vAlign w:val="center"/>
            <w:hideMark/>
          </w:tcPr>
          <w:p w14:paraId="253E4CDA" w14:textId="3CFA42C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7.128.367</w:t>
            </w:r>
          </w:p>
        </w:tc>
        <w:tc>
          <w:tcPr>
            <w:tcW w:w="798" w:type="dxa"/>
            <w:tcBorders>
              <w:top w:val="dotted" w:sz="4" w:space="0" w:color="auto"/>
              <w:left w:val="nil"/>
              <w:bottom w:val="dotted" w:sz="4" w:space="0" w:color="auto"/>
              <w:right w:val="nil"/>
            </w:tcBorders>
            <w:shd w:val="clear" w:color="auto" w:fill="auto"/>
            <w:noWrap/>
            <w:vAlign w:val="center"/>
            <w:hideMark/>
          </w:tcPr>
          <w:p w14:paraId="621701B6" w14:textId="24C2E43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2.555.543</w:t>
            </w:r>
          </w:p>
        </w:tc>
        <w:tc>
          <w:tcPr>
            <w:tcW w:w="941" w:type="dxa"/>
            <w:tcBorders>
              <w:top w:val="dotted" w:sz="4" w:space="0" w:color="auto"/>
              <w:left w:val="nil"/>
              <w:bottom w:val="dotted" w:sz="4" w:space="0" w:color="auto"/>
              <w:right w:val="nil"/>
            </w:tcBorders>
            <w:shd w:val="clear" w:color="auto" w:fill="auto"/>
            <w:noWrap/>
            <w:vAlign w:val="center"/>
            <w:hideMark/>
          </w:tcPr>
          <w:p w14:paraId="27A99E00" w14:textId="72B7997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311F3BA5" w14:textId="7987E11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63FF406" w14:textId="18BEB64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9.683.910</w:t>
            </w:r>
          </w:p>
        </w:tc>
      </w:tr>
      <w:tr w:rsidR="0047458D" w:rsidRPr="00E84B0C" w14:paraId="230FB0A4"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2F2CE77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05/2019 – MRS</w:t>
            </w:r>
          </w:p>
        </w:tc>
        <w:tc>
          <w:tcPr>
            <w:tcW w:w="2628" w:type="dxa"/>
            <w:tcBorders>
              <w:top w:val="dotted" w:sz="4" w:space="0" w:color="auto"/>
              <w:left w:val="nil"/>
              <w:bottom w:val="dotted" w:sz="4" w:space="0" w:color="auto"/>
              <w:right w:val="nil"/>
            </w:tcBorders>
            <w:shd w:val="clear" w:color="auto" w:fill="auto"/>
            <w:noWrap/>
            <w:vAlign w:val="center"/>
            <w:hideMark/>
          </w:tcPr>
          <w:p w14:paraId="68B7D18F"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EF-170</w:t>
            </w:r>
          </w:p>
        </w:tc>
        <w:tc>
          <w:tcPr>
            <w:tcW w:w="878" w:type="dxa"/>
            <w:tcBorders>
              <w:top w:val="dotted" w:sz="4" w:space="0" w:color="auto"/>
              <w:left w:val="nil"/>
              <w:bottom w:val="dotted" w:sz="4" w:space="0" w:color="auto"/>
              <w:right w:val="nil"/>
            </w:tcBorders>
            <w:shd w:val="clear" w:color="auto" w:fill="auto"/>
            <w:noWrap/>
            <w:vAlign w:val="center"/>
            <w:hideMark/>
          </w:tcPr>
          <w:p w14:paraId="6EEF5049" w14:textId="192F5AD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6.550.676</w:t>
            </w:r>
          </w:p>
        </w:tc>
        <w:tc>
          <w:tcPr>
            <w:tcW w:w="798" w:type="dxa"/>
            <w:tcBorders>
              <w:top w:val="dotted" w:sz="4" w:space="0" w:color="auto"/>
              <w:left w:val="nil"/>
              <w:bottom w:val="dotted" w:sz="4" w:space="0" w:color="auto"/>
              <w:right w:val="nil"/>
            </w:tcBorders>
            <w:shd w:val="clear" w:color="auto" w:fill="auto"/>
            <w:noWrap/>
            <w:vAlign w:val="center"/>
            <w:hideMark/>
          </w:tcPr>
          <w:p w14:paraId="6DE7EB97" w14:textId="2C883E1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7545EF6C" w14:textId="1637FDF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16FEEDE9" w14:textId="708FD7E6"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4CF9B7DE" w14:textId="7406235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6.550.676</w:t>
            </w:r>
          </w:p>
        </w:tc>
      </w:tr>
      <w:tr w:rsidR="0047458D" w:rsidRPr="00E84B0C" w14:paraId="1292FAF0"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2BF85A1F"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11/2018 – </w:t>
            </w:r>
            <w:proofErr w:type="spellStart"/>
            <w:r w:rsidRPr="00E84B0C">
              <w:rPr>
                <w:rFonts w:ascii="Calibri" w:eastAsia="Times New Roman" w:hAnsi="Calibri" w:cs="Calibri"/>
                <w:color w:val="000000"/>
                <w:sz w:val="14"/>
                <w:szCs w:val="14"/>
              </w:rPr>
              <w:t>Egis</w:t>
            </w:r>
            <w:proofErr w:type="spellEnd"/>
            <w:r w:rsidRPr="00E84B0C">
              <w:rPr>
                <w:rFonts w:ascii="Calibri" w:eastAsia="Times New Roman" w:hAnsi="Calibri" w:cs="Calibri"/>
                <w:color w:val="000000"/>
                <w:sz w:val="14"/>
                <w:szCs w:val="14"/>
              </w:rPr>
              <w:t xml:space="preserve">/ </w:t>
            </w:r>
            <w:proofErr w:type="spellStart"/>
            <w:r w:rsidRPr="00E84B0C">
              <w:rPr>
                <w:rFonts w:ascii="Calibri" w:eastAsia="Times New Roman" w:hAnsi="Calibri" w:cs="Calibri"/>
                <w:color w:val="000000"/>
                <w:sz w:val="14"/>
                <w:szCs w:val="14"/>
              </w:rPr>
              <w:t>Engemin</w:t>
            </w:r>
            <w:proofErr w:type="spellEnd"/>
          </w:p>
        </w:tc>
        <w:tc>
          <w:tcPr>
            <w:tcW w:w="2628" w:type="dxa"/>
            <w:tcBorders>
              <w:top w:val="dotted" w:sz="4" w:space="0" w:color="auto"/>
              <w:left w:val="nil"/>
              <w:bottom w:val="dotted" w:sz="4" w:space="0" w:color="auto"/>
              <w:right w:val="nil"/>
            </w:tcBorders>
            <w:shd w:val="clear" w:color="auto" w:fill="auto"/>
            <w:noWrap/>
            <w:vAlign w:val="center"/>
            <w:hideMark/>
          </w:tcPr>
          <w:p w14:paraId="71A6293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BR/364/MT/RO</w:t>
            </w:r>
          </w:p>
        </w:tc>
        <w:tc>
          <w:tcPr>
            <w:tcW w:w="878" w:type="dxa"/>
            <w:tcBorders>
              <w:top w:val="dotted" w:sz="4" w:space="0" w:color="auto"/>
              <w:left w:val="nil"/>
              <w:bottom w:val="dotted" w:sz="4" w:space="0" w:color="auto"/>
              <w:right w:val="nil"/>
            </w:tcBorders>
            <w:shd w:val="clear" w:color="auto" w:fill="auto"/>
            <w:noWrap/>
            <w:vAlign w:val="center"/>
            <w:hideMark/>
          </w:tcPr>
          <w:p w14:paraId="0E88B1B3" w14:textId="2AC4327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4.179.365</w:t>
            </w:r>
          </w:p>
        </w:tc>
        <w:tc>
          <w:tcPr>
            <w:tcW w:w="798" w:type="dxa"/>
            <w:tcBorders>
              <w:top w:val="dotted" w:sz="4" w:space="0" w:color="auto"/>
              <w:left w:val="nil"/>
              <w:bottom w:val="dotted" w:sz="4" w:space="0" w:color="auto"/>
              <w:right w:val="nil"/>
            </w:tcBorders>
            <w:shd w:val="clear" w:color="auto" w:fill="auto"/>
            <w:noWrap/>
            <w:vAlign w:val="center"/>
            <w:hideMark/>
          </w:tcPr>
          <w:p w14:paraId="2D15DDD8" w14:textId="3947B136"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3AEC7BB0" w14:textId="0099E12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1D51EF13" w14:textId="2C62F82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6B4D6119" w14:textId="7286BB8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4.179.365</w:t>
            </w:r>
          </w:p>
        </w:tc>
      </w:tr>
      <w:tr w:rsidR="0047458D" w:rsidRPr="00E84B0C" w14:paraId="308AD4A9"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2BB19099"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16/2015 – MRS</w:t>
            </w:r>
          </w:p>
        </w:tc>
        <w:tc>
          <w:tcPr>
            <w:tcW w:w="2628" w:type="dxa"/>
            <w:tcBorders>
              <w:top w:val="dotted" w:sz="4" w:space="0" w:color="auto"/>
              <w:left w:val="nil"/>
              <w:bottom w:val="dotted" w:sz="4" w:space="0" w:color="auto"/>
              <w:right w:val="nil"/>
            </w:tcBorders>
            <w:shd w:val="clear" w:color="auto" w:fill="auto"/>
            <w:noWrap/>
            <w:vAlign w:val="center"/>
            <w:hideMark/>
          </w:tcPr>
          <w:p w14:paraId="5604F50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BR-156/476/282/480</w:t>
            </w:r>
          </w:p>
        </w:tc>
        <w:tc>
          <w:tcPr>
            <w:tcW w:w="878" w:type="dxa"/>
            <w:tcBorders>
              <w:top w:val="dotted" w:sz="4" w:space="0" w:color="auto"/>
              <w:left w:val="nil"/>
              <w:bottom w:val="dotted" w:sz="4" w:space="0" w:color="auto"/>
              <w:right w:val="nil"/>
            </w:tcBorders>
            <w:shd w:val="clear" w:color="auto" w:fill="auto"/>
            <w:noWrap/>
            <w:vAlign w:val="center"/>
            <w:hideMark/>
          </w:tcPr>
          <w:p w14:paraId="1738F745" w14:textId="7E620CB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3.908.420</w:t>
            </w:r>
          </w:p>
        </w:tc>
        <w:tc>
          <w:tcPr>
            <w:tcW w:w="798" w:type="dxa"/>
            <w:tcBorders>
              <w:top w:val="dotted" w:sz="4" w:space="0" w:color="auto"/>
              <w:left w:val="nil"/>
              <w:bottom w:val="dotted" w:sz="4" w:space="0" w:color="auto"/>
              <w:right w:val="nil"/>
            </w:tcBorders>
            <w:shd w:val="clear" w:color="auto" w:fill="auto"/>
            <w:noWrap/>
            <w:vAlign w:val="center"/>
            <w:hideMark/>
          </w:tcPr>
          <w:p w14:paraId="7F72D0DA" w14:textId="31E5AFF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72C343A3" w14:textId="40A0AC9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4806BB93" w14:textId="459B39D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4556DDE1" w14:textId="4AACC1A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3.908.420</w:t>
            </w:r>
          </w:p>
        </w:tc>
      </w:tr>
      <w:tr w:rsidR="0047458D" w:rsidRPr="00E84B0C" w14:paraId="0294317A"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590D1BA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16/2021 – SKILL</w:t>
            </w:r>
          </w:p>
        </w:tc>
        <w:tc>
          <w:tcPr>
            <w:tcW w:w="2628" w:type="dxa"/>
            <w:tcBorders>
              <w:top w:val="dotted" w:sz="4" w:space="0" w:color="auto"/>
              <w:left w:val="nil"/>
              <w:bottom w:val="dotted" w:sz="4" w:space="0" w:color="auto"/>
              <w:right w:val="nil"/>
            </w:tcBorders>
            <w:shd w:val="clear" w:color="auto" w:fill="auto"/>
            <w:noWrap/>
            <w:vAlign w:val="center"/>
            <w:hideMark/>
          </w:tcPr>
          <w:p w14:paraId="66EAC1B6"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 158/MT - Trecho Norte e Sul</w:t>
            </w:r>
          </w:p>
        </w:tc>
        <w:tc>
          <w:tcPr>
            <w:tcW w:w="878" w:type="dxa"/>
            <w:tcBorders>
              <w:top w:val="dotted" w:sz="4" w:space="0" w:color="auto"/>
              <w:left w:val="nil"/>
              <w:bottom w:val="dotted" w:sz="4" w:space="0" w:color="auto"/>
              <w:right w:val="nil"/>
            </w:tcBorders>
            <w:shd w:val="clear" w:color="auto" w:fill="auto"/>
            <w:noWrap/>
            <w:vAlign w:val="center"/>
            <w:hideMark/>
          </w:tcPr>
          <w:p w14:paraId="57166079" w14:textId="7BE4C51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5.091.864</w:t>
            </w:r>
          </w:p>
        </w:tc>
        <w:tc>
          <w:tcPr>
            <w:tcW w:w="798" w:type="dxa"/>
            <w:tcBorders>
              <w:top w:val="dotted" w:sz="4" w:space="0" w:color="auto"/>
              <w:left w:val="nil"/>
              <w:bottom w:val="dotted" w:sz="4" w:space="0" w:color="auto"/>
              <w:right w:val="nil"/>
            </w:tcBorders>
            <w:shd w:val="clear" w:color="auto" w:fill="auto"/>
            <w:noWrap/>
            <w:vAlign w:val="center"/>
            <w:hideMark/>
          </w:tcPr>
          <w:p w14:paraId="107FD761" w14:textId="7AEB8E7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13765A6A" w14:textId="67C55B7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3E77547F" w14:textId="2B8E35A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02F16AA0" w14:textId="5D7E75C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5.091.864</w:t>
            </w:r>
          </w:p>
        </w:tc>
      </w:tr>
      <w:tr w:rsidR="0047458D" w:rsidRPr="00E84B0C" w14:paraId="5233D90A"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0A3AD56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lastRenderedPageBreak/>
              <w:t>06/2022 – Consórcio EF 170</w:t>
            </w:r>
          </w:p>
        </w:tc>
        <w:tc>
          <w:tcPr>
            <w:tcW w:w="2628" w:type="dxa"/>
            <w:tcBorders>
              <w:top w:val="dotted" w:sz="4" w:space="0" w:color="auto"/>
              <w:left w:val="nil"/>
              <w:bottom w:val="dotted" w:sz="4" w:space="0" w:color="auto"/>
              <w:right w:val="nil"/>
            </w:tcBorders>
            <w:shd w:val="clear" w:color="auto" w:fill="auto"/>
            <w:noWrap/>
            <w:vAlign w:val="center"/>
            <w:hideMark/>
          </w:tcPr>
          <w:p w14:paraId="0E190D0E"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EF-170</w:t>
            </w:r>
          </w:p>
        </w:tc>
        <w:tc>
          <w:tcPr>
            <w:tcW w:w="878" w:type="dxa"/>
            <w:tcBorders>
              <w:top w:val="dotted" w:sz="4" w:space="0" w:color="auto"/>
              <w:left w:val="nil"/>
              <w:bottom w:val="dotted" w:sz="4" w:space="0" w:color="auto"/>
              <w:right w:val="nil"/>
            </w:tcBorders>
            <w:shd w:val="clear" w:color="auto" w:fill="auto"/>
            <w:noWrap/>
            <w:vAlign w:val="center"/>
            <w:hideMark/>
          </w:tcPr>
          <w:p w14:paraId="721698FC" w14:textId="2787230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4.863.955</w:t>
            </w:r>
          </w:p>
        </w:tc>
        <w:tc>
          <w:tcPr>
            <w:tcW w:w="798" w:type="dxa"/>
            <w:tcBorders>
              <w:top w:val="dotted" w:sz="4" w:space="0" w:color="auto"/>
              <w:left w:val="nil"/>
              <w:bottom w:val="dotted" w:sz="4" w:space="0" w:color="auto"/>
              <w:right w:val="nil"/>
            </w:tcBorders>
            <w:shd w:val="clear" w:color="auto" w:fill="auto"/>
            <w:noWrap/>
            <w:vAlign w:val="center"/>
            <w:hideMark/>
          </w:tcPr>
          <w:p w14:paraId="67F7ED74" w14:textId="792C9E4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2D5D7726" w14:textId="5B168C4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75B0B7E1" w14:textId="0036A43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78B3318" w14:textId="2FF0F2E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4.863.955</w:t>
            </w:r>
          </w:p>
        </w:tc>
      </w:tr>
      <w:tr w:rsidR="0047458D" w:rsidRPr="00E84B0C" w14:paraId="4184CB1A"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2A1A2CC0"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SR/MT 762/2020 – MRS</w:t>
            </w:r>
          </w:p>
        </w:tc>
        <w:tc>
          <w:tcPr>
            <w:tcW w:w="2628" w:type="dxa"/>
            <w:tcBorders>
              <w:top w:val="dotted" w:sz="4" w:space="0" w:color="auto"/>
              <w:left w:val="nil"/>
              <w:bottom w:val="dotted" w:sz="4" w:space="0" w:color="auto"/>
              <w:right w:val="nil"/>
            </w:tcBorders>
            <w:shd w:val="clear" w:color="auto" w:fill="auto"/>
            <w:noWrap/>
            <w:vAlign w:val="center"/>
            <w:hideMark/>
          </w:tcPr>
          <w:p w14:paraId="49338C9A" w14:textId="6AEC3AF4"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BR-158/MT -</w:t>
            </w:r>
            <w:r w:rsidR="00490EEB">
              <w:rPr>
                <w:rFonts w:ascii="Calibri" w:eastAsia="Times New Roman" w:hAnsi="Calibri" w:cs="Calibri"/>
                <w:color w:val="000000"/>
                <w:sz w:val="14"/>
                <w:szCs w:val="14"/>
              </w:rPr>
              <w:t xml:space="preserve"> </w:t>
            </w:r>
            <w:r w:rsidRPr="00E84B0C">
              <w:rPr>
                <w:rFonts w:ascii="Calibri" w:eastAsia="Times New Roman" w:hAnsi="Calibri" w:cs="Calibri"/>
                <w:color w:val="000000"/>
                <w:sz w:val="14"/>
                <w:szCs w:val="14"/>
              </w:rPr>
              <w:t>Trecho Norte</w:t>
            </w:r>
          </w:p>
        </w:tc>
        <w:tc>
          <w:tcPr>
            <w:tcW w:w="878" w:type="dxa"/>
            <w:tcBorders>
              <w:top w:val="dotted" w:sz="4" w:space="0" w:color="auto"/>
              <w:left w:val="nil"/>
              <w:bottom w:val="dotted" w:sz="4" w:space="0" w:color="auto"/>
              <w:right w:val="nil"/>
            </w:tcBorders>
            <w:shd w:val="clear" w:color="auto" w:fill="auto"/>
            <w:noWrap/>
            <w:vAlign w:val="center"/>
            <w:hideMark/>
          </w:tcPr>
          <w:p w14:paraId="59A5DB64" w14:textId="6732CF8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6.117.024</w:t>
            </w:r>
          </w:p>
        </w:tc>
        <w:tc>
          <w:tcPr>
            <w:tcW w:w="798" w:type="dxa"/>
            <w:tcBorders>
              <w:top w:val="dotted" w:sz="4" w:space="0" w:color="auto"/>
              <w:left w:val="nil"/>
              <w:bottom w:val="dotted" w:sz="4" w:space="0" w:color="auto"/>
              <w:right w:val="nil"/>
            </w:tcBorders>
            <w:shd w:val="clear" w:color="auto" w:fill="auto"/>
            <w:noWrap/>
            <w:vAlign w:val="center"/>
            <w:hideMark/>
          </w:tcPr>
          <w:p w14:paraId="4ADE774D" w14:textId="009E3F66"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96.035</w:t>
            </w:r>
          </w:p>
        </w:tc>
        <w:tc>
          <w:tcPr>
            <w:tcW w:w="941" w:type="dxa"/>
            <w:tcBorders>
              <w:top w:val="dotted" w:sz="4" w:space="0" w:color="auto"/>
              <w:left w:val="nil"/>
              <w:bottom w:val="dotted" w:sz="4" w:space="0" w:color="auto"/>
              <w:right w:val="nil"/>
            </w:tcBorders>
            <w:shd w:val="clear" w:color="auto" w:fill="auto"/>
            <w:noWrap/>
            <w:vAlign w:val="center"/>
            <w:hideMark/>
          </w:tcPr>
          <w:p w14:paraId="539394FF" w14:textId="6A7C785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5FC7D42D" w14:textId="635E9FB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0239E83" w14:textId="5CAFB5F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6.213.059</w:t>
            </w:r>
          </w:p>
        </w:tc>
      </w:tr>
      <w:tr w:rsidR="0047458D" w:rsidRPr="00E84B0C" w14:paraId="15EEBAB9" w14:textId="77777777" w:rsidTr="007F2969">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1E70712D"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17/2015 – MRS</w:t>
            </w:r>
          </w:p>
        </w:tc>
        <w:tc>
          <w:tcPr>
            <w:tcW w:w="2628" w:type="dxa"/>
            <w:tcBorders>
              <w:top w:val="dotted" w:sz="4" w:space="0" w:color="auto"/>
              <w:left w:val="nil"/>
              <w:bottom w:val="dotted" w:sz="4" w:space="0" w:color="auto"/>
              <w:right w:val="nil"/>
            </w:tcBorders>
            <w:shd w:val="clear" w:color="auto" w:fill="auto"/>
            <w:noWrap/>
            <w:vAlign w:val="center"/>
            <w:hideMark/>
          </w:tcPr>
          <w:p w14:paraId="5AB27ED2" w14:textId="30481B6C" w:rsidR="00E84B0C" w:rsidRPr="00E84B0C" w:rsidRDefault="009D3C9E" w:rsidP="00E84B0C">
            <w:pPr>
              <w:spacing w:after="0" w:line="240" w:lineRule="auto"/>
              <w:rPr>
                <w:rFonts w:ascii="Calibri" w:eastAsia="Times New Roman" w:hAnsi="Calibri" w:cs="Calibri"/>
                <w:color w:val="000000"/>
                <w:sz w:val="14"/>
                <w:szCs w:val="14"/>
              </w:rPr>
            </w:pPr>
            <w:r w:rsidRPr="009D3C9E">
              <w:rPr>
                <w:rFonts w:ascii="Calibri" w:eastAsia="Times New Roman" w:hAnsi="Calibri" w:cs="Calibri"/>
                <w:color w:val="000000"/>
                <w:sz w:val="14"/>
                <w:szCs w:val="14"/>
              </w:rPr>
              <w:t>364/060/MT/GO</w:t>
            </w:r>
          </w:p>
        </w:tc>
        <w:tc>
          <w:tcPr>
            <w:tcW w:w="878" w:type="dxa"/>
            <w:tcBorders>
              <w:top w:val="dotted" w:sz="4" w:space="0" w:color="auto"/>
              <w:left w:val="nil"/>
              <w:bottom w:val="dotted" w:sz="4" w:space="0" w:color="auto"/>
              <w:right w:val="nil"/>
            </w:tcBorders>
            <w:shd w:val="clear" w:color="auto" w:fill="auto"/>
            <w:noWrap/>
            <w:vAlign w:val="center"/>
            <w:hideMark/>
          </w:tcPr>
          <w:p w14:paraId="0CB83654" w14:textId="130B364F" w:rsidR="00E84B0C" w:rsidRPr="001664D9" w:rsidRDefault="00E84B0C" w:rsidP="00E84B0C">
            <w:pPr>
              <w:spacing w:after="0" w:line="240" w:lineRule="auto"/>
              <w:jc w:val="right"/>
              <w:rPr>
                <w:rFonts w:ascii="Calibri" w:eastAsia="Times New Roman" w:hAnsi="Calibri" w:cs="Calibri"/>
                <w:color w:val="000000"/>
                <w:sz w:val="14"/>
                <w:szCs w:val="14"/>
                <w:highlight w:val="yellow"/>
              </w:rPr>
            </w:pPr>
            <w:r w:rsidRPr="00E84B0C">
              <w:rPr>
                <w:rFonts w:ascii="Calibri" w:eastAsia="Times New Roman" w:hAnsi="Calibri" w:cs="Calibri"/>
                <w:color w:val="000000"/>
                <w:sz w:val="14"/>
                <w:szCs w:val="14"/>
              </w:rPr>
              <w:t>2.683.312</w:t>
            </w:r>
          </w:p>
        </w:tc>
        <w:tc>
          <w:tcPr>
            <w:tcW w:w="798" w:type="dxa"/>
            <w:tcBorders>
              <w:top w:val="dotted" w:sz="4" w:space="0" w:color="auto"/>
              <w:left w:val="nil"/>
              <w:bottom w:val="dotted" w:sz="4" w:space="0" w:color="auto"/>
              <w:right w:val="nil"/>
            </w:tcBorders>
            <w:shd w:val="clear" w:color="auto" w:fill="auto"/>
            <w:noWrap/>
            <w:vAlign w:val="center"/>
            <w:hideMark/>
          </w:tcPr>
          <w:p w14:paraId="1208E78C" w14:textId="1FE52CD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7AA78DB8" w14:textId="2523D03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08F4BDF7" w14:textId="4B867D6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3028526C" w14:textId="6D97C38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2.683.312</w:t>
            </w:r>
          </w:p>
        </w:tc>
      </w:tr>
      <w:tr w:rsidR="0047458D" w:rsidRPr="00E84B0C" w14:paraId="6EE5F53B" w14:textId="77777777" w:rsidTr="007F2969">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027E1B9C"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32/2013 – PROSUL</w:t>
            </w:r>
          </w:p>
        </w:tc>
        <w:tc>
          <w:tcPr>
            <w:tcW w:w="2628" w:type="dxa"/>
            <w:tcBorders>
              <w:top w:val="dotted" w:sz="4" w:space="0" w:color="auto"/>
              <w:left w:val="nil"/>
              <w:bottom w:val="dotted" w:sz="4" w:space="0" w:color="auto"/>
              <w:right w:val="nil"/>
            </w:tcBorders>
            <w:shd w:val="clear" w:color="auto" w:fill="auto"/>
            <w:noWrap/>
            <w:vAlign w:val="center"/>
            <w:hideMark/>
          </w:tcPr>
          <w:p w14:paraId="3AF5DF5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BR-101/324/367</w:t>
            </w:r>
          </w:p>
        </w:tc>
        <w:tc>
          <w:tcPr>
            <w:tcW w:w="878" w:type="dxa"/>
            <w:tcBorders>
              <w:top w:val="dotted" w:sz="4" w:space="0" w:color="auto"/>
              <w:left w:val="nil"/>
              <w:bottom w:val="dotted" w:sz="4" w:space="0" w:color="auto"/>
              <w:right w:val="nil"/>
            </w:tcBorders>
            <w:shd w:val="clear" w:color="auto" w:fill="auto"/>
            <w:noWrap/>
            <w:vAlign w:val="center"/>
            <w:hideMark/>
          </w:tcPr>
          <w:p w14:paraId="05856114" w14:textId="78BFC51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2.606.158</w:t>
            </w:r>
          </w:p>
        </w:tc>
        <w:tc>
          <w:tcPr>
            <w:tcW w:w="798" w:type="dxa"/>
            <w:tcBorders>
              <w:top w:val="dotted" w:sz="4" w:space="0" w:color="auto"/>
              <w:left w:val="nil"/>
              <w:bottom w:val="dotted" w:sz="4" w:space="0" w:color="auto"/>
              <w:right w:val="nil"/>
            </w:tcBorders>
            <w:shd w:val="clear" w:color="auto" w:fill="auto"/>
            <w:noWrap/>
            <w:vAlign w:val="center"/>
            <w:hideMark/>
          </w:tcPr>
          <w:p w14:paraId="68E9F249" w14:textId="1AD9D77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7200D94C" w14:textId="2DEC27C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259D1F57" w14:textId="238B3D2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7C80148" w14:textId="2FC5406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2.606.158</w:t>
            </w:r>
          </w:p>
        </w:tc>
      </w:tr>
      <w:tr w:rsidR="0047458D" w:rsidRPr="00E84B0C" w14:paraId="049D6EA4" w14:textId="77777777" w:rsidTr="007F2969">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06FDBC9E"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02/2021 – Consórcio Modelador SHAS</w:t>
            </w:r>
          </w:p>
        </w:tc>
        <w:tc>
          <w:tcPr>
            <w:tcW w:w="2628" w:type="dxa"/>
            <w:tcBorders>
              <w:top w:val="dotted" w:sz="4" w:space="0" w:color="auto"/>
              <w:left w:val="nil"/>
              <w:right w:val="nil"/>
            </w:tcBorders>
            <w:shd w:val="clear" w:color="auto" w:fill="auto"/>
            <w:noWrap/>
            <w:vAlign w:val="center"/>
            <w:hideMark/>
          </w:tcPr>
          <w:p w14:paraId="4F39A75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BR-155/158/MT/PA</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71D5289D" w14:textId="1321619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3.546.548</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19840CD8" w14:textId="6AF5A21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49.870</w:t>
            </w:r>
          </w:p>
        </w:tc>
        <w:tc>
          <w:tcPr>
            <w:tcW w:w="941" w:type="dxa"/>
            <w:vMerge w:val="restart"/>
            <w:tcBorders>
              <w:top w:val="dotted" w:sz="4" w:space="0" w:color="auto"/>
              <w:left w:val="nil"/>
              <w:bottom w:val="dotted" w:sz="4" w:space="0" w:color="auto"/>
              <w:right w:val="nil"/>
            </w:tcBorders>
            <w:shd w:val="clear" w:color="auto" w:fill="auto"/>
            <w:vAlign w:val="center"/>
            <w:hideMark/>
          </w:tcPr>
          <w:p w14:paraId="79ED6D0B" w14:textId="1E98904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vAlign w:val="center"/>
            <w:hideMark/>
          </w:tcPr>
          <w:p w14:paraId="247D3024" w14:textId="0F3676B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71AC9357" w14:textId="51C17C5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3.596.418</w:t>
            </w:r>
          </w:p>
        </w:tc>
      </w:tr>
      <w:tr w:rsidR="0047458D" w:rsidRPr="00E84B0C" w14:paraId="37141A35" w14:textId="77777777" w:rsidTr="0082350A">
        <w:trPr>
          <w:trHeight w:val="227"/>
        </w:trPr>
        <w:tc>
          <w:tcPr>
            <w:tcW w:w="3483" w:type="dxa"/>
            <w:vMerge/>
            <w:tcBorders>
              <w:top w:val="dotted" w:sz="4" w:space="0" w:color="auto"/>
              <w:bottom w:val="dotted" w:sz="4" w:space="0" w:color="auto"/>
            </w:tcBorders>
            <w:vAlign w:val="center"/>
            <w:hideMark/>
          </w:tcPr>
          <w:p w14:paraId="26AA2AC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6937B350"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BR-135/316/MA</w:t>
            </w:r>
          </w:p>
        </w:tc>
        <w:tc>
          <w:tcPr>
            <w:tcW w:w="878" w:type="dxa"/>
            <w:vMerge/>
            <w:tcBorders>
              <w:top w:val="dotted" w:sz="4" w:space="0" w:color="auto"/>
              <w:bottom w:val="dotted" w:sz="4" w:space="0" w:color="auto"/>
            </w:tcBorders>
            <w:vAlign w:val="center"/>
            <w:hideMark/>
          </w:tcPr>
          <w:p w14:paraId="18E6E58C"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6D00EB6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57538317"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39D8FDDF"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549018CC"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20A506BC" w14:textId="77777777" w:rsidTr="0082350A">
        <w:trPr>
          <w:trHeight w:val="227"/>
        </w:trPr>
        <w:tc>
          <w:tcPr>
            <w:tcW w:w="3483" w:type="dxa"/>
            <w:vMerge/>
            <w:tcBorders>
              <w:top w:val="dotted" w:sz="4" w:space="0" w:color="auto"/>
              <w:bottom w:val="dotted" w:sz="4" w:space="0" w:color="auto"/>
            </w:tcBorders>
            <w:vAlign w:val="center"/>
            <w:hideMark/>
          </w:tcPr>
          <w:p w14:paraId="193E43C4"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04BA67E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BR-135/316/MA</w:t>
            </w:r>
          </w:p>
        </w:tc>
        <w:tc>
          <w:tcPr>
            <w:tcW w:w="878" w:type="dxa"/>
            <w:vMerge/>
            <w:tcBorders>
              <w:top w:val="dotted" w:sz="4" w:space="0" w:color="auto"/>
              <w:bottom w:val="dotted" w:sz="4" w:space="0" w:color="auto"/>
            </w:tcBorders>
            <w:vAlign w:val="center"/>
            <w:hideMark/>
          </w:tcPr>
          <w:p w14:paraId="7E300CFC"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146F0F1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03A3B73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3AB846C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4A7FB73A"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66FC9EE2" w14:textId="77777777" w:rsidTr="00263331">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76002BE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03/2021 – Consórcio Modelador SHAS</w:t>
            </w:r>
          </w:p>
        </w:tc>
        <w:tc>
          <w:tcPr>
            <w:tcW w:w="2628" w:type="dxa"/>
            <w:tcBorders>
              <w:top w:val="dotted" w:sz="4" w:space="0" w:color="auto"/>
              <w:left w:val="nil"/>
              <w:right w:val="nil"/>
            </w:tcBorders>
            <w:shd w:val="clear" w:color="auto" w:fill="auto"/>
            <w:noWrap/>
            <w:vAlign w:val="center"/>
            <w:hideMark/>
          </w:tcPr>
          <w:p w14:paraId="7FA0C29C"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BR-060/153/262/DF/GO/MG</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5556D361" w14:textId="655332F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7.521.233</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7EF8220D" w14:textId="496FA5F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221.207</w:t>
            </w:r>
          </w:p>
        </w:tc>
        <w:tc>
          <w:tcPr>
            <w:tcW w:w="941" w:type="dxa"/>
            <w:vMerge w:val="restart"/>
            <w:tcBorders>
              <w:top w:val="dotted" w:sz="4" w:space="0" w:color="auto"/>
              <w:left w:val="nil"/>
              <w:bottom w:val="dotted" w:sz="4" w:space="0" w:color="auto"/>
              <w:right w:val="nil"/>
            </w:tcBorders>
            <w:shd w:val="clear" w:color="auto" w:fill="auto"/>
            <w:noWrap/>
            <w:vAlign w:val="center"/>
            <w:hideMark/>
          </w:tcPr>
          <w:p w14:paraId="103F498E" w14:textId="23C12DD6"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noWrap/>
            <w:vAlign w:val="center"/>
            <w:hideMark/>
          </w:tcPr>
          <w:p w14:paraId="66F597BD" w14:textId="67E0097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76CB0E9D" w14:textId="4A6A2D0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7.742.440</w:t>
            </w:r>
          </w:p>
        </w:tc>
      </w:tr>
      <w:tr w:rsidR="0047458D" w:rsidRPr="00E84B0C" w14:paraId="361BF628" w14:textId="77777777" w:rsidTr="00263331">
        <w:trPr>
          <w:trHeight w:val="227"/>
        </w:trPr>
        <w:tc>
          <w:tcPr>
            <w:tcW w:w="3483" w:type="dxa"/>
            <w:vMerge/>
            <w:tcBorders>
              <w:top w:val="dotted" w:sz="4" w:space="0" w:color="auto"/>
              <w:bottom w:val="dotted" w:sz="4" w:space="0" w:color="auto"/>
            </w:tcBorders>
            <w:vAlign w:val="center"/>
            <w:hideMark/>
          </w:tcPr>
          <w:p w14:paraId="04683C1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2DD5043C"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BR-040/DF/GO/MG</w:t>
            </w:r>
          </w:p>
        </w:tc>
        <w:tc>
          <w:tcPr>
            <w:tcW w:w="878" w:type="dxa"/>
            <w:vMerge/>
            <w:tcBorders>
              <w:top w:val="dotted" w:sz="4" w:space="0" w:color="auto"/>
              <w:bottom w:val="dotted" w:sz="4" w:space="0" w:color="auto"/>
            </w:tcBorders>
            <w:vAlign w:val="center"/>
            <w:hideMark/>
          </w:tcPr>
          <w:p w14:paraId="60104424"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6B130AD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5492E9C9"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231FB99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131F62BF"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7002BE87" w14:textId="77777777" w:rsidTr="00263331">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69BF1BE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14/2022 – Consórcio Modelador SHAS</w:t>
            </w:r>
          </w:p>
        </w:tc>
        <w:tc>
          <w:tcPr>
            <w:tcW w:w="2628" w:type="dxa"/>
            <w:tcBorders>
              <w:top w:val="dotted" w:sz="4" w:space="0" w:color="auto"/>
              <w:left w:val="nil"/>
              <w:right w:val="nil"/>
            </w:tcBorders>
            <w:shd w:val="clear" w:color="auto" w:fill="auto"/>
            <w:noWrap/>
            <w:vAlign w:val="center"/>
            <w:hideMark/>
          </w:tcPr>
          <w:p w14:paraId="639EF9D5"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BR-393/RJ</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64E35D0F" w14:textId="274A76E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150.876</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0175EBE2" w14:textId="720A702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394.135</w:t>
            </w:r>
          </w:p>
        </w:tc>
        <w:tc>
          <w:tcPr>
            <w:tcW w:w="941" w:type="dxa"/>
            <w:vMerge w:val="restart"/>
            <w:tcBorders>
              <w:top w:val="dotted" w:sz="4" w:space="0" w:color="auto"/>
              <w:left w:val="nil"/>
              <w:bottom w:val="dotted" w:sz="4" w:space="0" w:color="auto"/>
              <w:right w:val="nil"/>
            </w:tcBorders>
            <w:shd w:val="clear" w:color="auto" w:fill="auto"/>
            <w:vAlign w:val="center"/>
            <w:hideMark/>
          </w:tcPr>
          <w:p w14:paraId="23E6F201" w14:textId="6D4996C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vAlign w:val="center"/>
            <w:hideMark/>
          </w:tcPr>
          <w:p w14:paraId="6DDECCFB" w14:textId="7E207E9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176A9C81" w14:textId="72D9F7E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545.011</w:t>
            </w:r>
          </w:p>
        </w:tc>
      </w:tr>
      <w:tr w:rsidR="0047458D" w:rsidRPr="00E84B0C" w14:paraId="4AAA2BF4" w14:textId="77777777" w:rsidTr="00263331">
        <w:trPr>
          <w:trHeight w:val="227"/>
        </w:trPr>
        <w:tc>
          <w:tcPr>
            <w:tcW w:w="3483" w:type="dxa"/>
            <w:vMerge/>
            <w:tcBorders>
              <w:top w:val="dotted" w:sz="4" w:space="0" w:color="auto"/>
              <w:bottom w:val="dotted" w:sz="4" w:space="0" w:color="auto"/>
            </w:tcBorders>
            <w:vAlign w:val="center"/>
            <w:hideMark/>
          </w:tcPr>
          <w:p w14:paraId="34542DB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1C69A17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BR-163/MT/GO</w:t>
            </w:r>
          </w:p>
        </w:tc>
        <w:tc>
          <w:tcPr>
            <w:tcW w:w="878" w:type="dxa"/>
            <w:vMerge/>
            <w:tcBorders>
              <w:top w:val="dotted" w:sz="4" w:space="0" w:color="auto"/>
              <w:bottom w:val="dotted" w:sz="4" w:space="0" w:color="auto"/>
            </w:tcBorders>
            <w:vAlign w:val="center"/>
            <w:hideMark/>
          </w:tcPr>
          <w:p w14:paraId="1B64149F"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6977C8B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335AF93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4418187C"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6B7034E5"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18972358" w14:textId="77777777" w:rsidTr="00263331">
        <w:trPr>
          <w:trHeight w:val="227"/>
        </w:trPr>
        <w:tc>
          <w:tcPr>
            <w:tcW w:w="3483" w:type="dxa"/>
            <w:vMerge/>
            <w:tcBorders>
              <w:top w:val="dotted" w:sz="4" w:space="0" w:color="auto"/>
              <w:bottom w:val="dotted" w:sz="4" w:space="0" w:color="auto"/>
            </w:tcBorders>
            <w:vAlign w:val="center"/>
            <w:hideMark/>
          </w:tcPr>
          <w:p w14:paraId="7D6505B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2799CBD3"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BR-070/MT</w:t>
            </w:r>
          </w:p>
        </w:tc>
        <w:tc>
          <w:tcPr>
            <w:tcW w:w="878" w:type="dxa"/>
            <w:vMerge/>
            <w:tcBorders>
              <w:top w:val="dotted" w:sz="4" w:space="0" w:color="auto"/>
              <w:bottom w:val="dotted" w:sz="4" w:space="0" w:color="auto"/>
            </w:tcBorders>
            <w:vAlign w:val="center"/>
            <w:hideMark/>
          </w:tcPr>
          <w:p w14:paraId="522D1EE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2807D8D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501778A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2F7CFE8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693E5D88"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6A191E24" w14:textId="77777777" w:rsidTr="00263331">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7933A0E3"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10/2023 – Consórcio Modelador SHAS</w:t>
            </w:r>
          </w:p>
        </w:tc>
        <w:tc>
          <w:tcPr>
            <w:tcW w:w="2628" w:type="dxa"/>
            <w:tcBorders>
              <w:top w:val="dotted" w:sz="4" w:space="0" w:color="auto"/>
              <w:left w:val="nil"/>
              <w:right w:val="nil"/>
            </w:tcBorders>
            <w:shd w:val="clear" w:color="auto" w:fill="auto"/>
            <w:noWrap/>
            <w:vAlign w:val="center"/>
            <w:hideMark/>
          </w:tcPr>
          <w:p w14:paraId="4CB00DF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BR-101/ES/BA</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19148CFB" w14:textId="1A72F00B"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16.979</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44714144" w14:textId="4210609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vMerge w:val="restart"/>
            <w:tcBorders>
              <w:top w:val="dotted" w:sz="4" w:space="0" w:color="auto"/>
              <w:left w:val="nil"/>
              <w:bottom w:val="dotted" w:sz="4" w:space="0" w:color="auto"/>
              <w:right w:val="nil"/>
            </w:tcBorders>
            <w:shd w:val="clear" w:color="auto" w:fill="auto"/>
            <w:vAlign w:val="center"/>
            <w:hideMark/>
          </w:tcPr>
          <w:p w14:paraId="47E19D80" w14:textId="39EEB8A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noWrap/>
            <w:vAlign w:val="center"/>
            <w:hideMark/>
          </w:tcPr>
          <w:p w14:paraId="35642280" w14:textId="3F1DB29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5D8C4AA9" w14:textId="2F31BB5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16.979</w:t>
            </w:r>
          </w:p>
        </w:tc>
      </w:tr>
      <w:tr w:rsidR="0047458D" w:rsidRPr="00E84B0C" w14:paraId="53533B55" w14:textId="77777777" w:rsidTr="00263331">
        <w:trPr>
          <w:trHeight w:val="227"/>
        </w:trPr>
        <w:tc>
          <w:tcPr>
            <w:tcW w:w="3483" w:type="dxa"/>
            <w:vMerge/>
            <w:tcBorders>
              <w:top w:val="dotted" w:sz="4" w:space="0" w:color="auto"/>
              <w:bottom w:val="dotted" w:sz="4" w:space="0" w:color="auto"/>
            </w:tcBorders>
            <w:vAlign w:val="center"/>
            <w:hideMark/>
          </w:tcPr>
          <w:p w14:paraId="60A648B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66411F39"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BR-262/ES</w:t>
            </w:r>
          </w:p>
        </w:tc>
        <w:tc>
          <w:tcPr>
            <w:tcW w:w="878" w:type="dxa"/>
            <w:vMerge/>
            <w:tcBorders>
              <w:top w:val="dotted" w:sz="4" w:space="0" w:color="auto"/>
              <w:bottom w:val="dotted" w:sz="4" w:space="0" w:color="auto"/>
            </w:tcBorders>
            <w:vAlign w:val="center"/>
            <w:hideMark/>
          </w:tcPr>
          <w:p w14:paraId="6B57C01F"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20724D1D"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5C05221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4BF9639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396E30CF"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4929D4E2" w14:textId="77777777" w:rsidTr="00263331">
        <w:trPr>
          <w:trHeight w:val="227"/>
        </w:trPr>
        <w:tc>
          <w:tcPr>
            <w:tcW w:w="3483" w:type="dxa"/>
            <w:vMerge/>
            <w:tcBorders>
              <w:top w:val="dotted" w:sz="4" w:space="0" w:color="auto"/>
              <w:bottom w:val="dotted" w:sz="4" w:space="0" w:color="auto"/>
            </w:tcBorders>
            <w:vAlign w:val="center"/>
            <w:hideMark/>
          </w:tcPr>
          <w:p w14:paraId="3B18065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23B7347C"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BR-259/ES/MG</w:t>
            </w:r>
          </w:p>
        </w:tc>
        <w:tc>
          <w:tcPr>
            <w:tcW w:w="878" w:type="dxa"/>
            <w:vMerge/>
            <w:tcBorders>
              <w:top w:val="dotted" w:sz="4" w:space="0" w:color="auto"/>
              <w:bottom w:val="dotted" w:sz="4" w:space="0" w:color="auto"/>
            </w:tcBorders>
            <w:vAlign w:val="center"/>
            <w:hideMark/>
          </w:tcPr>
          <w:p w14:paraId="46653178"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332799D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1144BCDF"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150E779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670F1873"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1A06C6D9" w14:textId="77777777" w:rsidTr="00263331">
        <w:trPr>
          <w:trHeight w:val="227"/>
        </w:trPr>
        <w:tc>
          <w:tcPr>
            <w:tcW w:w="3483" w:type="dxa"/>
            <w:vMerge/>
            <w:tcBorders>
              <w:top w:val="dotted" w:sz="4" w:space="0" w:color="auto"/>
              <w:bottom w:val="dotted" w:sz="4" w:space="0" w:color="auto"/>
            </w:tcBorders>
            <w:vAlign w:val="center"/>
            <w:hideMark/>
          </w:tcPr>
          <w:p w14:paraId="64D8CB8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6C04C35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BR-381/MG</w:t>
            </w:r>
          </w:p>
        </w:tc>
        <w:tc>
          <w:tcPr>
            <w:tcW w:w="878" w:type="dxa"/>
            <w:vMerge/>
            <w:tcBorders>
              <w:top w:val="dotted" w:sz="4" w:space="0" w:color="auto"/>
              <w:bottom w:val="dotted" w:sz="4" w:space="0" w:color="auto"/>
            </w:tcBorders>
            <w:vAlign w:val="center"/>
            <w:hideMark/>
          </w:tcPr>
          <w:p w14:paraId="0DC6135C"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02E1599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1A359213"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1431B58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520EBA1D"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0B56E422" w14:textId="77777777" w:rsidTr="0082350A">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11074448"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01/2021 – Acordo IFC</w:t>
            </w:r>
          </w:p>
        </w:tc>
        <w:tc>
          <w:tcPr>
            <w:tcW w:w="2628" w:type="dxa"/>
            <w:tcBorders>
              <w:top w:val="dotted" w:sz="4" w:space="0" w:color="auto"/>
              <w:left w:val="nil"/>
              <w:right w:val="nil"/>
            </w:tcBorders>
            <w:shd w:val="clear" w:color="auto" w:fill="auto"/>
            <w:noWrap/>
            <w:vAlign w:val="center"/>
            <w:hideMark/>
          </w:tcPr>
          <w:p w14:paraId="5ED342A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FICO 1 - Mara Rosa - Água Boa</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69B0682A" w14:textId="550BAA8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9.945.338</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2F990440" w14:textId="1E97DFE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vMerge w:val="restart"/>
            <w:tcBorders>
              <w:top w:val="dotted" w:sz="4" w:space="0" w:color="auto"/>
              <w:left w:val="nil"/>
              <w:bottom w:val="dotted" w:sz="4" w:space="0" w:color="auto"/>
              <w:right w:val="nil"/>
            </w:tcBorders>
            <w:shd w:val="clear" w:color="auto" w:fill="auto"/>
            <w:vAlign w:val="center"/>
            <w:hideMark/>
          </w:tcPr>
          <w:p w14:paraId="1C44E1CB" w14:textId="25C9981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noWrap/>
            <w:vAlign w:val="center"/>
            <w:hideMark/>
          </w:tcPr>
          <w:p w14:paraId="1996FAB8" w14:textId="34AB31E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501D33BE" w14:textId="13FE07B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9.945.338</w:t>
            </w:r>
          </w:p>
        </w:tc>
      </w:tr>
      <w:tr w:rsidR="0047458D" w:rsidRPr="00E84B0C" w14:paraId="62083AB7" w14:textId="77777777" w:rsidTr="0082350A">
        <w:trPr>
          <w:trHeight w:val="227"/>
        </w:trPr>
        <w:tc>
          <w:tcPr>
            <w:tcW w:w="3483" w:type="dxa"/>
            <w:vMerge/>
            <w:tcBorders>
              <w:top w:val="dotted" w:sz="4" w:space="0" w:color="auto"/>
              <w:bottom w:val="dotted" w:sz="4" w:space="0" w:color="auto"/>
            </w:tcBorders>
            <w:vAlign w:val="center"/>
            <w:hideMark/>
          </w:tcPr>
          <w:p w14:paraId="1F7A933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3C6F6F6A"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FICO 2 - Lucas do Rio Verde – Água Boa</w:t>
            </w:r>
          </w:p>
        </w:tc>
        <w:tc>
          <w:tcPr>
            <w:tcW w:w="878" w:type="dxa"/>
            <w:vMerge/>
            <w:tcBorders>
              <w:top w:val="dotted" w:sz="4" w:space="0" w:color="auto"/>
              <w:bottom w:val="dotted" w:sz="4" w:space="0" w:color="auto"/>
            </w:tcBorders>
            <w:vAlign w:val="center"/>
            <w:hideMark/>
          </w:tcPr>
          <w:p w14:paraId="1A1210B3"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421758AD"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14B1C0C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023DB3F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142ECA01"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3D35FA0C" w14:textId="77777777" w:rsidTr="0082350A">
        <w:trPr>
          <w:trHeight w:val="227"/>
        </w:trPr>
        <w:tc>
          <w:tcPr>
            <w:tcW w:w="3483" w:type="dxa"/>
            <w:vMerge/>
            <w:tcBorders>
              <w:top w:val="dotted" w:sz="4" w:space="0" w:color="auto"/>
              <w:bottom w:val="dotted" w:sz="4" w:space="0" w:color="auto"/>
            </w:tcBorders>
            <w:vAlign w:val="center"/>
            <w:hideMark/>
          </w:tcPr>
          <w:p w14:paraId="70C171B8"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4834879F"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FIOL 2 - Caetité – Barreiras</w:t>
            </w:r>
          </w:p>
        </w:tc>
        <w:tc>
          <w:tcPr>
            <w:tcW w:w="878" w:type="dxa"/>
            <w:vMerge/>
            <w:tcBorders>
              <w:top w:val="dotted" w:sz="4" w:space="0" w:color="auto"/>
              <w:bottom w:val="dotted" w:sz="4" w:space="0" w:color="auto"/>
            </w:tcBorders>
            <w:vAlign w:val="center"/>
            <w:hideMark/>
          </w:tcPr>
          <w:p w14:paraId="2243A84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189B19D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113A03A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79A9DA67"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042C93FD"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620E2E95" w14:textId="77777777" w:rsidTr="0082350A">
        <w:trPr>
          <w:trHeight w:val="227"/>
        </w:trPr>
        <w:tc>
          <w:tcPr>
            <w:tcW w:w="3483" w:type="dxa"/>
            <w:vMerge/>
            <w:tcBorders>
              <w:top w:val="dotted" w:sz="4" w:space="0" w:color="auto"/>
              <w:bottom w:val="dotted" w:sz="4" w:space="0" w:color="auto"/>
            </w:tcBorders>
            <w:vAlign w:val="center"/>
            <w:hideMark/>
          </w:tcPr>
          <w:p w14:paraId="5AC66D7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096300B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FIOL 3 - Barreiras – </w:t>
            </w:r>
            <w:proofErr w:type="spellStart"/>
            <w:r w:rsidRPr="00E84B0C">
              <w:rPr>
                <w:rFonts w:ascii="Calibri" w:eastAsia="Times New Roman" w:hAnsi="Calibri" w:cs="Calibri"/>
                <w:color w:val="000000"/>
                <w:sz w:val="14"/>
                <w:szCs w:val="14"/>
              </w:rPr>
              <w:t>Figueirópolis</w:t>
            </w:r>
            <w:proofErr w:type="spellEnd"/>
          </w:p>
        </w:tc>
        <w:tc>
          <w:tcPr>
            <w:tcW w:w="878" w:type="dxa"/>
            <w:vMerge/>
            <w:tcBorders>
              <w:top w:val="dotted" w:sz="4" w:space="0" w:color="auto"/>
              <w:bottom w:val="dotted" w:sz="4" w:space="0" w:color="auto"/>
            </w:tcBorders>
            <w:vAlign w:val="center"/>
            <w:hideMark/>
          </w:tcPr>
          <w:p w14:paraId="361E6D8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485D9F9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4AC0A79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5BE95099"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20C5DF24"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5C826BE5"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551E0768"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17/2021 – EVTEA Aeroportos Amazonas</w:t>
            </w:r>
          </w:p>
        </w:tc>
        <w:tc>
          <w:tcPr>
            <w:tcW w:w="2628" w:type="dxa"/>
            <w:tcBorders>
              <w:top w:val="dotted" w:sz="4" w:space="0" w:color="auto"/>
              <w:left w:val="nil"/>
              <w:bottom w:val="dotted" w:sz="4" w:space="0" w:color="auto"/>
              <w:right w:val="nil"/>
            </w:tcBorders>
            <w:shd w:val="clear" w:color="auto" w:fill="auto"/>
            <w:noWrap/>
            <w:vAlign w:val="center"/>
            <w:hideMark/>
          </w:tcPr>
          <w:p w14:paraId="7C0F159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Bloco de Aeroportos do Amazonas</w:t>
            </w:r>
          </w:p>
        </w:tc>
        <w:tc>
          <w:tcPr>
            <w:tcW w:w="878" w:type="dxa"/>
            <w:tcBorders>
              <w:top w:val="dotted" w:sz="4" w:space="0" w:color="auto"/>
              <w:left w:val="nil"/>
              <w:bottom w:val="dotted" w:sz="4" w:space="0" w:color="auto"/>
              <w:right w:val="nil"/>
            </w:tcBorders>
            <w:shd w:val="clear" w:color="auto" w:fill="auto"/>
            <w:noWrap/>
            <w:vAlign w:val="center"/>
            <w:hideMark/>
          </w:tcPr>
          <w:p w14:paraId="69BC48E0" w14:textId="0177C2A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1.818.057</w:t>
            </w:r>
          </w:p>
        </w:tc>
        <w:tc>
          <w:tcPr>
            <w:tcW w:w="798" w:type="dxa"/>
            <w:tcBorders>
              <w:top w:val="dotted" w:sz="4" w:space="0" w:color="auto"/>
              <w:left w:val="nil"/>
              <w:bottom w:val="dotted" w:sz="4" w:space="0" w:color="auto"/>
              <w:right w:val="nil"/>
            </w:tcBorders>
            <w:shd w:val="clear" w:color="auto" w:fill="auto"/>
            <w:noWrap/>
            <w:vAlign w:val="center"/>
            <w:hideMark/>
          </w:tcPr>
          <w:p w14:paraId="77449F80" w14:textId="71A71D2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1EA7E172" w14:textId="27FF97C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29809447" w14:textId="3684B36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44C534AB" w14:textId="6F29686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1.818.057</w:t>
            </w:r>
          </w:p>
        </w:tc>
      </w:tr>
      <w:tr w:rsidR="0047458D" w:rsidRPr="00E84B0C" w14:paraId="43546288"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12721FFD"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11/2020 – Consórcio Demarest</w:t>
            </w:r>
          </w:p>
        </w:tc>
        <w:tc>
          <w:tcPr>
            <w:tcW w:w="2628" w:type="dxa"/>
            <w:tcBorders>
              <w:top w:val="dotted" w:sz="4" w:space="0" w:color="auto"/>
              <w:left w:val="nil"/>
              <w:bottom w:val="dotted" w:sz="4" w:space="0" w:color="auto"/>
              <w:right w:val="nil"/>
            </w:tcBorders>
            <w:shd w:val="clear" w:color="auto" w:fill="auto"/>
            <w:noWrap/>
            <w:vAlign w:val="center"/>
            <w:hideMark/>
          </w:tcPr>
          <w:p w14:paraId="3F41E0B0"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Porto Organizado de Itajaí – SC</w:t>
            </w:r>
          </w:p>
        </w:tc>
        <w:tc>
          <w:tcPr>
            <w:tcW w:w="878" w:type="dxa"/>
            <w:tcBorders>
              <w:top w:val="dotted" w:sz="4" w:space="0" w:color="auto"/>
              <w:left w:val="nil"/>
              <w:bottom w:val="dotted" w:sz="4" w:space="0" w:color="auto"/>
              <w:right w:val="nil"/>
            </w:tcBorders>
            <w:shd w:val="clear" w:color="auto" w:fill="auto"/>
            <w:noWrap/>
            <w:vAlign w:val="center"/>
            <w:hideMark/>
          </w:tcPr>
          <w:p w14:paraId="5D55871E" w14:textId="2CD8562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1.094.408</w:t>
            </w:r>
          </w:p>
        </w:tc>
        <w:tc>
          <w:tcPr>
            <w:tcW w:w="798" w:type="dxa"/>
            <w:tcBorders>
              <w:top w:val="dotted" w:sz="4" w:space="0" w:color="auto"/>
              <w:left w:val="nil"/>
              <w:bottom w:val="dotted" w:sz="4" w:space="0" w:color="auto"/>
              <w:right w:val="nil"/>
            </w:tcBorders>
            <w:shd w:val="clear" w:color="auto" w:fill="auto"/>
            <w:noWrap/>
            <w:vAlign w:val="center"/>
            <w:hideMark/>
          </w:tcPr>
          <w:p w14:paraId="352D792B" w14:textId="52FB7C1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2C8E3659" w14:textId="3270718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66C7B1FF" w14:textId="3E9545E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6047049" w14:textId="4575567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1.094.408</w:t>
            </w:r>
          </w:p>
        </w:tc>
      </w:tr>
      <w:tr w:rsidR="0047458D" w:rsidRPr="00E84B0C" w14:paraId="77FFE492"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1754D639"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03/2018 – Ecossistema</w:t>
            </w:r>
          </w:p>
        </w:tc>
        <w:tc>
          <w:tcPr>
            <w:tcW w:w="2628" w:type="dxa"/>
            <w:tcBorders>
              <w:top w:val="dotted" w:sz="4" w:space="0" w:color="auto"/>
              <w:left w:val="nil"/>
              <w:bottom w:val="dotted" w:sz="4" w:space="0" w:color="auto"/>
              <w:right w:val="nil"/>
            </w:tcBorders>
            <w:shd w:val="clear" w:color="auto" w:fill="auto"/>
            <w:noWrap/>
            <w:vAlign w:val="center"/>
            <w:hideMark/>
          </w:tcPr>
          <w:p w14:paraId="2CAB01E1"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 040</w:t>
            </w:r>
          </w:p>
        </w:tc>
        <w:tc>
          <w:tcPr>
            <w:tcW w:w="878" w:type="dxa"/>
            <w:tcBorders>
              <w:top w:val="dotted" w:sz="4" w:space="0" w:color="auto"/>
              <w:left w:val="nil"/>
              <w:bottom w:val="dotted" w:sz="4" w:space="0" w:color="auto"/>
              <w:right w:val="nil"/>
            </w:tcBorders>
            <w:shd w:val="clear" w:color="auto" w:fill="auto"/>
            <w:noWrap/>
            <w:vAlign w:val="center"/>
            <w:hideMark/>
          </w:tcPr>
          <w:p w14:paraId="3773DEEB" w14:textId="430A824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820.189</w:t>
            </w:r>
          </w:p>
        </w:tc>
        <w:tc>
          <w:tcPr>
            <w:tcW w:w="798" w:type="dxa"/>
            <w:tcBorders>
              <w:top w:val="dotted" w:sz="4" w:space="0" w:color="auto"/>
              <w:left w:val="nil"/>
              <w:bottom w:val="dotted" w:sz="4" w:space="0" w:color="auto"/>
              <w:right w:val="nil"/>
            </w:tcBorders>
            <w:shd w:val="clear" w:color="auto" w:fill="auto"/>
            <w:noWrap/>
            <w:vAlign w:val="center"/>
            <w:hideMark/>
          </w:tcPr>
          <w:p w14:paraId="733BB077" w14:textId="30787AF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53EDAFED" w14:textId="12D90BF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60830A1C" w14:textId="46F7D02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E27CD69" w14:textId="65B4D4D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820.189</w:t>
            </w:r>
          </w:p>
        </w:tc>
      </w:tr>
      <w:tr w:rsidR="0047458D" w:rsidRPr="00E84B0C" w14:paraId="4EF0BF56"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2EF0B46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09/2021 – MRS</w:t>
            </w:r>
          </w:p>
        </w:tc>
        <w:tc>
          <w:tcPr>
            <w:tcW w:w="2628" w:type="dxa"/>
            <w:tcBorders>
              <w:top w:val="dotted" w:sz="4" w:space="0" w:color="auto"/>
              <w:left w:val="nil"/>
              <w:bottom w:val="dotted" w:sz="4" w:space="0" w:color="auto"/>
              <w:right w:val="nil"/>
            </w:tcBorders>
            <w:shd w:val="clear" w:color="auto" w:fill="auto"/>
            <w:noWrap/>
            <w:vAlign w:val="center"/>
            <w:hideMark/>
          </w:tcPr>
          <w:p w14:paraId="63463E9E"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 158/MT - Contorno Leste</w:t>
            </w:r>
          </w:p>
        </w:tc>
        <w:tc>
          <w:tcPr>
            <w:tcW w:w="878" w:type="dxa"/>
            <w:tcBorders>
              <w:top w:val="dotted" w:sz="4" w:space="0" w:color="auto"/>
              <w:left w:val="nil"/>
              <w:bottom w:val="dotted" w:sz="4" w:space="0" w:color="auto"/>
              <w:right w:val="nil"/>
            </w:tcBorders>
            <w:shd w:val="clear" w:color="auto" w:fill="auto"/>
            <w:noWrap/>
            <w:vAlign w:val="center"/>
            <w:hideMark/>
          </w:tcPr>
          <w:p w14:paraId="18DD13C2" w14:textId="3DDF83F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1.499.363</w:t>
            </w:r>
          </w:p>
        </w:tc>
        <w:tc>
          <w:tcPr>
            <w:tcW w:w="798" w:type="dxa"/>
            <w:tcBorders>
              <w:top w:val="dotted" w:sz="4" w:space="0" w:color="auto"/>
              <w:left w:val="nil"/>
              <w:bottom w:val="dotted" w:sz="4" w:space="0" w:color="auto"/>
              <w:right w:val="nil"/>
            </w:tcBorders>
            <w:shd w:val="clear" w:color="auto" w:fill="auto"/>
            <w:noWrap/>
            <w:vAlign w:val="center"/>
            <w:hideMark/>
          </w:tcPr>
          <w:p w14:paraId="744BC394" w14:textId="0C00CCA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67.536</w:t>
            </w:r>
          </w:p>
        </w:tc>
        <w:tc>
          <w:tcPr>
            <w:tcW w:w="941" w:type="dxa"/>
            <w:tcBorders>
              <w:top w:val="dotted" w:sz="4" w:space="0" w:color="auto"/>
              <w:left w:val="nil"/>
              <w:bottom w:val="dotted" w:sz="4" w:space="0" w:color="auto"/>
              <w:right w:val="nil"/>
            </w:tcBorders>
            <w:shd w:val="clear" w:color="auto" w:fill="auto"/>
            <w:noWrap/>
            <w:vAlign w:val="center"/>
            <w:hideMark/>
          </w:tcPr>
          <w:p w14:paraId="199AF742" w14:textId="4F4D6E2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690C676E" w14:textId="48EEBAF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1BE8D99B" w14:textId="67C61E8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1.566.898</w:t>
            </w:r>
          </w:p>
        </w:tc>
      </w:tr>
      <w:tr w:rsidR="0047458D" w:rsidRPr="00E84B0C" w14:paraId="5E9A8128"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04E930A5"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13/2022 – Consorcio </w:t>
            </w:r>
            <w:proofErr w:type="spellStart"/>
            <w:r w:rsidRPr="00E84B0C">
              <w:rPr>
                <w:rFonts w:ascii="Calibri" w:eastAsia="Times New Roman" w:hAnsi="Calibri" w:cs="Calibri"/>
                <w:color w:val="000000"/>
                <w:sz w:val="14"/>
                <w:szCs w:val="14"/>
              </w:rPr>
              <w:t>Ecoplan</w:t>
            </w:r>
            <w:proofErr w:type="spellEnd"/>
            <w:r w:rsidRPr="00E84B0C">
              <w:rPr>
                <w:rFonts w:ascii="Calibri" w:eastAsia="Times New Roman" w:hAnsi="Calibri" w:cs="Calibri"/>
                <w:color w:val="000000"/>
                <w:sz w:val="14"/>
                <w:szCs w:val="14"/>
              </w:rPr>
              <w:t>/Skill/</w:t>
            </w:r>
            <w:proofErr w:type="spellStart"/>
            <w:r w:rsidRPr="00E84B0C">
              <w:rPr>
                <w:rFonts w:ascii="Calibri" w:eastAsia="Times New Roman" w:hAnsi="Calibri" w:cs="Calibri"/>
                <w:color w:val="000000"/>
                <w:sz w:val="14"/>
                <w:szCs w:val="14"/>
              </w:rPr>
              <w:t>Celtes</w:t>
            </w:r>
            <w:proofErr w:type="spellEnd"/>
          </w:p>
        </w:tc>
        <w:tc>
          <w:tcPr>
            <w:tcW w:w="2628" w:type="dxa"/>
            <w:tcBorders>
              <w:top w:val="dotted" w:sz="4" w:space="0" w:color="auto"/>
              <w:left w:val="nil"/>
              <w:bottom w:val="dotted" w:sz="4" w:space="0" w:color="auto"/>
              <w:right w:val="nil"/>
            </w:tcBorders>
            <w:shd w:val="clear" w:color="auto" w:fill="auto"/>
            <w:noWrap/>
            <w:vAlign w:val="center"/>
            <w:hideMark/>
          </w:tcPr>
          <w:p w14:paraId="00FBDAB9"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BR- 158/MT</w:t>
            </w:r>
          </w:p>
        </w:tc>
        <w:tc>
          <w:tcPr>
            <w:tcW w:w="878" w:type="dxa"/>
            <w:tcBorders>
              <w:top w:val="dotted" w:sz="4" w:space="0" w:color="auto"/>
              <w:left w:val="nil"/>
              <w:bottom w:val="dotted" w:sz="4" w:space="0" w:color="auto"/>
              <w:right w:val="nil"/>
            </w:tcBorders>
            <w:shd w:val="clear" w:color="auto" w:fill="auto"/>
            <w:noWrap/>
            <w:vAlign w:val="center"/>
            <w:hideMark/>
          </w:tcPr>
          <w:p w14:paraId="5902A833" w14:textId="1B7A635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2.787.872</w:t>
            </w:r>
          </w:p>
        </w:tc>
        <w:tc>
          <w:tcPr>
            <w:tcW w:w="798" w:type="dxa"/>
            <w:tcBorders>
              <w:top w:val="dotted" w:sz="4" w:space="0" w:color="auto"/>
              <w:left w:val="nil"/>
              <w:bottom w:val="dotted" w:sz="4" w:space="0" w:color="auto"/>
              <w:right w:val="nil"/>
            </w:tcBorders>
            <w:shd w:val="clear" w:color="auto" w:fill="auto"/>
            <w:noWrap/>
            <w:vAlign w:val="center"/>
            <w:hideMark/>
          </w:tcPr>
          <w:p w14:paraId="55FB80D2" w14:textId="15AF956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302.660</w:t>
            </w:r>
          </w:p>
        </w:tc>
        <w:tc>
          <w:tcPr>
            <w:tcW w:w="941" w:type="dxa"/>
            <w:tcBorders>
              <w:top w:val="dotted" w:sz="4" w:space="0" w:color="auto"/>
              <w:left w:val="nil"/>
              <w:bottom w:val="dotted" w:sz="4" w:space="0" w:color="auto"/>
              <w:right w:val="nil"/>
            </w:tcBorders>
            <w:shd w:val="clear" w:color="auto" w:fill="auto"/>
            <w:noWrap/>
            <w:vAlign w:val="center"/>
            <w:hideMark/>
          </w:tcPr>
          <w:p w14:paraId="2C89EADB" w14:textId="5B8B572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4203A2FC" w14:textId="656C57C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209065B4" w14:textId="20374B5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3.090.532</w:t>
            </w:r>
          </w:p>
        </w:tc>
      </w:tr>
      <w:tr w:rsidR="0047458D" w:rsidRPr="00E84B0C" w14:paraId="036BE7E6"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6859C268"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08/2021 – </w:t>
            </w:r>
            <w:proofErr w:type="spellStart"/>
            <w:r w:rsidRPr="00E84B0C">
              <w:rPr>
                <w:rFonts w:ascii="Calibri" w:eastAsia="Times New Roman" w:hAnsi="Calibri" w:cs="Calibri"/>
                <w:color w:val="000000"/>
                <w:sz w:val="14"/>
                <w:szCs w:val="14"/>
              </w:rPr>
              <w:t>Logit</w:t>
            </w:r>
            <w:proofErr w:type="spellEnd"/>
            <w:r w:rsidRPr="00E84B0C">
              <w:rPr>
                <w:rFonts w:ascii="Calibri" w:eastAsia="Times New Roman" w:hAnsi="Calibri" w:cs="Calibri"/>
                <w:color w:val="000000"/>
                <w:sz w:val="14"/>
                <w:szCs w:val="14"/>
              </w:rPr>
              <w:t xml:space="preserve"> Engenharia Consultiva</w:t>
            </w:r>
          </w:p>
        </w:tc>
        <w:tc>
          <w:tcPr>
            <w:tcW w:w="2628" w:type="dxa"/>
            <w:tcBorders>
              <w:top w:val="dotted" w:sz="4" w:space="0" w:color="auto"/>
              <w:left w:val="nil"/>
              <w:bottom w:val="dotted" w:sz="4" w:space="0" w:color="auto"/>
              <w:right w:val="nil"/>
            </w:tcBorders>
            <w:shd w:val="clear" w:color="auto" w:fill="auto"/>
            <w:noWrap/>
            <w:vAlign w:val="center"/>
            <w:hideMark/>
          </w:tcPr>
          <w:p w14:paraId="5683F8AE"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Plano de Negócios da Rumo Malha Sul S.A.</w:t>
            </w:r>
          </w:p>
        </w:tc>
        <w:tc>
          <w:tcPr>
            <w:tcW w:w="878" w:type="dxa"/>
            <w:tcBorders>
              <w:top w:val="dotted" w:sz="4" w:space="0" w:color="auto"/>
              <w:left w:val="nil"/>
              <w:bottom w:val="dotted" w:sz="4" w:space="0" w:color="auto"/>
              <w:right w:val="nil"/>
            </w:tcBorders>
            <w:shd w:val="clear" w:color="auto" w:fill="auto"/>
            <w:noWrap/>
            <w:vAlign w:val="center"/>
            <w:hideMark/>
          </w:tcPr>
          <w:p w14:paraId="1FE81071" w14:textId="11FE7ED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304.590</w:t>
            </w:r>
          </w:p>
        </w:tc>
        <w:tc>
          <w:tcPr>
            <w:tcW w:w="798" w:type="dxa"/>
            <w:tcBorders>
              <w:top w:val="dotted" w:sz="4" w:space="0" w:color="auto"/>
              <w:left w:val="nil"/>
              <w:bottom w:val="dotted" w:sz="4" w:space="0" w:color="auto"/>
              <w:right w:val="nil"/>
            </w:tcBorders>
            <w:shd w:val="clear" w:color="auto" w:fill="auto"/>
            <w:noWrap/>
            <w:vAlign w:val="center"/>
            <w:hideMark/>
          </w:tcPr>
          <w:p w14:paraId="24CB81BD" w14:textId="34DB5A5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noWrap/>
            <w:vAlign w:val="center"/>
            <w:hideMark/>
          </w:tcPr>
          <w:p w14:paraId="2E3CFC77" w14:textId="4CCA069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74AE1BAC" w14:textId="33F7A7C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56688966" w14:textId="5698F37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304.590</w:t>
            </w:r>
          </w:p>
        </w:tc>
      </w:tr>
      <w:tr w:rsidR="0047458D" w:rsidRPr="00E84B0C" w14:paraId="7A2DD371" w14:textId="77777777" w:rsidTr="0082350A">
        <w:trPr>
          <w:trHeight w:val="227"/>
        </w:trPr>
        <w:tc>
          <w:tcPr>
            <w:tcW w:w="3483" w:type="dxa"/>
            <w:vMerge w:val="restart"/>
            <w:tcBorders>
              <w:top w:val="dotted" w:sz="4" w:space="0" w:color="auto"/>
              <w:left w:val="nil"/>
              <w:bottom w:val="dotted" w:sz="4" w:space="0" w:color="auto"/>
              <w:right w:val="nil"/>
            </w:tcBorders>
            <w:shd w:val="clear" w:color="auto" w:fill="auto"/>
            <w:noWrap/>
            <w:vAlign w:val="center"/>
            <w:hideMark/>
          </w:tcPr>
          <w:p w14:paraId="5DAC0DDD"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14/2023 – Consórcio SDPA</w:t>
            </w:r>
          </w:p>
        </w:tc>
        <w:tc>
          <w:tcPr>
            <w:tcW w:w="2628" w:type="dxa"/>
            <w:tcBorders>
              <w:top w:val="dotted" w:sz="4" w:space="0" w:color="auto"/>
              <w:left w:val="nil"/>
              <w:right w:val="nil"/>
            </w:tcBorders>
            <w:shd w:val="clear" w:color="auto" w:fill="auto"/>
            <w:noWrap/>
            <w:vAlign w:val="center"/>
            <w:hideMark/>
          </w:tcPr>
          <w:p w14:paraId="2C9CB0AD"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BR-101/RS</w:t>
            </w:r>
          </w:p>
        </w:tc>
        <w:tc>
          <w:tcPr>
            <w:tcW w:w="878" w:type="dxa"/>
            <w:vMerge w:val="restart"/>
            <w:tcBorders>
              <w:top w:val="dotted" w:sz="4" w:space="0" w:color="auto"/>
              <w:left w:val="nil"/>
              <w:bottom w:val="dotted" w:sz="4" w:space="0" w:color="auto"/>
              <w:right w:val="nil"/>
            </w:tcBorders>
            <w:shd w:val="clear" w:color="auto" w:fill="auto"/>
            <w:noWrap/>
            <w:vAlign w:val="center"/>
            <w:hideMark/>
          </w:tcPr>
          <w:p w14:paraId="1232AB13" w14:textId="6C589F1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38.350</w:t>
            </w:r>
          </w:p>
        </w:tc>
        <w:tc>
          <w:tcPr>
            <w:tcW w:w="798" w:type="dxa"/>
            <w:vMerge w:val="restart"/>
            <w:tcBorders>
              <w:top w:val="dotted" w:sz="4" w:space="0" w:color="auto"/>
              <w:left w:val="nil"/>
              <w:bottom w:val="dotted" w:sz="4" w:space="0" w:color="auto"/>
              <w:right w:val="nil"/>
            </w:tcBorders>
            <w:shd w:val="clear" w:color="auto" w:fill="auto"/>
            <w:noWrap/>
            <w:vAlign w:val="center"/>
            <w:hideMark/>
          </w:tcPr>
          <w:p w14:paraId="3CD9C3A8" w14:textId="4DAE5C9B"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76.154</w:t>
            </w:r>
          </w:p>
        </w:tc>
        <w:tc>
          <w:tcPr>
            <w:tcW w:w="941" w:type="dxa"/>
            <w:vMerge w:val="restart"/>
            <w:tcBorders>
              <w:top w:val="dotted" w:sz="4" w:space="0" w:color="auto"/>
              <w:left w:val="nil"/>
              <w:bottom w:val="dotted" w:sz="4" w:space="0" w:color="auto"/>
              <w:right w:val="nil"/>
            </w:tcBorders>
            <w:shd w:val="clear" w:color="auto" w:fill="auto"/>
            <w:vAlign w:val="center"/>
            <w:hideMark/>
          </w:tcPr>
          <w:p w14:paraId="0933D003" w14:textId="2DD5850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vMerge w:val="restart"/>
            <w:tcBorders>
              <w:top w:val="dotted" w:sz="4" w:space="0" w:color="auto"/>
              <w:left w:val="nil"/>
              <w:bottom w:val="dotted" w:sz="4" w:space="0" w:color="auto"/>
              <w:right w:val="nil"/>
            </w:tcBorders>
            <w:shd w:val="clear" w:color="auto" w:fill="auto"/>
            <w:noWrap/>
            <w:vAlign w:val="center"/>
            <w:hideMark/>
          </w:tcPr>
          <w:p w14:paraId="23BFBD9C" w14:textId="5BBAA9E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vMerge w:val="restart"/>
            <w:tcBorders>
              <w:top w:val="dotted" w:sz="4" w:space="0" w:color="auto"/>
              <w:left w:val="nil"/>
              <w:bottom w:val="dotted" w:sz="4" w:space="0" w:color="auto"/>
              <w:right w:val="nil"/>
            </w:tcBorders>
            <w:shd w:val="clear" w:color="auto" w:fill="auto"/>
            <w:noWrap/>
            <w:vAlign w:val="center"/>
            <w:hideMark/>
          </w:tcPr>
          <w:p w14:paraId="0DD9DE32" w14:textId="236D6E3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114.504</w:t>
            </w:r>
          </w:p>
        </w:tc>
      </w:tr>
      <w:tr w:rsidR="0047458D" w:rsidRPr="00E84B0C" w14:paraId="68ACFE31" w14:textId="77777777" w:rsidTr="0082350A">
        <w:trPr>
          <w:trHeight w:val="227"/>
        </w:trPr>
        <w:tc>
          <w:tcPr>
            <w:tcW w:w="3483" w:type="dxa"/>
            <w:vMerge/>
            <w:tcBorders>
              <w:top w:val="dotted" w:sz="4" w:space="0" w:color="auto"/>
              <w:bottom w:val="dotted" w:sz="4" w:space="0" w:color="auto"/>
            </w:tcBorders>
            <w:vAlign w:val="center"/>
            <w:hideMark/>
          </w:tcPr>
          <w:p w14:paraId="4B15877E"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right w:val="nil"/>
            </w:tcBorders>
            <w:shd w:val="clear" w:color="auto" w:fill="auto"/>
            <w:noWrap/>
            <w:vAlign w:val="center"/>
            <w:hideMark/>
          </w:tcPr>
          <w:p w14:paraId="13FBC6EA"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BR-116/RS</w:t>
            </w:r>
          </w:p>
        </w:tc>
        <w:tc>
          <w:tcPr>
            <w:tcW w:w="878" w:type="dxa"/>
            <w:vMerge/>
            <w:tcBorders>
              <w:top w:val="dotted" w:sz="4" w:space="0" w:color="auto"/>
              <w:bottom w:val="dotted" w:sz="4" w:space="0" w:color="auto"/>
            </w:tcBorders>
            <w:vAlign w:val="center"/>
            <w:hideMark/>
          </w:tcPr>
          <w:p w14:paraId="3D0AC63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61620EB4"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09DB057B"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326DFD5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409D2BFA"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6F778AB0" w14:textId="77777777" w:rsidTr="0082350A">
        <w:trPr>
          <w:trHeight w:val="227"/>
        </w:trPr>
        <w:tc>
          <w:tcPr>
            <w:tcW w:w="3483" w:type="dxa"/>
            <w:vMerge/>
            <w:tcBorders>
              <w:top w:val="dotted" w:sz="4" w:space="0" w:color="auto"/>
              <w:bottom w:val="dotted" w:sz="4" w:space="0" w:color="auto"/>
            </w:tcBorders>
            <w:vAlign w:val="center"/>
            <w:hideMark/>
          </w:tcPr>
          <w:p w14:paraId="4FA09EFA"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2628" w:type="dxa"/>
            <w:tcBorders>
              <w:left w:val="nil"/>
              <w:bottom w:val="dotted" w:sz="4" w:space="0" w:color="auto"/>
              <w:right w:val="nil"/>
            </w:tcBorders>
            <w:shd w:val="clear" w:color="auto" w:fill="auto"/>
            <w:noWrap/>
            <w:vAlign w:val="center"/>
            <w:hideMark/>
          </w:tcPr>
          <w:p w14:paraId="5FFFBC5A"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lang w:val="en-US"/>
              </w:rPr>
              <w:t>BR-392/RS</w:t>
            </w:r>
          </w:p>
        </w:tc>
        <w:tc>
          <w:tcPr>
            <w:tcW w:w="878" w:type="dxa"/>
            <w:vMerge/>
            <w:tcBorders>
              <w:top w:val="dotted" w:sz="4" w:space="0" w:color="auto"/>
              <w:bottom w:val="dotted" w:sz="4" w:space="0" w:color="auto"/>
            </w:tcBorders>
            <w:vAlign w:val="center"/>
            <w:hideMark/>
          </w:tcPr>
          <w:p w14:paraId="70E9B93C"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798" w:type="dxa"/>
            <w:vMerge/>
            <w:tcBorders>
              <w:top w:val="dotted" w:sz="4" w:space="0" w:color="auto"/>
              <w:bottom w:val="dotted" w:sz="4" w:space="0" w:color="auto"/>
            </w:tcBorders>
            <w:vAlign w:val="center"/>
            <w:hideMark/>
          </w:tcPr>
          <w:p w14:paraId="51742C41"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941" w:type="dxa"/>
            <w:vMerge/>
            <w:tcBorders>
              <w:top w:val="dotted" w:sz="4" w:space="0" w:color="auto"/>
              <w:bottom w:val="dotted" w:sz="4" w:space="0" w:color="auto"/>
            </w:tcBorders>
            <w:vAlign w:val="center"/>
            <w:hideMark/>
          </w:tcPr>
          <w:p w14:paraId="70D2A462"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5" w:type="dxa"/>
            <w:vMerge/>
            <w:tcBorders>
              <w:top w:val="dotted" w:sz="4" w:space="0" w:color="auto"/>
              <w:bottom w:val="dotted" w:sz="4" w:space="0" w:color="auto"/>
            </w:tcBorders>
            <w:vAlign w:val="center"/>
            <w:hideMark/>
          </w:tcPr>
          <w:p w14:paraId="5BF93D95"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64" w:type="dxa"/>
            <w:vMerge/>
            <w:tcBorders>
              <w:top w:val="dotted" w:sz="4" w:space="0" w:color="auto"/>
              <w:bottom w:val="dotted" w:sz="4" w:space="0" w:color="auto"/>
            </w:tcBorders>
            <w:vAlign w:val="center"/>
            <w:hideMark/>
          </w:tcPr>
          <w:p w14:paraId="03BC723F" w14:textId="77777777" w:rsidR="00E84B0C" w:rsidRPr="00E84B0C" w:rsidRDefault="00E84B0C" w:rsidP="00E84B0C">
            <w:pPr>
              <w:spacing w:after="0" w:line="240" w:lineRule="auto"/>
              <w:rPr>
                <w:rFonts w:ascii="Calibri" w:eastAsia="Times New Roman" w:hAnsi="Calibri" w:cs="Calibri"/>
                <w:color w:val="000000"/>
                <w:sz w:val="14"/>
                <w:szCs w:val="14"/>
              </w:rPr>
            </w:pPr>
          </w:p>
        </w:tc>
      </w:tr>
      <w:tr w:rsidR="0047458D" w:rsidRPr="00E84B0C" w14:paraId="7E47D92C" w14:textId="77777777" w:rsidTr="0082350A">
        <w:trPr>
          <w:trHeight w:val="227"/>
        </w:trPr>
        <w:tc>
          <w:tcPr>
            <w:tcW w:w="3483" w:type="dxa"/>
            <w:tcBorders>
              <w:top w:val="dotted" w:sz="4" w:space="0" w:color="auto"/>
              <w:left w:val="nil"/>
              <w:bottom w:val="dotted" w:sz="4" w:space="0" w:color="auto"/>
              <w:right w:val="nil"/>
            </w:tcBorders>
            <w:shd w:val="clear" w:color="auto" w:fill="auto"/>
            <w:noWrap/>
            <w:vAlign w:val="center"/>
            <w:hideMark/>
          </w:tcPr>
          <w:p w14:paraId="58107DCB"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TC 001/22 – NCA Engenharia Arquitetura e Meio-ambiente</w:t>
            </w:r>
          </w:p>
        </w:tc>
        <w:tc>
          <w:tcPr>
            <w:tcW w:w="2628" w:type="dxa"/>
            <w:tcBorders>
              <w:top w:val="dotted" w:sz="4" w:space="0" w:color="auto"/>
              <w:left w:val="nil"/>
              <w:bottom w:val="dotted" w:sz="4" w:space="0" w:color="auto"/>
              <w:right w:val="nil"/>
            </w:tcBorders>
            <w:shd w:val="clear" w:color="auto" w:fill="auto"/>
            <w:noWrap/>
            <w:vAlign w:val="center"/>
            <w:hideMark/>
          </w:tcPr>
          <w:p w14:paraId="0BB6B85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Terminal Intermodal – Pátio de Guaraí/TO</w:t>
            </w:r>
          </w:p>
        </w:tc>
        <w:tc>
          <w:tcPr>
            <w:tcW w:w="878" w:type="dxa"/>
            <w:tcBorders>
              <w:top w:val="dotted" w:sz="4" w:space="0" w:color="auto"/>
              <w:left w:val="nil"/>
              <w:bottom w:val="dotted" w:sz="4" w:space="0" w:color="auto"/>
              <w:right w:val="nil"/>
            </w:tcBorders>
            <w:shd w:val="clear" w:color="auto" w:fill="auto"/>
            <w:noWrap/>
            <w:vAlign w:val="center"/>
            <w:hideMark/>
          </w:tcPr>
          <w:p w14:paraId="7BCA3159" w14:textId="2744749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495.100</w:t>
            </w:r>
          </w:p>
        </w:tc>
        <w:tc>
          <w:tcPr>
            <w:tcW w:w="798" w:type="dxa"/>
            <w:tcBorders>
              <w:top w:val="dotted" w:sz="4" w:space="0" w:color="auto"/>
              <w:left w:val="nil"/>
              <w:bottom w:val="dotted" w:sz="4" w:space="0" w:color="auto"/>
              <w:right w:val="nil"/>
            </w:tcBorders>
            <w:shd w:val="clear" w:color="auto" w:fill="auto"/>
            <w:noWrap/>
            <w:vAlign w:val="center"/>
            <w:hideMark/>
          </w:tcPr>
          <w:p w14:paraId="16D42470" w14:textId="4A137F8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dotted" w:sz="4" w:space="0" w:color="auto"/>
              <w:left w:val="nil"/>
              <w:bottom w:val="dotted" w:sz="4" w:space="0" w:color="auto"/>
              <w:right w:val="nil"/>
            </w:tcBorders>
            <w:shd w:val="clear" w:color="auto" w:fill="auto"/>
            <w:vAlign w:val="center"/>
            <w:hideMark/>
          </w:tcPr>
          <w:p w14:paraId="63868EF6" w14:textId="1401D8E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dotted" w:sz="4" w:space="0" w:color="auto"/>
              <w:left w:val="nil"/>
              <w:bottom w:val="dotted" w:sz="4" w:space="0" w:color="auto"/>
              <w:right w:val="nil"/>
            </w:tcBorders>
            <w:shd w:val="clear" w:color="auto" w:fill="auto"/>
            <w:noWrap/>
            <w:vAlign w:val="center"/>
            <w:hideMark/>
          </w:tcPr>
          <w:p w14:paraId="3C276F00" w14:textId="1E11095B"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dotted" w:sz="4" w:space="0" w:color="auto"/>
              <w:left w:val="nil"/>
              <w:bottom w:val="dotted" w:sz="4" w:space="0" w:color="auto"/>
              <w:right w:val="nil"/>
            </w:tcBorders>
            <w:shd w:val="clear" w:color="auto" w:fill="auto"/>
            <w:noWrap/>
            <w:vAlign w:val="center"/>
            <w:hideMark/>
          </w:tcPr>
          <w:p w14:paraId="4FDA2199" w14:textId="77C8C835"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495.100</w:t>
            </w:r>
          </w:p>
        </w:tc>
      </w:tr>
      <w:tr w:rsidR="0047458D" w:rsidRPr="00E84B0C" w14:paraId="294F813D" w14:textId="77777777" w:rsidTr="66A9223B">
        <w:trPr>
          <w:trHeight w:val="227"/>
        </w:trPr>
        <w:tc>
          <w:tcPr>
            <w:tcW w:w="3483" w:type="dxa"/>
            <w:tcBorders>
              <w:top w:val="nil"/>
              <w:left w:val="nil"/>
              <w:bottom w:val="single" w:sz="8" w:space="0" w:color="auto"/>
              <w:right w:val="nil"/>
            </w:tcBorders>
            <w:shd w:val="clear" w:color="auto" w:fill="auto"/>
            <w:noWrap/>
            <w:vAlign w:val="center"/>
            <w:hideMark/>
          </w:tcPr>
          <w:p w14:paraId="25637116"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28/2021 – Consórcio EVTEA EPL</w:t>
            </w:r>
          </w:p>
        </w:tc>
        <w:tc>
          <w:tcPr>
            <w:tcW w:w="2628" w:type="dxa"/>
            <w:tcBorders>
              <w:top w:val="nil"/>
              <w:left w:val="nil"/>
              <w:bottom w:val="single" w:sz="8" w:space="0" w:color="auto"/>
              <w:right w:val="nil"/>
            </w:tcBorders>
            <w:shd w:val="clear" w:color="auto" w:fill="auto"/>
            <w:vAlign w:val="center"/>
            <w:hideMark/>
          </w:tcPr>
          <w:p w14:paraId="72F61575"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BR-101/RJ, BR-356/MG/RJ, BR-116/BA, BR-324/BA, BR-101/BA, BA-526 e BA-528</w:t>
            </w:r>
          </w:p>
        </w:tc>
        <w:tc>
          <w:tcPr>
            <w:tcW w:w="878" w:type="dxa"/>
            <w:tcBorders>
              <w:top w:val="nil"/>
              <w:left w:val="nil"/>
              <w:bottom w:val="single" w:sz="8" w:space="0" w:color="auto"/>
              <w:right w:val="nil"/>
            </w:tcBorders>
            <w:shd w:val="clear" w:color="auto" w:fill="auto"/>
            <w:noWrap/>
            <w:vAlign w:val="center"/>
            <w:hideMark/>
          </w:tcPr>
          <w:p w14:paraId="65A219BF" w14:textId="4A94B98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4.513.481</w:t>
            </w:r>
          </w:p>
        </w:tc>
        <w:tc>
          <w:tcPr>
            <w:tcW w:w="798" w:type="dxa"/>
            <w:tcBorders>
              <w:top w:val="nil"/>
              <w:left w:val="nil"/>
              <w:bottom w:val="single" w:sz="8" w:space="0" w:color="auto"/>
              <w:right w:val="nil"/>
            </w:tcBorders>
            <w:shd w:val="clear" w:color="auto" w:fill="auto"/>
            <w:noWrap/>
            <w:vAlign w:val="center"/>
            <w:hideMark/>
          </w:tcPr>
          <w:p w14:paraId="16C29220" w14:textId="7895421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252.671</w:t>
            </w:r>
          </w:p>
        </w:tc>
        <w:tc>
          <w:tcPr>
            <w:tcW w:w="941" w:type="dxa"/>
            <w:tcBorders>
              <w:top w:val="nil"/>
              <w:left w:val="nil"/>
              <w:bottom w:val="single" w:sz="8" w:space="0" w:color="auto"/>
              <w:right w:val="nil"/>
            </w:tcBorders>
            <w:shd w:val="clear" w:color="auto" w:fill="auto"/>
            <w:vAlign w:val="center"/>
            <w:hideMark/>
          </w:tcPr>
          <w:p w14:paraId="416C9204" w14:textId="6E14D28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single" w:sz="8" w:space="0" w:color="auto"/>
              <w:right w:val="nil"/>
            </w:tcBorders>
            <w:shd w:val="clear" w:color="auto" w:fill="auto"/>
            <w:noWrap/>
            <w:vAlign w:val="center"/>
            <w:hideMark/>
          </w:tcPr>
          <w:p w14:paraId="7D2A8CB9" w14:textId="3E9B37D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single" w:sz="8" w:space="0" w:color="auto"/>
              <w:right w:val="nil"/>
            </w:tcBorders>
            <w:shd w:val="clear" w:color="auto" w:fill="auto"/>
            <w:noWrap/>
            <w:vAlign w:val="center"/>
            <w:hideMark/>
          </w:tcPr>
          <w:p w14:paraId="64659D46" w14:textId="0168BDB8"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4.766.151</w:t>
            </w:r>
          </w:p>
        </w:tc>
      </w:tr>
      <w:tr w:rsidR="0047458D" w:rsidRPr="00E84B0C" w14:paraId="14D87EDE" w14:textId="77777777" w:rsidTr="66A9223B">
        <w:trPr>
          <w:trHeight w:val="227"/>
        </w:trPr>
        <w:tc>
          <w:tcPr>
            <w:tcW w:w="3483" w:type="dxa"/>
            <w:tcBorders>
              <w:top w:val="nil"/>
              <w:left w:val="nil"/>
              <w:bottom w:val="single" w:sz="8" w:space="0" w:color="auto"/>
              <w:right w:val="nil"/>
            </w:tcBorders>
            <w:shd w:val="clear" w:color="auto" w:fill="DEEAF6" w:themeFill="accent1" w:themeFillTint="33"/>
            <w:noWrap/>
            <w:vAlign w:val="center"/>
            <w:hideMark/>
          </w:tcPr>
          <w:p w14:paraId="6A1DCFD5"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Estudos e Projetos em Andamento</w:t>
            </w:r>
          </w:p>
        </w:tc>
        <w:tc>
          <w:tcPr>
            <w:tcW w:w="2628" w:type="dxa"/>
            <w:tcBorders>
              <w:top w:val="nil"/>
              <w:left w:val="nil"/>
              <w:bottom w:val="single" w:sz="8" w:space="0" w:color="auto"/>
              <w:right w:val="nil"/>
            </w:tcBorders>
            <w:shd w:val="clear" w:color="auto" w:fill="DEEAF6" w:themeFill="accent1" w:themeFillTint="33"/>
            <w:noWrap/>
            <w:vAlign w:val="center"/>
            <w:hideMark/>
          </w:tcPr>
          <w:p w14:paraId="14BB13F2"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 </w:t>
            </w:r>
          </w:p>
        </w:tc>
        <w:tc>
          <w:tcPr>
            <w:tcW w:w="878" w:type="dxa"/>
            <w:tcBorders>
              <w:top w:val="nil"/>
              <w:left w:val="nil"/>
              <w:bottom w:val="single" w:sz="8" w:space="0" w:color="auto"/>
              <w:right w:val="nil"/>
            </w:tcBorders>
            <w:shd w:val="clear" w:color="auto" w:fill="DEEAF6" w:themeFill="accent1" w:themeFillTint="33"/>
            <w:noWrap/>
            <w:vAlign w:val="center"/>
            <w:hideMark/>
          </w:tcPr>
          <w:p w14:paraId="67F8DE2A" w14:textId="08725DC8"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114.939.27</w:t>
            </w:r>
            <w:r w:rsidR="007B18E9">
              <w:rPr>
                <w:rFonts w:ascii="Calibri" w:eastAsia="Times New Roman" w:hAnsi="Calibri" w:cs="Calibri"/>
                <w:b/>
                <w:bCs/>
                <w:color w:val="000000"/>
                <w:sz w:val="14"/>
                <w:szCs w:val="14"/>
              </w:rPr>
              <w:t>0</w:t>
            </w:r>
          </w:p>
        </w:tc>
        <w:tc>
          <w:tcPr>
            <w:tcW w:w="798" w:type="dxa"/>
            <w:tcBorders>
              <w:top w:val="nil"/>
              <w:left w:val="nil"/>
              <w:bottom w:val="single" w:sz="8" w:space="0" w:color="auto"/>
              <w:right w:val="nil"/>
            </w:tcBorders>
            <w:shd w:val="clear" w:color="auto" w:fill="DEEAF6" w:themeFill="accent1" w:themeFillTint="33"/>
            <w:noWrap/>
            <w:vAlign w:val="center"/>
            <w:hideMark/>
          </w:tcPr>
          <w:p w14:paraId="516FD463" w14:textId="1C8D7B51"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4.015.811</w:t>
            </w:r>
          </w:p>
        </w:tc>
        <w:tc>
          <w:tcPr>
            <w:tcW w:w="941" w:type="dxa"/>
            <w:tcBorders>
              <w:top w:val="nil"/>
              <w:left w:val="nil"/>
              <w:bottom w:val="single" w:sz="8" w:space="0" w:color="auto"/>
              <w:right w:val="nil"/>
            </w:tcBorders>
            <w:shd w:val="clear" w:color="auto" w:fill="DEEAF6" w:themeFill="accent1" w:themeFillTint="33"/>
            <w:noWrap/>
            <w:vAlign w:val="center"/>
            <w:hideMark/>
          </w:tcPr>
          <w:p w14:paraId="4A33BFB8" w14:textId="65DE40AC"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75" w:type="dxa"/>
            <w:tcBorders>
              <w:top w:val="nil"/>
              <w:left w:val="nil"/>
              <w:bottom w:val="single" w:sz="8" w:space="0" w:color="auto"/>
              <w:right w:val="nil"/>
            </w:tcBorders>
            <w:shd w:val="clear" w:color="auto" w:fill="DEEAF6" w:themeFill="accent1" w:themeFillTint="33"/>
            <w:noWrap/>
            <w:vAlign w:val="center"/>
            <w:hideMark/>
          </w:tcPr>
          <w:p w14:paraId="3E4EC2F2" w14:textId="45F02EFB"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64" w:type="dxa"/>
            <w:tcBorders>
              <w:top w:val="nil"/>
              <w:left w:val="nil"/>
              <w:bottom w:val="single" w:sz="8" w:space="0" w:color="auto"/>
              <w:right w:val="nil"/>
            </w:tcBorders>
            <w:shd w:val="clear" w:color="auto" w:fill="DEEAF6" w:themeFill="accent1" w:themeFillTint="33"/>
            <w:noWrap/>
            <w:vAlign w:val="center"/>
            <w:hideMark/>
          </w:tcPr>
          <w:p w14:paraId="6E99943B" w14:textId="6165AA39"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118.955.080</w:t>
            </w:r>
          </w:p>
        </w:tc>
      </w:tr>
      <w:tr w:rsidR="0047458D" w:rsidRPr="00E84B0C" w14:paraId="37092A86" w14:textId="77777777" w:rsidTr="66A9223B">
        <w:trPr>
          <w:trHeight w:val="227"/>
        </w:trPr>
        <w:tc>
          <w:tcPr>
            <w:tcW w:w="3483" w:type="dxa"/>
            <w:tcBorders>
              <w:top w:val="nil"/>
              <w:left w:val="nil"/>
              <w:bottom w:val="nil"/>
              <w:right w:val="nil"/>
            </w:tcBorders>
            <w:shd w:val="clear" w:color="auto" w:fill="auto"/>
            <w:noWrap/>
            <w:vAlign w:val="center"/>
            <w:hideMark/>
          </w:tcPr>
          <w:p w14:paraId="5087BF9F" w14:textId="33E7AF72"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13/2013 – STE – LP </w:t>
            </w:r>
            <w:r w:rsidR="00CF1D12">
              <w:rPr>
                <w:rFonts w:ascii="Calibri" w:eastAsia="Times New Roman" w:hAnsi="Calibri" w:cs="Calibri"/>
                <w:color w:val="000000"/>
                <w:sz w:val="14"/>
                <w:szCs w:val="14"/>
              </w:rPr>
              <w:t>n</w:t>
            </w:r>
            <w:r w:rsidRPr="00E84B0C">
              <w:rPr>
                <w:rFonts w:ascii="Calibri" w:eastAsia="Times New Roman" w:hAnsi="Calibri" w:cs="Calibri"/>
                <w:color w:val="000000"/>
                <w:sz w:val="14"/>
                <w:szCs w:val="14"/>
              </w:rPr>
              <w:t>º 519/2015</w:t>
            </w:r>
          </w:p>
        </w:tc>
        <w:tc>
          <w:tcPr>
            <w:tcW w:w="2628" w:type="dxa"/>
            <w:tcBorders>
              <w:top w:val="nil"/>
              <w:left w:val="nil"/>
              <w:bottom w:val="nil"/>
              <w:right w:val="nil"/>
            </w:tcBorders>
            <w:shd w:val="clear" w:color="auto" w:fill="auto"/>
            <w:noWrap/>
            <w:vAlign w:val="center"/>
            <w:hideMark/>
          </w:tcPr>
          <w:p w14:paraId="02CF20B7"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BR/040</w:t>
            </w:r>
          </w:p>
        </w:tc>
        <w:tc>
          <w:tcPr>
            <w:tcW w:w="878" w:type="dxa"/>
            <w:tcBorders>
              <w:top w:val="nil"/>
              <w:left w:val="nil"/>
              <w:bottom w:val="nil"/>
              <w:right w:val="nil"/>
            </w:tcBorders>
            <w:shd w:val="clear" w:color="auto" w:fill="auto"/>
            <w:noWrap/>
            <w:vAlign w:val="center"/>
            <w:hideMark/>
          </w:tcPr>
          <w:p w14:paraId="5F26B9CF" w14:textId="39862EF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8.026.718</w:t>
            </w:r>
          </w:p>
        </w:tc>
        <w:tc>
          <w:tcPr>
            <w:tcW w:w="798" w:type="dxa"/>
            <w:tcBorders>
              <w:top w:val="nil"/>
              <w:left w:val="nil"/>
              <w:bottom w:val="nil"/>
              <w:right w:val="nil"/>
            </w:tcBorders>
            <w:shd w:val="clear" w:color="auto" w:fill="auto"/>
            <w:noWrap/>
            <w:vAlign w:val="center"/>
            <w:hideMark/>
          </w:tcPr>
          <w:p w14:paraId="6BB33648" w14:textId="7FC2DCE4"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nil"/>
              <w:right w:val="nil"/>
            </w:tcBorders>
            <w:shd w:val="clear" w:color="auto" w:fill="auto"/>
            <w:noWrap/>
            <w:vAlign w:val="center"/>
            <w:hideMark/>
          </w:tcPr>
          <w:p w14:paraId="55365134" w14:textId="4CE3554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nil"/>
              <w:right w:val="nil"/>
            </w:tcBorders>
            <w:shd w:val="clear" w:color="auto" w:fill="auto"/>
            <w:noWrap/>
            <w:vAlign w:val="center"/>
            <w:hideMark/>
          </w:tcPr>
          <w:p w14:paraId="1FD62B35" w14:textId="3A0B48B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nil"/>
              <w:right w:val="nil"/>
            </w:tcBorders>
            <w:shd w:val="clear" w:color="auto" w:fill="auto"/>
            <w:noWrap/>
            <w:vAlign w:val="center"/>
            <w:hideMark/>
          </w:tcPr>
          <w:p w14:paraId="764458A2" w14:textId="294EAF0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8.026.718</w:t>
            </w:r>
          </w:p>
        </w:tc>
      </w:tr>
      <w:tr w:rsidR="0047458D" w:rsidRPr="00E84B0C" w14:paraId="1BD55E71" w14:textId="77777777" w:rsidTr="66A9223B">
        <w:trPr>
          <w:trHeight w:val="227"/>
        </w:trPr>
        <w:tc>
          <w:tcPr>
            <w:tcW w:w="3483" w:type="dxa"/>
            <w:tcBorders>
              <w:top w:val="nil"/>
              <w:left w:val="nil"/>
              <w:bottom w:val="nil"/>
              <w:right w:val="nil"/>
            </w:tcBorders>
            <w:shd w:val="clear" w:color="auto" w:fill="auto"/>
            <w:noWrap/>
            <w:vAlign w:val="center"/>
            <w:hideMark/>
          </w:tcPr>
          <w:p w14:paraId="75B13144" w14:textId="44B40779"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04/2014 – MRS – LP </w:t>
            </w:r>
            <w:r w:rsidR="00CF1D12">
              <w:rPr>
                <w:rFonts w:ascii="Calibri" w:eastAsia="Times New Roman" w:hAnsi="Calibri" w:cs="Calibri"/>
                <w:color w:val="000000"/>
                <w:sz w:val="14"/>
                <w:szCs w:val="14"/>
              </w:rPr>
              <w:t>n</w:t>
            </w:r>
            <w:r w:rsidRPr="00E84B0C">
              <w:rPr>
                <w:rFonts w:ascii="Calibri" w:eastAsia="Times New Roman" w:hAnsi="Calibri" w:cs="Calibri"/>
                <w:color w:val="000000"/>
                <w:sz w:val="14"/>
                <w:szCs w:val="14"/>
              </w:rPr>
              <w:t>º 505/2015</w:t>
            </w:r>
          </w:p>
        </w:tc>
        <w:tc>
          <w:tcPr>
            <w:tcW w:w="2628" w:type="dxa"/>
            <w:tcBorders>
              <w:top w:val="nil"/>
              <w:left w:val="nil"/>
              <w:bottom w:val="nil"/>
              <w:right w:val="nil"/>
            </w:tcBorders>
            <w:shd w:val="clear" w:color="auto" w:fill="auto"/>
            <w:noWrap/>
            <w:vAlign w:val="center"/>
            <w:hideMark/>
          </w:tcPr>
          <w:p w14:paraId="29BBEEB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BR-153/262</w:t>
            </w:r>
          </w:p>
        </w:tc>
        <w:tc>
          <w:tcPr>
            <w:tcW w:w="878" w:type="dxa"/>
            <w:tcBorders>
              <w:top w:val="nil"/>
              <w:left w:val="nil"/>
              <w:bottom w:val="nil"/>
              <w:right w:val="nil"/>
            </w:tcBorders>
            <w:shd w:val="clear" w:color="auto" w:fill="auto"/>
            <w:noWrap/>
            <w:vAlign w:val="center"/>
            <w:hideMark/>
          </w:tcPr>
          <w:p w14:paraId="29C0F935" w14:textId="366459A3"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4.679.708</w:t>
            </w:r>
          </w:p>
        </w:tc>
        <w:tc>
          <w:tcPr>
            <w:tcW w:w="798" w:type="dxa"/>
            <w:tcBorders>
              <w:top w:val="nil"/>
              <w:left w:val="nil"/>
              <w:bottom w:val="nil"/>
              <w:right w:val="nil"/>
            </w:tcBorders>
            <w:shd w:val="clear" w:color="auto" w:fill="auto"/>
            <w:noWrap/>
            <w:vAlign w:val="center"/>
            <w:hideMark/>
          </w:tcPr>
          <w:p w14:paraId="6B253839" w14:textId="3180185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nil"/>
              <w:right w:val="nil"/>
            </w:tcBorders>
            <w:shd w:val="clear" w:color="auto" w:fill="auto"/>
            <w:noWrap/>
            <w:vAlign w:val="center"/>
            <w:hideMark/>
          </w:tcPr>
          <w:p w14:paraId="0DEAD7F9" w14:textId="761C757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nil"/>
              <w:right w:val="nil"/>
            </w:tcBorders>
            <w:shd w:val="clear" w:color="auto" w:fill="auto"/>
            <w:noWrap/>
            <w:vAlign w:val="center"/>
            <w:hideMark/>
          </w:tcPr>
          <w:p w14:paraId="056C2947" w14:textId="68E2932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nil"/>
              <w:right w:val="nil"/>
            </w:tcBorders>
            <w:shd w:val="clear" w:color="auto" w:fill="auto"/>
            <w:noWrap/>
            <w:vAlign w:val="center"/>
            <w:hideMark/>
          </w:tcPr>
          <w:p w14:paraId="217836A7" w14:textId="6A0F641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4.679.708</w:t>
            </w:r>
          </w:p>
        </w:tc>
      </w:tr>
      <w:tr w:rsidR="0047458D" w:rsidRPr="00E84B0C" w14:paraId="6C7BA67E" w14:textId="77777777" w:rsidTr="66A9223B">
        <w:trPr>
          <w:trHeight w:val="227"/>
        </w:trPr>
        <w:tc>
          <w:tcPr>
            <w:tcW w:w="3483" w:type="dxa"/>
            <w:tcBorders>
              <w:top w:val="nil"/>
              <w:left w:val="nil"/>
              <w:bottom w:val="single" w:sz="8" w:space="0" w:color="auto"/>
              <w:right w:val="nil"/>
            </w:tcBorders>
            <w:shd w:val="clear" w:color="auto" w:fill="auto"/>
            <w:noWrap/>
            <w:vAlign w:val="center"/>
            <w:hideMark/>
          </w:tcPr>
          <w:p w14:paraId="6394CA3F" w14:textId="24FBF1B6"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09/2014 – PROFILL – LP </w:t>
            </w:r>
            <w:r w:rsidR="00CF1D12">
              <w:rPr>
                <w:rFonts w:ascii="Calibri" w:eastAsia="Times New Roman" w:hAnsi="Calibri" w:cs="Calibri"/>
                <w:color w:val="000000"/>
                <w:sz w:val="14"/>
                <w:szCs w:val="14"/>
              </w:rPr>
              <w:t>n</w:t>
            </w:r>
            <w:r w:rsidRPr="00E84B0C">
              <w:rPr>
                <w:rFonts w:ascii="Calibri" w:eastAsia="Times New Roman" w:hAnsi="Calibri" w:cs="Calibri"/>
                <w:color w:val="000000"/>
                <w:sz w:val="14"/>
                <w:szCs w:val="14"/>
              </w:rPr>
              <w:t>º 553/2017</w:t>
            </w:r>
          </w:p>
        </w:tc>
        <w:tc>
          <w:tcPr>
            <w:tcW w:w="2628" w:type="dxa"/>
            <w:tcBorders>
              <w:top w:val="nil"/>
              <w:left w:val="nil"/>
              <w:bottom w:val="single" w:sz="8" w:space="0" w:color="auto"/>
              <w:right w:val="nil"/>
            </w:tcBorders>
            <w:shd w:val="clear" w:color="auto" w:fill="auto"/>
            <w:noWrap/>
            <w:vAlign w:val="center"/>
            <w:hideMark/>
          </w:tcPr>
          <w:p w14:paraId="5E1FD1BD"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BR-153/GO/TO</w:t>
            </w:r>
          </w:p>
        </w:tc>
        <w:tc>
          <w:tcPr>
            <w:tcW w:w="878" w:type="dxa"/>
            <w:tcBorders>
              <w:top w:val="nil"/>
              <w:left w:val="nil"/>
              <w:bottom w:val="single" w:sz="8" w:space="0" w:color="auto"/>
              <w:right w:val="nil"/>
            </w:tcBorders>
            <w:shd w:val="clear" w:color="auto" w:fill="auto"/>
            <w:noWrap/>
            <w:vAlign w:val="center"/>
            <w:hideMark/>
          </w:tcPr>
          <w:p w14:paraId="05BE2D5C" w14:textId="7A5E005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444.393</w:t>
            </w:r>
          </w:p>
        </w:tc>
        <w:tc>
          <w:tcPr>
            <w:tcW w:w="798" w:type="dxa"/>
            <w:tcBorders>
              <w:top w:val="nil"/>
              <w:left w:val="nil"/>
              <w:bottom w:val="single" w:sz="8" w:space="0" w:color="auto"/>
              <w:right w:val="nil"/>
            </w:tcBorders>
            <w:shd w:val="clear" w:color="auto" w:fill="auto"/>
            <w:noWrap/>
            <w:vAlign w:val="center"/>
            <w:hideMark/>
          </w:tcPr>
          <w:p w14:paraId="6BDED2E6" w14:textId="671C558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single" w:sz="8" w:space="0" w:color="auto"/>
              <w:right w:val="nil"/>
            </w:tcBorders>
            <w:shd w:val="clear" w:color="auto" w:fill="auto"/>
            <w:noWrap/>
            <w:vAlign w:val="center"/>
            <w:hideMark/>
          </w:tcPr>
          <w:p w14:paraId="5E4DAF66" w14:textId="2A61655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single" w:sz="8" w:space="0" w:color="auto"/>
              <w:right w:val="nil"/>
            </w:tcBorders>
            <w:shd w:val="clear" w:color="auto" w:fill="auto"/>
            <w:noWrap/>
            <w:vAlign w:val="center"/>
            <w:hideMark/>
          </w:tcPr>
          <w:p w14:paraId="654EC0FB" w14:textId="35D8894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single" w:sz="8" w:space="0" w:color="auto"/>
              <w:right w:val="nil"/>
            </w:tcBorders>
            <w:shd w:val="clear" w:color="auto" w:fill="auto"/>
            <w:noWrap/>
            <w:vAlign w:val="center"/>
            <w:hideMark/>
          </w:tcPr>
          <w:p w14:paraId="194E50BA" w14:textId="72C993E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444.393</w:t>
            </w:r>
          </w:p>
        </w:tc>
      </w:tr>
      <w:tr w:rsidR="0047458D" w:rsidRPr="00E84B0C" w14:paraId="0A80485C" w14:textId="77777777" w:rsidTr="66A9223B">
        <w:trPr>
          <w:trHeight w:val="227"/>
        </w:trPr>
        <w:tc>
          <w:tcPr>
            <w:tcW w:w="3483" w:type="dxa"/>
            <w:tcBorders>
              <w:top w:val="nil"/>
              <w:left w:val="nil"/>
              <w:bottom w:val="single" w:sz="8" w:space="0" w:color="auto"/>
              <w:right w:val="nil"/>
            </w:tcBorders>
            <w:shd w:val="clear" w:color="auto" w:fill="DEEAF6" w:themeFill="accent1" w:themeFillTint="33"/>
            <w:noWrap/>
            <w:vAlign w:val="center"/>
            <w:hideMark/>
          </w:tcPr>
          <w:p w14:paraId="5EAF0F15"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Licença Ambiental</w:t>
            </w:r>
          </w:p>
        </w:tc>
        <w:tc>
          <w:tcPr>
            <w:tcW w:w="2628" w:type="dxa"/>
            <w:tcBorders>
              <w:top w:val="nil"/>
              <w:left w:val="nil"/>
              <w:bottom w:val="single" w:sz="8" w:space="0" w:color="auto"/>
              <w:right w:val="nil"/>
            </w:tcBorders>
            <w:shd w:val="clear" w:color="auto" w:fill="DEEAF6" w:themeFill="accent1" w:themeFillTint="33"/>
            <w:noWrap/>
            <w:vAlign w:val="center"/>
            <w:hideMark/>
          </w:tcPr>
          <w:p w14:paraId="7CE27443"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 </w:t>
            </w:r>
          </w:p>
        </w:tc>
        <w:tc>
          <w:tcPr>
            <w:tcW w:w="878" w:type="dxa"/>
            <w:tcBorders>
              <w:top w:val="nil"/>
              <w:left w:val="nil"/>
              <w:bottom w:val="single" w:sz="8" w:space="0" w:color="auto"/>
              <w:right w:val="nil"/>
            </w:tcBorders>
            <w:shd w:val="clear" w:color="auto" w:fill="DEEAF6" w:themeFill="accent1" w:themeFillTint="33"/>
            <w:noWrap/>
            <w:vAlign w:val="center"/>
            <w:hideMark/>
          </w:tcPr>
          <w:p w14:paraId="1693342A" w14:textId="6AD04B19"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13.150.819</w:t>
            </w:r>
          </w:p>
        </w:tc>
        <w:tc>
          <w:tcPr>
            <w:tcW w:w="798" w:type="dxa"/>
            <w:tcBorders>
              <w:top w:val="nil"/>
              <w:left w:val="nil"/>
              <w:bottom w:val="single" w:sz="8" w:space="0" w:color="auto"/>
              <w:right w:val="nil"/>
            </w:tcBorders>
            <w:shd w:val="clear" w:color="auto" w:fill="DEEAF6" w:themeFill="accent1" w:themeFillTint="33"/>
            <w:noWrap/>
            <w:vAlign w:val="center"/>
            <w:hideMark/>
          </w:tcPr>
          <w:p w14:paraId="2844F29F" w14:textId="696D63EC"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941" w:type="dxa"/>
            <w:tcBorders>
              <w:top w:val="nil"/>
              <w:left w:val="nil"/>
              <w:bottom w:val="single" w:sz="8" w:space="0" w:color="auto"/>
              <w:right w:val="nil"/>
            </w:tcBorders>
            <w:shd w:val="clear" w:color="auto" w:fill="DEEAF6" w:themeFill="accent1" w:themeFillTint="33"/>
            <w:noWrap/>
            <w:vAlign w:val="center"/>
            <w:hideMark/>
          </w:tcPr>
          <w:p w14:paraId="781C7C8C" w14:textId="582F7E8F"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75" w:type="dxa"/>
            <w:tcBorders>
              <w:top w:val="nil"/>
              <w:left w:val="nil"/>
              <w:bottom w:val="single" w:sz="8" w:space="0" w:color="auto"/>
              <w:right w:val="nil"/>
            </w:tcBorders>
            <w:shd w:val="clear" w:color="auto" w:fill="DEEAF6" w:themeFill="accent1" w:themeFillTint="33"/>
            <w:noWrap/>
            <w:vAlign w:val="center"/>
            <w:hideMark/>
          </w:tcPr>
          <w:p w14:paraId="77E30F4D" w14:textId="3E682F18"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64" w:type="dxa"/>
            <w:tcBorders>
              <w:top w:val="nil"/>
              <w:left w:val="nil"/>
              <w:bottom w:val="single" w:sz="8" w:space="0" w:color="auto"/>
              <w:right w:val="nil"/>
            </w:tcBorders>
            <w:shd w:val="clear" w:color="auto" w:fill="DEEAF6" w:themeFill="accent1" w:themeFillTint="33"/>
            <w:noWrap/>
            <w:vAlign w:val="center"/>
            <w:hideMark/>
          </w:tcPr>
          <w:p w14:paraId="5CCEF455" w14:textId="7F34A8CA"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13.150.819</w:t>
            </w:r>
          </w:p>
        </w:tc>
      </w:tr>
      <w:tr w:rsidR="0087691D" w:rsidRPr="00E84B0C" w14:paraId="005C6DC0" w14:textId="77777777" w:rsidTr="005F2815">
        <w:trPr>
          <w:trHeight w:hRule="exact" w:val="227"/>
        </w:trPr>
        <w:tc>
          <w:tcPr>
            <w:tcW w:w="6111" w:type="dxa"/>
            <w:gridSpan w:val="2"/>
            <w:tcBorders>
              <w:top w:val="single" w:sz="8" w:space="0" w:color="auto"/>
              <w:left w:val="nil"/>
              <w:bottom w:val="single" w:sz="8" w:space="0" w:color="auto"/>
              <w:right w:val="nil"/>
            </w:tcBorders>
            <w:shd w:val="clear" w:color="auto" w:fill="DEEAF6" w:themeFill="accent1" w:themeFillTint="33"/>
            <w:noWrap/>
            <w:vAlign w:val="center"/>
            <w:hideMark/>
          </w:tcPr>
          <w:p w14:paraId="76649EFA" w14:textId="5D5BFB7B" w:rsidR="00E84B0C" w:rsidRPr="00E84B0C" w:rsidRDefault="0087691D" w:rsidP="00E84B0C">
            <w:pPr>
              <w:spacing w:after="0" w:line="240" w:lineRule="auto"/>
              <w:rPr>
                <w:rFonts w:ascii="Calibri" w:eastAsia="Times New Roman" w:hAnsi="Calibri" w:cs="Calibri"/>
                <w:b/>
                <w:bCs/>
                <w:color w:val="000000"/>
                <w:sz w:val="14"/>
                <w:szCs w:val="14"/>
              </w:rPr>
            </w:pPr>
            <w:r w:rsidRPr="0060256D">
              <w:rPr>
                <w:rFonts w:ascii="Calibri" w:hAnsi="Calibri" w:cs="Calibri"/>
                <w:b/>
                <w:sz w:val="14"/>
                <w:szCs w:val="14"/>
              </w:rPr>
              <w:t>Total Estudos e Projetos em Andamento e Licenças</w:t>
            </w:r>
          </w:p>
        </w:tc>
        <w:tc>
          <w:tcPr>
            <w:tcW w:w="878" w:type="dxa"/>
            <w:tcBorders>
              <w:top w:val="nil"/>
              <w:left w:val="nil"/>
              <w:bottom w:val="single" w:sz="8" w:space="0" w:color="auto"/>
              <w:right w:val="nil"/>
            </w:tcBorders>
            <w:shd w:val="clear" w:color="auto" w:fill="DEEAF6" w:themeFill="accent1" w:themeFillTint="33"/>
            <w:noWrap/>
            <w:vAlign w:val="center"/>
            <w:hideMark/>
          </w:tcPr>
          <w:p w14:paraId="0D33C772" w14:textId="05D825F2"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128.090.0</w:t>
            </w:r>
            <w:r w:rsidR="00861BD3">
              <w:rPr>
                <w:rFonts w:ascii="Calibri" w:eastAsia="Times New Roman" w:hAnsi="Calibri" w:cs="Calibri"/>
                <w:b/>
                <w:bCs/>
                <w:color w:val="000000"/>
                <w:sz w:val="14"/>
                <w:szCs w:val="14"/>
              </w:rPr>
              <w:t>89</w:t>
            </w:r>
            <w:r w:rsidRPr="00E84B0C">
              <w:rPr>
                <w:rFonts w:ascii="Calibri" w:eastAsia="Times New Roman" w:hAnsi="Calibri" w:cs="Calibri"/>
                <w:b/>
                <w:bCs/>
                <w:color w:val="000000"/>
                <w:sz w:val="14"/>
                <w:szCs w:val="14"/>
              </w:rPr>
              <w:t xml:space="preserve"> </w:t>
            </w:r>
          </w:p>
        </w:tc>
        <w:tc>
          <w:tcPr>
            <w:tcW w:w="798" w:type="dxa"/>
            <w:tcBorders>
              <w:top w:val="nil"/>
              <w:left w:val="nil"/>
              <w:bottom w:val="single" w:sz="8" w:space="0" w:color="auto"/>
              <w:right w:val="nil"/>
            </w:tcBorders>
            <w:shd w:val="clear" w:color="auto" w:fill="DEEAF6" w:themeFill="accent1" w:themeFillTint="33"/>
            <w:noWrap/>
            <w:vAlign w:val="center"/>
            <w:hideMark/>
          </w:tcPr>
          <w:p w14:paraId="1677262D" w14:textId="0850D79D"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4.015.811</w:t>
            </w:r>
          </w:p>
        </w:tc>
        <w:tc>
          <w:tcPr>
            <w:tcW w:w="941" w:type="dxa"/>
            <w:tcBorders>
              <w:top w:val="nil"/>
              <w:left w:val="nil"/>
              <w:bottom w:val="single" w:sz="8" w:space="0" w:color="auto"/>
              <w:right w:val="nil"/>
            </w:tcBorders>
            <w:shd w:val="clear" w:color="auto" w:fill="DEEAF6" w:themeFill="accent1" w:themeFillTint="33"/>
            <w:noWrap/>
            <w:vAlign w:val="center"/>
            <w:hideMark/>
          </w:tcPr>
          <w:p w14:paraId="740043F1" w14:textId="1A0C7787"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75" w:type="dxa"/>
            <w:tcBorders>
              <w:top w:val="nil"/>
              <w:left w:val="nil"/>
              <w:bottom w:val="single" w:sz="8" w:space="0" w:color="auto"/>
              <w:right w:val="nil"/>
            </w:tcBorders>
            <w:shd w:val="clear" w:color="auto" w:fill="DEEAF6" w:themeFill="accent1" w:themeFillTint="33"/>
            <w:noWrap/>
            <w:vAlign w:val="center"/>
            <w:hideMark/>
          </w:tcPr>
          <w:p w14:paraId="493B6C36" w14:textId="2FF45C08"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864" w:type="dxa"/>
            <w:tcBorders>
              <w:top w:val="nil"/>
              <w:left w:val="nil"/>
              <w:bottom w:val="single" w:sz="8" w:space="0" w:color="auto"/>
              <w:right w:val="nil"/>
            </w:tcBorders>
            <w:shd w:val="clear" w:color="auto" w:fill="DEEAF6" w:themeFill="accent1" w:themeFillTint="33"/>
            <w:noWrap/>
            <w:vAlign w:val="center"/>
            <w:hideMark/>
          </w:tcPr>
          <w:p w14:paraId="07B3309B" w14:textId="6D83670B"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132.105.899</w:t>
            </w:r>
          </w:p>
        </w:tc>
      </w:tr>
      <w:tr w:rsidR="0047458D" w:rsidRPr="00E84B0C" w14:paraId="250EE075" w14:textId="77777777" w:rsidTr="66A9223B">
        <w:trPr>
          <w:trHeight w:val="227"/>
        </w:trPr>
        <w:tc>
          <w:tcPr>
            <w:tcW w:w="3483" w:type="dxa"/>
            <w:tcBorders>
              <w:top w:val="nil"/>
              <w:left w:val="nil"/>
              <w:bottom w:val="nil"/>
              <w:right w:val="nil"/>
            </w:tcBorders>
            <w:shd w:val="clear" w:color="auto" w:fill="auto"/>
            <w:noWrap/>
            <w:vAlign w:val="center"/>
            <w:hideMark/>
          </w:tcPr>
          <w:p w14:paraId="74EAFE24"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Direito de Uso de Comunicação</w:t>
            </w:r>
          </w:p>
        </w:tc>
        <w:tc>
          <w:tcPr>
            <w:tcW w:w="2628" w:type="dxa"/>
            <w:tcBorders>
              <w:top w:val="nil"/>
              <w:left w:val="nil"/>
              <w:bottom w:val="nil"/>
              <w:right w:val="nil"/>
            </w:tcBorders>
            <w:shd w:val="clear" w:color="auto" w:fill="auto"/>
            <w:noWrap/>
            <w:vAlign w:val="center"/>
            <w:hideMark/>
          </w:tcPr>
          <w:p w14:paraId="7624AF6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8" w:type="dxa"/>
            <w:tcBorders>
              <w:top w:val="nil"/>
              <w:left w:val="nil"/>
              <w:bottom w:val="nil"/>
              <w:right w:val="nil"/>
            </w:tcBorders>
            <w:shd w:val="clear" w:color="auto" w:fill="auto"/>
            <w:noWrap/>
            <w:vAlign w:val="center"/>
            <w:hideMark/>
          </w:tcPr>
          <w:p w14:paraId="7869E219" w14:textId="4A9CF647"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139.790</w:t>
            </w:r>
          </w:p>
        </w:tc>
        <w:tc>
          <w:tcPr>
            <w:tcW w:w="798" w:type="dxa"/>
            <w:tcBorders>
              <w:top w:val="nil"/>
              <w:left w:val="nil"/>
              <w:bottom w:val="nil"/>
              <w:right w:val="nil"/>
            </w:tcBorders>
            <w:shd w:val="clear" w:color="auto" w:fill="auto"/>
            <w:noWrap/>
            <w:vAlign w:val="center"/>
            <w:hideMark/>
          </w:tcPr>
          <w:p w14:paraId="1113D7A4" w14:textId="70E59E36"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nil"/>
              <w:right w:val="nil"/>
            </w:tcBorders>
            <w:shd w:val="clear" w:color="auto" w:fill="auto"/>
            <w:vAlign w:val="center"/>
            <w:hideMark/>
          </w:tcPr>
          <w:p w14:paraId="41445A1D" w14:textId="1AE4BB5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75" w:type="dxa"/>
            <w:tcBorders>
              <w:top w:val="nil"/>
              <w:left w:val="nil"/>
              <w:bottom w:val="nil"/>
              <w:right w:val="nil"/>
            </w:tcBorders>
            <w:shd w:val="clear" w:color="auto" w:fill="auto"/>
            <w:noWrap/>
            <w:vAlign w:val="center"/>
            <w:hideMark/>
          </w:tcPr>
          <w:p w14:paraId="7641D277" w14:textId="72E20FA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nil"/>
              <w:right w:val="nil"/>
            </w:tcBorders>
            <w:shd w:val="clear" w:color="auto" w:fill="auto"/>
            <w:noWrap/>
            <w:vAlign w:val="center"/>
            <w:hideMark/>
          </w:tcPr>
          <w:p w14:paraId="56340774" w14:textId="4CF06EBA"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139.790</w:t>
            </w:r>
          </w:p>
        </w:tc>
      </w:tr>
      <w:tr w:rsidR="0047458D" w:rsidRPr="00E84B0C" w14:paraId="21DDE38B" w14:textId="77777777" w:rsidTr="66A9223B">
        <w:trPr>
          <w:trHeight w:val="227"/>
        </w:trPr>
        <w:tc>
          <w:tcPr>
            <w:tcW w:w="3483" w:type="dxa"/>
            <w:tcBorders>
              <w:top w:val="nil"/>
              <w:left w:val="nil"/>
              <w:bottom w:val="nil"/>
              <w:right w:val="nil"/>
            </w:tcBorders>
            <w:shd w:val="clear" w:color="auto" w:fill="auto"/>
            <w:noWrap/>
            <w:vAlign w:val="center"/>
            <w:hideMark/>
          </w:tcPr>
          <w:p w14:paraId="46C5B0E2"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Licenças Perpétuas</w:t>
            </w:r>
          </w:p>
        </w:tc>
        <w:tc>
          <w:tcPr>
            <w:tcW w:w="2628" w:type="dxa"/>
            <w:tcBorders>
              <w:top w:val="nil"/>
              <w:left w:val="nil"/>
              <w:bottom w:val="nil"/>
              <w:right w:val="nil"/>
            </w:tcBorders>
            <w:shd w:val="clear" w:color="auto" w:fill="auto"/>
            <w:noWrap/>
            <w:vAlign w:val="center"/>
            <w:hideMark/>
          </w:tcPr>
          <w:p w14:paraId="291FB9C6"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8" w:type="dxa"/>
            <w:tcBorders>
              <w:top w:val="nil"/>
              <w:left w:val="nil"/>
              <w:bottom w:val="nil"/>
              <w:right w:val="nil"/>
            </w:tcBorders>
            <w:shd w:val="clear" w:color="auto" w:fill="auto"/>
            <w:noWrap/>
            <w:vAlign w:val="center"/>
            <w:hideMark/>
          </w:tcPr>
          <w:p w14:paraId="4126BB71" w14:textId="729B35D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w:t>
            </w:r>
            <w:r w:rsidR="00482033">
              <w:rPr>
                <w:rFonts w:ascii="Calibri" w:eastAsia="Times New Roman" w:hAnsi="Calibri" w:cs="Calibri"/>
                <w:color w:val="000000"/>
                <w:sz w:val="14"/>
                <w:szCs w:val="14"/>
              </w:rPr>
              <w:t>8</w:t>
            </w:r>
            <w:r w:rsidR="00543C8A">
              <w:rPr>
                <w:rFonts w:ascii="Calibri" w:eastAsia="Times New Roman" w:hAnsi="Calibri" w:cs="Calibri"/>
                <w:color w:val="000000"/>
                <w:sz w:val="14"/>
                <w:szCs w:val="14"/>
              </w:rPr>
              <w:t>30.295</w:t>
            </w:r>
          </w:p>
        </w:tc>
        <w:tc>
          <w:tcPr>
            <w:tcW w:w="798" w:type="dxa"/>
            <w:tcBorders>
              <w:top w:val="nil"/>
              <w:left w:val="nil"/>
              <w:bottom w:val="nil"/>
              <w:right w:val="nil"/>
            </w:tcBorders>
            <w:shd w:val="clear" w:color="auto" w:fill="auto"/>
            <w:noWrap/>
            <w:vAlign w:val="center"/>
            <w:hideMark/>
          </w:tcPr>
          <w:p w14:paraId="05F1C814" w14:textId="5AD1FB1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nil"/>
              <w:right w:val="nil"/>
            </w:tcBorders>
            <w:shd w:val="clear" w:color="auto" w:fill="auto"/>
            <w:vAlign w:val="center"/>
            <w:hideMark/>
          </w:tcPr>
          <w:p w14:paraId="27955B91" w14:textId="2DB96F1D" w:rsidR="00E84B0C" w:rsidRPr="00E84B0C" w:rsidRDefault="00543C8A" w:rsidP="00E84B0C">
            <w:pPr>
              <w:spacing w:after="0" w:line="240" w:lineRule="auto"/>
              <w:jc w:val="right"/>
              <w:rPr>
                <w:rFonts w:ascii="Calibri" w:eastAsia="Times New Roman" w:hAnsi="Calibri" w:cs="Calibri"/>
                <w:color w:val="000000"/>
                <w:sz w:val="14"/>
                <w:szCs w:val="14"/>
              </w:rPr>
            </w:pPr>
            <w:r>
              <w:rPr>
                <w:rFonts w:ascii="Calibri" w:eastAsia="Times New Roman" w:hAnsi="Calibri" w:cs="Calibri"/>
                <w:color w:val="000000"/>
                <w:sz w:val="14"/>
                <w:szCs w:val="14"/>
              </w:rPr>
              <w:t>-</w:t>
            </w:r>
          </w:p>
        </w:tc>
        <w:tc>
          <w:tcPr>
            <w:tcW w:w="875" w:type="dxa"/>
            <w:tcBorders>
              <w:top w:val="nil"/>
              <w:left w:val="nil"/>
              <w:bottom w:val="nil"/>
              <w:right w:val="nil"/>
            </w:tcBorders>
            <w:shd w:val="clear" w:color="auto" w:fill="auto"/>
            <w:noWrap/>
            <w:vAlign w:val="center"/>
            <w:hideMark/>
          </w:tcPr>
          <w:p w14:paraId="27E69B46" w14:textId="10C8907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nil"/>
              <w:right w:val="nil"/>
            </w:tcBorders>
            <w:shd w:val="clear" w:color="auto" w:fill="auto"/>
            <w:noWrap/>
            <w:vAlign w:val="center"/>
            <w:hideMark/>
          </w:tcPr>
          <w:p w14:paraId="54DF9EDA" w14:textId="540B401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1.830.295</w:t>
            </w:r>
          </w:p>
        </w:tc>
      </w:tr>
      <w:tr w:rsidR="0047458D" w:rsidRPr="00E84B0C" w14:paraId="41C5493F" w14:textId="77777777" w:rsidTr="66A9223B">
        <w:trPr>
          <w:trHeight w:val="227"/>
        </w:trPr>
        <w:tc>
          <w:tcPr>
            <w:tcW w:w="3483" w:type="dxa"/>
            <w:tcBorders>
              <w:top w:val="nil"/>
              <w:left w:val="nil"/>
              <w:bottom w:val="nil"/>
              <w:right w:val="nil"/>
            </w:tcBorders>
            <w:shd w:val="clear" w:color="auto" w:fill="auto"/>
            <w:noWrap/>
            <w:vAlign w:val="center"/>
            <w:hideMark/>
          </w:tcPr>
          <w:p w14:paraId="586F16DF"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Licenças e Softwares T.I.</w:t>
            </w:r>
          </w:p>
        </w:tc>
        <w:tc>
          <w:tcPr>
            <w:tcW w:w="2628" w:type="dxa"/>
            <w:tcBorders>
              <w:top w:val="nil"/>
              <w:left w:val="nil"/>
              <w:bottom w:val="nil"/>
              <w:right w:val="nil"/>
            </w:tcBorders>
            <w:shd w:val="clear" w:color="auto" w:fill="auto"/>
            <w:noWrap/>
            <w:vAlign w:val="center"/>
            <w:hideMark/>
          </w:tcPr>
          <w:p w14:paraId="38CD5EE0" w14:textId="77777777" w:rsidR="00E84B0C" w:rsidRPr="00E84B0C" w:rsidRDefault="00E84B0C" w:rsidP="00E84B0C">
            <w:pPr>
              <w:spacing w:after="0" w:line="240" w:lineRule="auto"/>
              <w:rPr>
                <w:rFonts w:ascii="Calibri" w:eastAsia="Times New Roman" w:hAnsi="Calibri" w:cs="Calibri"/>
                <w:color w:val="000000"/>
                <w:sz w:val="14"/>
                <w:szCs w:val="14"/>
              </w:rPr>
            </w:pPr>
          </w:p>
        </w:tc>
        <w:tc>
          <w:tcPr>
            <w:tcW w:w="878" w:type="dxa"/>
            <w:tcBorders>
              <w:top w:val="nil"/>
              <w:left w:val="nil"/>
              <w:bottom w:val="nil"/>
              <w:right w:val="nil"/>
            </w:tcBorders>
            <w:shd w:val="clear" w:color="auto" w:fill="auto"/>
            <w:noWrap/>
            <w:vAlign w:val="center"/>
            <w:hideMark/>
          </w:tcPr>
          <w:p w14:paraId="39BD8680" w14:textId="058E343C"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22.097.756</w:t>
            </w:r>
          </w:p>
        </w:tc>
        <w:tc>
          <w:tcPr>
            <w:tcW w:w="798" w:type="dxa"/>
            <w:tcBorders>
              <w:top w:val="nil"/>
              <w:left w:val="nil"/>
              <w:bottom w:val="nil"/>
              <w:right w:val="nil"/>
            </w:tcBorders>
            <w:shd w:val="clear" w:color="auto" w:fill="auto"/>
            <w:noWrap/>
            <w:vAlign w:val="center"/>
            <w:hideMark/>
          </w:tcPr>
          <w:p w14:paraId="36DDAF26" w14:textId="50B39FCE"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nil"/>
              <w:right w:val="nil"/>
            </w:tcBorders>
            <w:shd w:val="clear" w:color="auto" w:fill="auto"/>
            <w:vAlign w:val="center"/>
            <w:hideMark/>
          </w:tcPr>
          <w:p w14:paraId="719505B1" w14:textId="4D84BAB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(321.685)</w:t>
            </w:r>
          </w:p>
        </w:tc>
        <w:tc>
          <w:tcPr>
            <w:tcW w:w="875" w:type="dxa"/>
            <w:tcBorders>
              <w:top w:val="nil"/>
              <w:left w:val="nil"/>
              <w:bottom w:val="nil"/>
              <w:right w:val="nil"/>
            </w:tcBorders>
            <w:shd w:val="clear" w:color="auto" w:fill="auto"/>
            <w:noWrap/>
            <w:vAlign w:val="center"/>
            <w:hideMark/>
          </w:tcPr>
          <w:p w14:paraId="7D083CAD" w14:textId="347E792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864" w:type="dxa"/>
            <w:tcBorders>
              <w:top w:val="nil"/>
              <w:left w:val="nil"/>
              <w:bottom w:val="nil"/>
              <w:right w:val="nil"/>
            </w:tcBorders>
            <w:shd w:val="clear" w:color="auto" w:fill="auto"/>
            <w:noWrap/>
            <w:vAlign w:val="center"/>
            <w:hideMark/>
          </w:tcPr>
          <w:p w14:paraId="400CAFE9" w14:textId="42E1A060"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21.776.071</w:t>
            </w:r>
          </w:p>
        </w:tc>
      </w:tr>
      <w:tr w:rsidR="0047458D" w:rsidRPr="00E84B0C" w14:paraId="2620DBD3" w14:textId="77777777" w:rsidTr="66A9223B">
        <w:trPr>
          <w:trHeight w:val="227"/>
        </w:trPr>
        <w:tc>
          <w:tcPr>
            <w:tcW w:w="3483" w:type="dxa"/>
            <w:tcBorders>
              <w:top w:val="nil"/>
              <w:left w:val="nil"/>
              <w:bottom w:val="single" w:sz="8" w:space="0" w:color="auto"/>
              <w:right w:val="nil"/>
            </w:tcBorders>
            <w:shd w:val="clear" w:color="auto" w:fill="auto"/>
            <w:noWrap/>
            <w:vAlign w:val="center"/>
            <w:hideMark/>
          </w:tcPr>
          <w:p w14:paraId="4897DA4A"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xml:space="preserve">(-) Amortizações Acumuladas </w:t>
            </w:r>
            <w:r w:rsidRPr="00E84B0C">
              <w:rPr>
                <w:rFonts w:ascii="Calibri" w:eastAsia="Times New Roman" w:hAnsi="Calibri" w:cs="Calibri"/>
                <w:color w:val="0070C0"/>
                <w:sz w:val="14"/>
                <w:szCs w:val="14"/>
              </w:rPr>
              <w:t>(a)</w:t>
            </w:r>
          </w:p>
        </w:tc>
        <w:tc>
          <w:tcPr>
            <w:tcW w:w="2628" w:type="dxa"/>
            <w:tcBorders>
              <w:top w:val="nil"/>
              <w:left w:val="nil"/>
              <w:bottom w:val="single" w:sz="8" w:space="0" w:color="auto"/>
              <w:right w:val="nil"/>
            </w:tcBorders>
            <w:shd w:val="clear" w:color="auto" w:fill="auto"/>
            <w:noWrap/>
            <w:vAlign w:val="center"/>
            <w:hideMark/>
          </w:tcPr>
          <w:p w14:paraId="049E3203" w14:textId="77777777" w:rsidR="00E84B0C" w:rsidRPr="00E84B0C" w:rsidRDefault="00E84B0C" w:rsidP="00E84B0C">
            <w:pPr>
              <w:spacing w:after="0" w:line="240" w:lineRule="auto"/>
              <w:rPr>
                <w:rFonts w:ascii="Calibri" w:eastAsia="Times New Roman" w:hAnsi="Calibri" w:cs="Calibri"/>
                <w:color w:val="000000"/>
                <w:sz w:val="14"/>
                <w:szCs w:val="14"/>
              </w:rPr>
            </w:pPr>
            <w:r w:rsidRPr="00E84B0C">
              <w:rPr>
                <w:rFonts w:ascii="Calibri" w:eastAsia="Times New Roman" w:hAnsi="Calibri" w:cs="Calibri"/>
                <w:color w:val="000000"/>
                <w:sz w:val="14"/>
                <w:szCs w:val="14"/>
              </w:rPr>
              <w:t> </w:t>
            </w:r>
          </w:p>
        </w:tc>
        <w:tc>
          <w:tcPr>
            <w:tcW w:w="878" w:type="dxa"/>
            <w:tcBorders>
              <w:top w:val="nil"/>
              <w:left w:val="nil"/>
              <w:bottom w:val="single" w:sz="8" w:space="0" w:color="auto"/>
              <w:right w:val="nil"/>
            </w:tcBorders>
            <w:shd w:val="clear" w:color="auto" w:fill="auto"/>
            <w:noWrap/>
            <w:vAlign w:val="center"/>
            <w:hideMark/>
          </w:tcPr>
          <w:p w14:paraId="43F14A7F" w14:textId="27394701"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(21.763.773)</w:t>
            </w:r>
          </w:p>
        </w:tc>
        <w:tc>
          <w:tcPr>
            <w:tcW w:w="798" w:type="dxa"/>
            <w:tcBorders>
              <w:top w:val="nil"/>
              <w:left w:val="nil"/>
              <w:bottom w:val="single" w:sz="8" w:space="0" w:color="auto"/>
              <w:right w:val="nil"/>
            </w:tcBorders>
            <w:shd w:val="clear" w:color="auto" w:fill="auto"/>
            <w:noWrap/>
            <w:vAlign w:val="center"/>
            <w:hideMark/>
          </w:tcPr>
          <w:p w14:paraId="1AC3C6D3" w14:textId="6A0F089F"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w:t>
            </w:r>
          </w:p>
        </w:tc>
        <w:tc>
          <w:tcPr>
            <w:tcW w:w="941" w:type="dxa"/>
            <w:tcBorders>
              <w:top w:val="nil"/>
              <w:left w:val="nil"/>
              <w:bottom w:val="single" w:sz="8" w:space="0" w:color="auto"/>
              <w:right w:val="nil"/>
            </w:tcBorders>
            <w:shd w:val="clear" w:color="auto" w:fill="auto"/>
            <w:noWrap/>
            <w:vAlign w:val="center"/>
            <w:hideMark/>
          </w:tcPr>
          <w:p w14:paraId="63AF5A93" w14:textId="01615BF9"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321.685</w:t>
            </w:r>
          </w:p>
        </w:tc>
        <w:tc>
          <w:tcPr>
            <w:tcW w:w="875" w:type="dxa"/>
            <w:tcBorders>
              <w:top w:val="nil"/>
              <w:left w:val="nil"/>
              <w:bottom w:val="single" w:sz="8" w:space="0" w:color="auto"/>
              <w:right w:val="nil"/>
            </w:tcBorders>
            <w:shd w:val="clear" w:color="auto" w:fill="auto"/>
            <w:noWrap/>
            <w:vAlign w:val="center"/>
            <w:hideMark/>
          </w:tcPr>
          <w:p w14:paraId="5932B602" w14:textId="5DA12802"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(54.027)</w:t>
            </w:r>
          </w:p>
        </w:tc>
        <w:tc>
          <w:tcPr>
            <w:tcW w:w="864" w:type="dxa"/>
            <w:tcBorders>
              <w:top w:val="nil"/>
              <w:left w:val="nil"/>
              <w:bottom w:val="single" w:sz="8" w:space="0" w:color="auto"/>
              <w:right w:val="nil"/>
            </w:tcBorders>
            <w:shd w:val="clear" w:color="auto" w:fill="auto"/>
            <w:noWrap/>
            <w:vAlign w:val="center"/>
            <w:hideMark/>
          </w:tcPr>
          <w:p w14:paraId="097D4731" w14:textId="4A11F8CD" w:rsidR="00E84B0C" w:rsidRPr="00E84B0C" w:rsidRDefault="00E84B0C" w:rsidP="00E84B0C">
            <w:pPr>
              <w:spacing w:after="0" w:line="240" w:lineRule="auto"/>
              <w:jc w:val="right"/>
              <w:rPr>
                <w:rFonts w:ascii="Calibri" w:eastAsia="Times New Roman" w:hAnsi="Calibri" w:cs="Calibri"/>
                <w:color w:val="000000"/>
                <w:sz w:val="14"/>
                <w:szCs w:val="14"/>
              </w:rPr>
            </w:pPr>
            <w:r w:rsidRPr="00E84B0C">
              <w:rPr>
                <w:rFonts w:ascii="Calibri" w:eastAsia="Times New Roman" w:hAnsi="Calibri" w:cs="Calibri"/>
                <w:color w:val="000000"/>
                <w:sz w:val="14"/>
                <w:szCs w:val="14"/>
              </w:rPr>
              <w:t>(21.496.115)</w:t>
            </w:r>
          </w:p>
        </w:tc>
      </w:tr>
      <w:tr w:rsidR="0087691D" w:rsidRPr="00E84B0C" w14:paraId="51C9A68A" w14:textId="77777777" w:rsidTr="66A9223B">
        <w:trPr>
          <w:trHeight w:val="227"/>
        </w:trPr>
        <w:tc>
          <w:tcPr>
            <w:tcW w:w="6111" w:type="dxa"/>
            <w:gridSpan w:val="2"/>
            <w:tcBorders>
              <w:top w:val="single" w:sz="8" w:space="0" w:color="auto"/>
              <w:left w:val="nil"/>
              <w:bottom w:val="single" w:sz="8" w:space="0" w:color="auto"/>
              <w:right w:val="nil"/>
            </w:tcBorders>
            <w:shd w:val="clear" w:color="auto" w:fill="DEEAF6" w:themeFill="accent1" w:themeFillTint="33"/>
            <w:noWrap/>
            <w:vAlign w:val="center"/>
            <w:hideMark/>
          </w:tcPr>
          <w:p w14:paraId="559DE9E5"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Total Direito de Uso de Comunicação e Softwares (2)</w:t>
            </w:r>
          </w:p>
        </w:tc>
        <w:tc>
          <w:tcPr>
            <w:tcW w:w="878" w:type="dxa"/>
            <w:tcBorders>
              <w:top w:val="nil"/>
              <w:left w:val="nil"/>
              <w:bottom w:val="single" w:sz="8" w:space="0" w:color="auto"/>
              <w:right w:val="nil"/>
            </w:tcBorders>
            <w:shd w:val="clear" w:color="auto" w:fill="DEEAF6" w:themeFill="accent1" w:themeFillTint="33"/>
            <w:noWrap/>
            <w:vAlign w:val="center"/>
            <w:hideMark/>
          </w:tcPr>
          <w:p w14:paraId="2622D188" w14:textId="67866041"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 xml:space="preserve"> </w:t>
            </w:r>
            <w:r w:rsidR="00543C8A">
              <w:rPr>
                <w:rFonts w:ascii="Calibri" w:eastAsia="Times New Roman" w:hAnsi="Calibri" w:cs="Calibri"/>
                <w:b/>
                <w:bCs/>
                <w:color w:val="000000"/>
                <w:sz w:val="14"/>
                <w:szCs w:val="14"/>
              </w:rPr>
              <w:t>2.304.068</w:t>
            </w:r>
            <w:r w:rsidRPr="00E84B0C">
              <w:rPr>
                <w:rFonts w:ascii="Calibri" w:eastAsia="Times New Roman" w:hAnsi="Calibri" w:cs="Calibri"/>
                <w:b/>
                <w:bCs/>
                <w:color w:val="000000"/>
                <w:sz w:val="14"/>
                <w:szCs w:val="14"/>
              </w:rPr>
              <w:t xml:space="preserve"> </w:t>
            </w:r>
          </w:p>
        </w:tc>
        <w:tc>
          <w:tcPr>
            <w:tcW w:w="798" w:type="dxa"/>
            <w:tcBorders>
              <w:top w:val="nil"/>
              <w:left w:val="nil"/>
              <w:bottom w:val="single" w:sz="8" w:space="0" w:color="auto"/>
              <w:right w:val="nil"/>
            </w:tcBorders>
            <w:shd w:val="clear" w:color="auto" w:fill="DEEAF6" w:themeFill="accent1" w:themeFillTint="33"/>
            <w:noWrap/>
            <w:vAlign w:val="center"/>
            <w:hideMark/>
          </w:tcPr>
          <w:p w14:paraId="20CD11FE" w14:textId="67F52FB0"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w:t>
            </w:r>
          </w:p>
        </w:tc>
        <w:tc>
          <w:tcPr>
            <w:tcW w:w="941" w:type="dxa"/>
            <w:tcBorders>
              <w:top w:val="nil"/>
              <w:left w:val="nil"/>
              <w:bottom w:val="single" w:sz="8" w:space="0" w:color="auto"/>
              <w:right w:val="nil"/>
            </w:tcBorders>
            <w:shd w:val="clear" w:color="auto" w:fill="DEEAF6" w:themeFill="accent1" w:themeFillTint="33"/>
            <w:noWrap/>
            <w:vAlign w:val="center"/>
            <w:hideMark/>
          </w:tcPr>
          <w:p w14:paraId="763810F7" w14:textId="111C044C" w:rsidR="00E84B0C" w:rsidRPr="00E84B0C" w:rsidRDefault="00244301" w:rsidP="00E84B0C">
            <w:pPr>
              <w:spacing w:after="0" w:line="240" w:lineRule="auto"/>
              <w:jc w:val="right"/>
              <w:rPr>
                <w:rFonts w:ascii="Calibri" w:eastAsia="Times New Roman" w:hAnsi="Calibri" w:cs="Calibri"/>
                <w:b/>
                <w:bCs/>
                <w:color w:val="000000"/>
                <w:sz w:val="14"/>
                <w:szCs w:val="14"/>
              </w:rPr>
            </w:pPr>
            <w:r>
              <w:rPr>
                <w:rFonts w:ascii="Calibri" w:eastAsia="Times New Roman" w:hAnsi="Calibri" w:cs="Calibri"/>
                <w:b/>
                <w:bCs/>
                <w:color w:val="000000"/>
                <w:sz w:val="14"/>
                <w:szCs w:val="14"/>
              </w:rPr>
              <w:t>-</w:t>
            </w:r>
          </w:p>
        </w:tc>
        <w:tc>
          <w:tcPr>
            <w:tcW w:w="875" w:type="dxa"/>
            <w:tcBorders>
              <w:top w:val="nil"/>
              <w:left w:val="nil"/>
              <w:bottom w:val="single" w:sz="8" w:space="0" w:color="auto"/>
              <w:right w:val="nil"/>
            </w:tcBorders>
            <w:shd w:val="clear" w:color="auto" w:fill="DEEAF6" w:themeFill="accent1" w:themeFillTint="33"/>
            <w:noWrap/>
            <w:vAlign w:val="center"/>
            <w:hideMark/>
          </w:tcPr>
          <w:p w14:paraId="5FEFCFCF" w14:textId="1CE5E2B5"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(54.027)</w:t>
            </w:r>
          </w:p>
        </w:tc>
        <w:tc>
          <w:tcPr>
            <w:tcW w:w="864" w:type="dxa"/>
            <w:tcBorders>
              <w:top w:val="nil"/>
              <w:left w:val="nil"/>
              <w:bottom w:val="single" w:sz="8" w:space="0" w:color="auto"/>
              <w:right w:val="nil"/>
            </w:tcBorders>
            <w:shd w:val="clear" w:color="auto" w:fill="DEEAF6" w:themeFill="accent1" w:themeFillTint="33"/>
            <w:noWrap/>
            <w:vAlign w:val="center"/>
            <w:hideMark/>
          </w:tcPr>
          <w:p w14:paraId="0E04309D" w14:textId="5405A10D"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2.250.041</w:t>
            </w:r>
          </w:p>
        </w:tc>
      </w:tr>
      <w:tr w:rsidR="0047458D" w:rsidRPr="00E84B0C" w14:paraId="25A595F0" w14:textId="77777777" w:rsidTr="66A9223B">
        <w:trPr>
          <w:trHeight w:val="227"/>
        </w:trPr>
        <w:tc>
          <w:tcPr>
            <w:tcW w:w="3483" w:type="dxa"/>
            <w:tcBorders>
              <w:top w:val="nil"/>
              <w:left w:val="nil"/>
              <w:bottom w:val="single" w:sz="8" w:space="0" w:color="auto"/>
              <w:right w:val="nil"/>
            </w:tcBorders>
            <w:shd w:val="clear" w:color="auto" w:fill="DEEAF6" w:themeFill="accent1" w:themeFillTint="33"/>
            <w:noWrap/>
            <w:vAlign w:val="center"/>
            <w:hideMark/>
          </w:tcPr>
          <w:p w14:paraId="4006DC1E"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Total Intangíveis (1) + (2)</w:t>
            </w:r>
          </w:p>
        </w:tc>
        <w:tc>
          <w:tcPr>
            <w:tcW w:w="2628" w:type="dxa"/>
            <w:tcBorders>
              <w:top w:val="nil"/>
              <w:left w:val="nil"/>
              <w:bottom w:val="single" w:sz="8" w:space="0" w:color="auto"/>
              <w:right w:val="nil"/>
            </w:tcBorders>
            <w:shd w:val="clear" w:color="auto" w:fill="DEEAF6" w:themeFill="accent1" w:themeFillTint="33"/>
            <w:noWrap/>
            <w:vAlign w:val="center"/>
            <w:hideMark/>
          </w:tcPr>
          <w:p w14:paraId="62373886" w14:textId="77777777" w:rsidR="00E84B0C" w:rsidRPr="00E84B0C" w:rsidRDefault="00E84B0C" w:rsidP="00E84B0C">
            <w:pPr>
              <w:spacing w:after="0" w:line="240" w:lineRule="auto"/>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 </w:t>
            </w:r>
          </w:p>
        </w:tc>
        <w:tc>
          <w:tcPr>
            <w:tcW w:w="878" w:type="dxa"/>
            <w:tcBorders>
              <w:top w:val="nil"/>
              <w:left w:val="nil"/>
              <w:bottom w:val="single" w:sz="8" w:space="0" w:color="auto"/>
              <w:right w:val="nil"/>
            </w:tcBorders>
            <w:shd w:val="clear" w:color="auto" w:fill="DEEAF6" w:themeFill="accent1" w:themeFillTint="33"/>
            <w:noWrap/>
            <w:vAlign w:val="center"/>
            <w:hideMark/>
          </w:tcPr>
          <w:p w14:paraId="7B804D69" w14:textId="6CA9FA30"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130.</w:t>
            </w:r>
            <w:r w:rsidR="00543C8A">
              <w:rPr>
                <w:rFonts w:ascii="Calibri" w:eastAsia="Times New Roman" w:hAnsi="Calibri" w:cs="Calibri"/>
                <w:b/>
                <w:bCs/>
                <w:color w:val="000000"/>
                <w:sz w:val="14"/>
                <w:szCs w:val="14"/>
              </w:rPr>
              <w:t>394</w:t>
            </w:r>
            <w:r w:rsidRPr="00E84B0C">
              <w:rPr>
                <w:rFonts w:ascii="Calibri" w:eastAsia="Times New Roman" w:hAnsi="Calibri" w:cs="Calibri"/>
                <w:b/>
                <w:bCs/>
                <w:color w:val="000000"/>
                <w:sz w:val="14"/>
                <w:szCs w:val="14"/>
              </w:rPr>
              <w:t>.</w:t>
            </w:r>
            <w:r w:rsidR="00543C8A">
              <w:rPr>
                <w:rFonts w:ascii="Calibri" w:eastAsia="Times New Roman" w:hAnsi="Calibri" w:cs="Calibri"/>
                <w:b/>
                <w:bCs/>
                <w:color w:val="000000"/>
                <w:sz w:val="14"/>
                <w:szCs w:val="14"/>
              </w:rPr>
              <w:t>157</w:t>
            </w:r>
          </w:p>
        </w:tc>
        <w:tc>
          <w:tcPr>
            <w:tcW w:w="798" w:type="dxa"/>
            <w:tcBorders>
              <w:top w:val="nil"/>
              <w:left w:val="nil"/>
              <w:bottom w:val="single" w:sz="8" w:space="0" w:color="auto"/>
              <w:right w:val="nil"/>
            </w:tcBorders>
            <w:shd w:val="clear" w:color="auto" w:fill="DEEAF6" w:themeFill="accent1" w:themeFillTint="33"/>
            <w:noWrap/>
            <w:vAlign w:val="center"/>
            <w:hideMark/>
          </w:tcPr>
          <w:p w14:paraId="0426A218" w14:textId="030BC3E3"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4.015.811</w:t>
            </w:r>
          </w:p>
        </w:tc>
        <w:tc>
          <w:tcPr>
            <w:tcW w:w="941" w:type="dxa"/>
            <w:tcBorders>
              <w:top w:val="nil"/>
              <w:left w:val="nil"/>
              <w:bottom w:val="single" w:sz="8" w:space="0" w:color="auto"/>
              <w:right w:val="nil"/>
            </w:tcBorders>
            <w:shd w:val="clear" w:color="auto" w:fill="DEEAF6" w:themeFill="accent1" w:themeFillTint="33"/>
            <w:noWrap/>
            <w:vAlign w:val="center"/>
            <w:hideMark/>
          </w:tcPr>
          <w:p w14:paraId="59252A64" w14:textId="21640EB3" w:rsidR="00E84B0C" w:rsidRPr="00E84B0C" w:rsidRDefault="00244301" w:rsidP="00E84B0C">
            <w:pPr>
              <w:spacing w:after="0" w:line="240" w:lineRule="auto"/>
              <w:jc w:val="right"/>
              <w:rPr>
                <w:rFonts w:ascii="Calibri" w:eastAsia="Times New Roman" w:hAnsi="Calibri" w:cs="Calibri"/>
                <w:b/>
                <w:bCs/>
                <w:color w:val="000000"/>
                <w:sz w:val="14"/>
                <w:szCs w:val="14"/>
              </w:rPr>
            </w:pPr>
            <w:r>
              <w:rPr>
                <w:rFonts w:ascii="Calibri" w:eastAsia="Times New Roman" w:hAnsi="Calibri" w:cs="Calibri"/>
                <w:b/>
                <w:bCs/>
                <w:color w:val="000000"/>
                <w:sz w:val="14"/>
                <w:szCs w:val="14"/>
              </w:rPr>
              <w:t>-</w:t>
            </w:r>
          </w:p>
        </w:tc>
        <w:tc>
          <w:tcPr>
            <w:tcW w:w="875" w:type="dxa"/>
            <w:tcBorders>
              <w:top w:val="nil"/>
              <w:left w:val="nil"/>
              <w:bottom w:val="single" w:sz="8" w:space="0" w:color="auto"/>
              <w:right w:val="nil"/>
            </w:tcBorders>
            <w:shd w:val="clear" w:color="auto" w:fill="DEEAF6" w:themeFill="accent1" w:themeFillTint="33"/>
            <w:noWrap/>
            <w:vAlign w:val="center"/>
            <w:hideMark/>
          </w:tcPr>
          <w:p w14:paraId="01D81699" w14:textId="2090D971"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(54.027)</w:t>
            </w:r>
          </w:p>
        </w:tc>
        <w:tc>
          <w:tcPr>
            <w:tcW w:w="864" w:type="dxa"/>
            <w:tcBorders>
              <w:top w:val="nil"/>
              <w:left w:val="nil"/>
              <w:bottom w:val="single" w:sz="8" w:space="0" w:color="auto"/>
              <w:right w:val="nil"/>
            </w:tcBorders>
            <w:shd w:val="clear" w:color="auto" w:fill="DEEAF6" w:themeFill="accent1" w:themeFillTint="33"/>
            <w:noWrap/>
            <w:vAlign w:val="center"/>
            <w:hideMark/>
          </w:tcPr>
          <w:p w14:paraId="59E79E02" w14:textId="4F86FF4D" w:rsidR="00E84B0C" w:rsidRPr="00E84B0C" w:rsidRDefault="00E84B0C" w:rsidP="00E84B0C">
            <w:pPr>
              <w:spacing w:after="0" w:line="240" w:lineRule="auto"/>
              <w:jc w:val="right"/>
              <w:rPr>
                <w:rFonts w:ascii="Calibri" w:eastAsia="Times New Roman" w:hAnsi="Calibri" w:cs="Calibri"/>
                <w:b/>
                <w:bCs/>
                <w:color w:val="000000"/>
                <w:sz w:val="14"/>
                <w:szCs w:val="14"/>
              </w:rPr>
            </w:pPr>
            <w:r w:rsidRPr="00E84B0C">
              <w:rPr>
                <w:rFonts w:ascii="Calibri" w:eastAsia="Times New Roman" w:hAnsi="Calibri" w:cs="Calibri"/>
                <w:b/>
                <w:bCs/>
                <w:color w:val="000000"/>
                <w:sz w:val="14"/>
                <w:szCs w:val="14"/>
              </w:rPr>
              <w:t>134.355.940</w:t>
            </w:r>
          </w:p>
        </w:tc>
      </w:tr>
      <w:tr w:rsidR="0087691D" w:rsidRPr="00E84B0C" w14:paraId="2056F79C" w14:textId="77777777" w:rsidTr="66A9223B">
        <w:trPr>
          <w:trHeight w:val="227"/>
        </w:trPr>
        <w:tc>
          <w:tcPr>
            <w:tcW w:w="6111" w:type="dxa"/>
            <w:gridSpan w:val="2"/>
            <w:tcBorders>
              <w:top w:val="nil"/>
              <w:left w:val="nil"/>
              <w:bottom w:val="nil"/>
              <w:right w:val="nil"/>
            </w:tcBorders>
            <w:shd w:val="clear" w:color="auto" w:fill="auto"/>
            <w:noWrap/>
            <w:vAlign w:val="center"/>
            <w:hideMark/>
          </w:tcPr>
          <w:p w14:paraId="2E9A245A" w14:textId="65823371" w:rsidR="004E1601" w:rsidRPr="00E84B0C" w:rsidRDefault="004E1601" w:rsidP="00E84B0C">
            <w:pPr>
              <w:spacing w:after="0" w:line="240" w:lineRule="auto"/>
              <w:rPr>
                <w:rFonts w:ascii="Calibri" w:eastAsia="Times New Roman" w:hAnsi="Calibri" w:cs="Calibri"/>
                <w:color w:val="000000"/>
                <w:sz w:val="12"/>
                <w:szCs w:val="12"/>
              </w:rPr>
            </w:pPr>
            <w:r w:rsidRPr="00E84B0C">
              <w:rPr>
                <w:rFonts w:ascii="Calibri" w:eastAsia="Times New Roman" w:hAnsi="Calibri" w:cs="Calibri"/>
                <w:color w:val="2E74B5"/>
                <w:sz w:val="12"/>
                <w:szCs w:val="12"/>
              </w:rPr>
              <w:t xml:space="preserve">(a) </w:t>
            </w:r>
            <w:r w:rsidRPr="00E84B0C">
              <w:rPr>
                <w:rFonts w:ascii="Calibri" w:eastAsia="Times New Roman" w:hAnsi="Calibri" w:cs="Calibri"/>
                <w:color w:val="000000"/>
                <w:sz w:val="12"/>
                <w:szCs w:val="12"/>
              </w:rPr>
              <w:t>Tempo de vida útil estimados em 5 anos.</w:t>
            </w:r>
          </w:p>
        </w:tc>
        <w:tc>
          <w:tcPr>
            <w:tcW w:w="878" w:type="dxa"/>
            <w:tcBorders>
              <w:top w:val="nil"/>
              <w:left w:val="nil"/>
              <w:bottom w:val="nil"/>
              <w:right w:val="nil"/>
            </w:tcBorders>
            <w:shd w:val="clear" w:color="auto" w:fill="auto"/>
            <w:noWrap/>
            <w:vAlign w:val="center"/>
            <w:hideMark/>
          </w:tcPr>
          <w:p w14:paraId="6A716836" w14:textId="77777777" w:rsidR="004E1601" w:rsidRPr="00E84B0C" w:rsidRDefault="004E1601" w:rsidP="00E84B0C">
            <w:pPr>
              <w:spacing w:after="0" w:line="240" w:lineRule="auto"/>
              <w:rPr>
                <w:rFonts w:ascii="Times New Roman" w:eastAsia="Times New Roman" w:hAnsi="Times New Roman" w:cs="Times New Roman"/>
                <w:sz w:val="20"/>
                <w:szCs w:val="20"/>
              </w:rPr>
            </w:pPr>
          </w:p>
        </w:tc>
        <w:tc>
          <w:tcPr>
            <w:tcW w:w="798" w:type="dxa"/>
            <w:tcBorders>
              <w:top w:val="nil"/>
              <w:left w:val="nil"/>
              <w:bottom w:val="nil"/>
              <w:right w:val="nil"/>
            </w:tcBorders>
            <w:shd w:val="clear" w:color="auto" w:fill="auto"/>
            <w:noWrap/>
            <w:vAlign w:val="center"/>
            <w:hideMark/>
          </w:tcPr>
          <w:p w14:paraId="1BB7BF74" w14:textId="77777777" w:rsidR="004E1601" w:rsidRPr="00E84B0C" w:rsidRDefault="004E1601" w:rsidP="00E84B0C">
            <w:pPr>
              <w:spacing w:after="0" w:line="240" w:lineRule="auto"/>
              <w:rPr>
                <w:rFonts w:ascii="Times New Roman" w:eastAsia="Times New Roman" w:hAnsi="Times New Roman" w:cs="Times New Roman"/>
                <w:sz w:val="20"/>
                <w:szCs w:val="20"/>
              </w:rPr>
            </w:pPr>
          </w:p>
        </w:tc>
        <w:tc>
          <w:tcPr>
            <w:tcW w:w="941" w:type="dxa"/>
            <w:tcBorders>
              <w:top w:val="nil"/>
              <w:left w:val="nil"/>
              <w:bottom w:val="nil"/>
              <w:right w:val="nil"/>
            </w:tcBorders>
            <w:shd w:val="clear" w:color="auto" w:fill="auto"/>
            <w:noWrap/>
            <w:vAlign w:val="center"/>
            <w:hideMark/>
          </w:tcPr>
          <w:p w14:paraId="733884D4" w14:textId="77777777" w:rsidR="004E1601" w:rsidRPr="00E84B0C" w:rsidRDefault="004E1601" w:rsidP="00E84B0C">
            <w:pPr>
              <w:spacing w:after="0" w:line="240" w:lineRule="auto"/>
              <w:rPr>
                <w:rFonts w:ascii="Times New Roman" w:eastAsia="Times New Roman" w:hAnsi="Times New Roman" w:cs="Times New Roman"/>
                <w:sz w:val="20"/>
                <w:szCs w:val="20"/>
              </w:rPr>
            </w:pPr>
          </w:p>
        </w:tc>
        <w:tc>
          <w:tcPr>
            <w:tcW w:w="875" w:type="dxa"/>
            <w:tcBorders>
              <w:top w:val="nil"/>
              <w:left w:val="nil"/>
              <w:bottom w:val="nil"/>
              <w:right w:val="nil"/>
            </w:tcBorders>
            <w:shd w:val="clear" w:color="auto" w:fill="auto"/>
            <w:noWrap/>
            <w:vAlign w:val="center"/>
            <w:hideMark/>
          </w:tcPr>
          <w:p w14:paraId="5A4CA1FD" w14:textId="77777777" w:rsidR="004E1601" w:rsidRPr="00E84B0C" w:rsidRDefault="004E1601" w:rsidP="00E84B0C">
            <w:pPr>
              <w:spacing w:after="0" w:line="240" w:lineRule="auto"/>
              <w:rPr>
                <w:rFonts w:ascii="Times New Roman" w:eastAsia="Times New Roman" w:hAnsi="Times New Roman" w:cs="Times New Roman"/>
                <w:sz w:val="20"/>
                <w:szCs w:val="20"/>
              </w:rPr>
            </w:pPr>
          </w:p>
        </w:tc>
        <w:tc>
          <w:tcPr>
            <w:tcW w:w="864" w:type="dxa"/>
            <w:tcBorders>
              <w:top w:val="nil"/>
              <w:left w:val="nil"/>
              <w:bottom w:val="nil"/>
              <w:right w:val="nil"/>
            </w:tcBorders>
            <w:shd w:val="clear" w:color="auto" w:fill="auto"/>
            <w:noWrap/>
            <w:vAlign w:val="center"/>
            <w:hideMark/>
          </w:tcPr>
          <w:p w14:paraId="48EF532E" w14:textId="77777777" w:rsidR="004E1601" w:rsidRPr="00E84B0C" w:rsidRDefault="004E1601" w:rsidP="00E84B0C">
            <w:pPr>
              <w:spacing w:after="0" w:line="240" w:lineRule="auto"/>
              <w:rPr>
                <w:rFonts w:ascii="Times New Roman" w:eastAsia="Times New Roman" w:hAnsi="Times New Roman" w:cs="Times New Roman"/>
                <w:sz w:val="20"/>
                <w:szCs w:val="20"/>
              </w:rPr>
            </w:pPr>
          </w:p>
        </w:tc>
      </w:tr>
    </w:tbl>
    <w:p w14:paraId="520F569C"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Os investimentos em estudos e projetos de longo prazo, que envolvem custos com contratação de terceiros (fornecedores) consoante contratos apresentados na tabela acima, normalmente resultam na obtenção de licenças ambientais, e são financiados por meio de Adiantamentos para Futuros Aumentos de Capital – AFAC. As receitas oriundas de tais investimentos são reconhecidas quando do ressarcimento da licença ambiental ou do estudo pelo licitante adjudicatário da concessão de rodovia promovida pelos clientes da Infra S.A. Neste momento, o custo registrado no ativo é baixado contra o resultado.</w:t>
      </w:r>
    </w:p>
    <w:p w14:paraId="317A7BF5"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 xml:space="preserve">Os estudos e projetos, bem como as licenças ambientais disponíveis para cessão, são registrados em conformidade com o Pronunciamento Técnico CPC 04 (R1) - Ativo Intangível, o qual preceitua que a amortização deve iniciar a partir do momento em que o ativo estiver disponível para uso, e cessar na data em que o ativo é classificado como mantido para venda. A Infra S.A. está avaliando a possibilidade de aplicação de outros pronunciamentos técnicos contábeis em relação ao registro dos referidos estudos e projetos. </w:t>
      </w:r>
    </w:p>
    <w:p w14:paraId="42F24550" w14:textId="67ABDA00"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lastRenderedPageBreak/>
        <w:t xml:space="preserve">Dentre os estudos, e buscando a melhoria da infraestrutura e do acesso aos serviços básicos à população, destaca-se o valor de </w:t>
      </w:r>
      <w:bookmarkStart w:id="54" w:name="_Hlk183949032"/>
      <w:r w:rsidRPr="000C775F">
        <w:rPr>
          <w:rFonts w:asciiTheme="minorHAnsi" w:hAnsiTheme="minorHAnsi"/>
          <w:bCs w:val="0"/>
          <w:szCs w:val="21"/>
        </w:rPr>
        <w:t xml:space="preserve">R$ </w:t>
      </w:r>
      <w:r w:rsidR="003C6D57">
        <w:rPr>
          <w:rFonts w:asciiTheme="minorHAnsi" w:hAnsiTheme="minorHAnsi"/>
          <w:bCs w:val="0"/>
          <w:szCs w:val="21"/>
        </w:rPr>
        <w:t>26,92</w:t>
      </w:r>
      <w:r w:rsidRPr="000C775F">
        <w:rPr>
          <w:rFonts w:asciiTheme="minorHAnsi" w:hAnsiTheme="minorHAnsi"/>
          <w:bCs w:val="0"/>
          <w:szCs w:val="21"/>
        </w:rPr>
        <w:t xml:space="preserve"> milhões </w:t>
      </w:r>
      <w:bookmarkEnd w:id="54"/>
      <w:r w:rsidRPr="000C775F">
        <w:rPr>
          <w:rFonts w:asciiTheme="minorHAnsi" w:hAnsiTheme="minorHAnsi"/>
          <w:bCs w:val="0"/>
          <w:szCs w:val="21"/>
        </w:rPr>
        <w:t xml:space="preserve">do Acordo de Parceria n° 01/2019, celebrado entre a Infra S.A. e a </w:t>
      </w:r>
      <w:proofErr w:type="spellStart"/>
      <w:r w:rsidRPr="000C775F">
        <w:rPr>
          <w:rFonts w:asciiTheme="minorHAnsi" w:hAnsiTheme="minorHAnsi"/>
          <w:bCs w:val="0"/>
          <w:szCs w:val="21"/>
        </w:rPr>
        <w:t>International</w:t>
      </w:r>
      <w:proofErr w:type="spellEnd"/>
      <w:r w:rsidRPr="000C775F">
        <w:rPr>
          <w:rFonts w:asciiTheme="minorHAnsi" w:hAnsiTheme="minorHAnsi"/>
          <w:bCs w:val="0"/>
          <w:szCs w:val="21"/>
        </w:rPr>
        <w:t xml:space="preserve"> </w:t>
      </w:r>
      <w:proofErr w:type="spellStart"/>
      <w:r w:rsidRPr="000C775F">
        <w:rPr>
          <w:rFonts w:asciiTheme="minorHAnsi" w:hAnsiTheme="minorHAnsi"/>
          <w:bCs w:val="0"/>
          <w:szCs w:val="21"/>
        </w:rPr>
        <w:t>Finance</w:t>
      </w:r>
      <w:proofErr w:type="spellEnd"/>
      <w:r w:rsidRPr="000C775F">
        <w:rPr>
          <w:rFonts w:asciiTheme="minorHAnsi" w:hAnsiTheme="minorHAnsi"/>
          <w:bCs w:val="0"/>
          <w:szCs w:val="21"/>
        </w:rPr>
        <w:t xml:space="preserve"> Corporation – IFC. A IFC, membro do Grupo do Banco Mundial (World Bank </w:t>
      </w:r>
      <w:proofErr w:type="spellStart"/>
      <w:r w:rsidRPr="000C775F">
        <w:rPr>
          <w:rFonts w:asciiTheme="minorHAnsi" w:hAnsiTheme="minorHAnsi"/>
          <w:bCs w:val="0"/>
          <w:szCs w:val="21"/>
        </w:rPr>
        <w:t>Group</w:t>
      </w:r>
      <w:proofErr w:type="spellEnd"/>
      <w:r w:rsidRPr="000C775F">
        <w:rPr>
          <w:rFonts w:asciiTheme="minorHAnsi" w:hAnsiTheme="minorHAnsi"/>
          <w:bCs w:val="0"/>
          <w:szCs w:val="21"/>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6359E9B3"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 ANTT.</w:t>
      </w:r>
    </w:p>
    <w:p w14:paraId="0B67577D"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 xml:space="preserve">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 </w:t>
      </w:r>
    </w:p>
    <w:p w14:paraId="4AA7BFFA"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 xml:space="preserve">Em relação à taxa de amortização dos softwares, considerou-se tempo de vida útil de 5 anos. Não há amortização em caso de licença perpétua, por terem vida útil indefinida nos termos do Pronunciamento Técnico CPC 04 (R1) – Ativo Intangível. </w:t>
      </w:r>
    </w:p>
    <w:p w14:paraId="207CC425" w14:textId="77777777" w:rsidR="00E84B9F"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Os Direitos de uso de Comunicação são direitos junto às empresas de telefonia que estão sendo reclamados pela Infra S.A.</w:t>
      </w:r>
    </w:p>
    <w:p w14:paraId="79B76C0D" w14:textId="70E7BFB5" w:rsidR="0024637A" w:rsidRPr="000C775F" w:rsidRDefault="00E84B9F" w:rsidP="000C775F">
      <w:pPr>
        <w:pStyle w:val="Textoembloco"/>
        <w:spacing w:before="120" w:after="0" w:line="240" w:lineRule="auto"/>
        <w:ind w:left="0" w:right="0"/>
        <w:rPr>
          <w:rFonts w:asciiTheme="minorHAnsi" w:hAnsiTheme="minorHAnsi"/>
          <w:bCs w:val="0"/>
          <w:szCs w:val="21"/>
        </w:rPr>
      </w:pPr>
      <w:r w:rsidRPr="000C775F">
        <w:rPr>
          <w:rFonts w:asciiTheme="minorHAnsi" w:hAnsiTheme="minorHAnsi"/>
          <w:bCs w:val="0"/>
          <w:szCs w:val="21"/>
        </w:rPr>
        <w:t xml:space="preserve">Anualmente, é realizado o inventário dos intangíveis da Infra S.A. e testado sua </w:t>
      </w:r>
      <w:proofErr w:type="spellStart"/>
      <w:r w:rsidRPr="000C775F">
        <w:rPr>
          <w:rFonts w:asciiTheme="minorHAnsi" w:hAnsiTheme="minorHAnsi"/>
          <w:bCs w:val="0"/>
          <w:szCs w:val="21"/>
        </w:rPr>
        <w:t>servibilidade</w:t>
      </w:r>
      <w:proofErr w:type="spellEnd"/>
      <w:r w:rsidRPr="000C775F">
        <w:rPr>
          <w:rFonts w:asciiTheme="minorHAnsi" w:hAnsiTheme="minorHAnsi"/>
          <w:bCs w:val="0"/>
          <w:szCs w:val="21"/>
        </w:rPr>
        <w:t xml:space="preserve">. Os intangíveis que se apresentarem como inservíveis são doados ou baixados do sistema patrimonial bem como da contabilidade. </w:t>
      </w:r>
    </w:p>
    <w:p w14:paraId="685AE2BC" w14:textId="77777777" w:rsidR="00697DEA" w:rsidRDefault="00697DEA" w:rsidP="00E84B9F">
      <w:pPr>
        <w:pStyle w:val="Textoembloco"/>
        <w:spacing w:after="0" w:line="264" w:lineRule="auto"/>
        <w:ind w:left="0" w:right="0"/>
        <w:rPr>
          <w:rFonts w:asciiTheme="minorHAnsi" w:hAnsiTheme="minorHAnsi" w:cstheme="minorHAnsi"/>
          <w:shd w:val="clear" w:color="auto" w:fill="FFFFFF"/>
        </w:rPr>
      </w:pPr>
    </w:p>
    <w:p w14:paraId="04A5AE52" w14:textId="40D667CD" w:rsidR="00E71553" w:rsidRPr="00552073" w:rsidRDefault="004E10EA" w:rsidP="00552073">
      <w:pPr>
        <w:pStyle w:val="Ttulo1"/>
      </w:pPr>
      <w:bookmarkStart w:id="55" w:name="_Toc184926684"/>
      <w:bookmarkEnd w:id="53"/>
      <w:r w:rsidRPr="006E45A0">
        <w:t>1</w:t>
      </w:r>
      <w:r w:rsidR="00685977" w:rsidRPr="006E45A0">
        <w:t xml:space="preserve">5 </w:t>
      </w:r>
      <w:r w:rsidR="00F93BC7" w:rsidRPr="006E45A0">
        <w:t>–</w:t>
      </w:r>
      <w:r w:rsidRPr="006E45A0">
        <w:t xml:space="preserve"> </w:t>
      </w:r>
      <w:r w:rsidR="00E71553" w:rsidRPr="006E45A0">
        <w:t>Fornecedores</w:t>
      </w:r>
      <w:bookmarkEnd w:id="55"/>
      <w:r w:rsidR="00055048" w:rsidRPr="006E45A0">
        <w:t xml:space="preserve"> </w:t>
      </w:r>
    </w:p>
    <w:p w14:paraId="116D81F7" w14:textId="00EA901F" w:rsidR="006E45A0" w:rsidRPr="00552073" w:rsidRDefault="00DE191C" w:rsidP="00645DFB">
      <w:pPr>
        <w:spacing w:before="120" w:line="240" w:lineRule="auto"/>
        <w:jc w:val="both"/>
        <w:rPr>
          <w:sz w:val="20"/>
        </w:rPr>
      </w:pPr>
      <w:r>
        <w:rPr>
          <w:sz w:val="20"/>
        </w:rPr>
        <w:t>O total devido no período aos fornecedores da Infra S.A. corresponde ao seguinte montante:</w:t>
      </w:r>
    </w:p>
    <w:tbl>
      <w:tblPr>
        <w:tblW w:w="5000" w:type="pct"/>
        <w:tblCellMar>
          <w:left w:w="70" w:type="dxa"/>
          <w:right w:w="70" w:type="dxa"/>
        </w:tblCellMar>
        <w:tblLook w:val="04A0" w:firstRow="1" w:lastRow="0" w:firstColumn="1" w:lastColumn="0" w:noHBand="0" w:noVBand="1"/>
      </w:tblPr>
      <w:tblGrid>
        <w:gridCol w:w="8181"/>
        <w:gridCol w:w="1143"/>
        <w:gridCol w:w="1143"/>
      </w:tblGrid>
      <w:tr w:rsidR="00CB3E14" w:rsidRPr="00CB3E14" w14:paraId="305D893E" w14:textId="77777777" w:rsidTr="007B7C1D">
        <w:trPr>
          <w:trHeight w:val="227"/>
        </w:trPr>
        <w:tc>
          <w:tcPr>
            <w:tcW w:w="8181" w:type="dxa"/>
            <w:tcBorders>
              <w:top w:val="nil"/>
              <w:left w:val="nil"/>
              <w:bottom w:val="single" w:sz="8" w:space="0" w:color="auto"/>
              <w:right w:val="nil"/>
            </w:tcBorders>
            <w:shd w:val="clear" w:color="000000" w:fill="DEEAF6"/>
            <w:noWrap/>
            <w:vAlign w:val="center"/>
            <w:hideMark/>
          </w:tcPr>
          <w:p w14:paraId="367E27C1" w14:textId="77777777" w:rsidR="00CB3E14" w:rsidRPr="00CB3E14" w:rsidRDefault="00CB3E14" w:rsidP="00CB3E14">
            <w:pPr>
              <w:spacing w:after="0" w:line="240" w:lineRule="auto"/>
              <w:rPr>
                <w:rFonts w:ascii="Calibri" w:eastAsia="Times New Roman" w:hAnsi="Calibri" w:cs="Calibri"/>
                <w:color w:val="000000"/>
              </w:rPr>
            </w:pPr>
            <w:r w:rsidRPr="00CB3E14">
              <w:rPr>
                <w:rFonts w:ascii="Calibri" w:eastAsia="Times New Roman" w:hAnsi="Calibri" w:cs="Calibri"/>
                <w:color w:val="000000"/>
              </w:rPr>
              <w:t> </w:t>
            </w:r>
          </w:p>
        </w:tc>
        <w:tc>
          <w:tcPr>
            <w:tcW w:w="1143" w:type="dxa"/>
            <w:tcBorders>
              <w:top w:val="nil"/>
              <w:left w:val="nil"/>
              <w:bottom w:val="single" w:sz="8" w:space="0" w:color="auto"/>
              <w:right w:val="nil"/>
            </w:tcBorders>
            <w:shd w:val="clear" w:color="000000" w:fill="DEEAF6"/>
            <w:noWrap/>
            <w:vAlign w:val="center"/>
            <w:hideMark/>
          </w:tcPr>
          <w:p w14:paraId="20C7DE99" w14:textId="77777777" w:rsidR="00CB3E14" w:rsidRPr="00CB3E14" w:rsidRDefault="00CB3E14" w:rsidP="00CB3E14">
            <w:pPr>
              <w:spacing w:after="0" w:line="240" w:lineRule="auto"/>
              <w:jc w:val="right"/>
              <w:rPr>
                <w:rFonts w:ascii="Calibri" w:eastAsia="Times New Roman" w:hAnsi="Calibri" w:cs="Calibri"/>
                <w:b/>
                <w:bCs/>
                <w:color w:val="000000"/>
                <w:sz w:val="16"/>
                <w:szCs w:val="16"/>
              </w:rPr>
            </w:pPr>
            <w:r w:rsidRPr="00CB3E14">
              <w:rPr>
                <w:rFonts w:ascii="Calibri" w:eastAsia="Times New Roman" w:hAnsi="Calibri" w:cs="Calibri"/>
                <w:b/>
                <w:bCs/>
                <w:color w:val="000000"/>
                <w:sz w:val="16"/>
                <w:szCs w:val="16"/>
              </w:rPr>
              <w:t>31/03/2024</w:t>
            </w:r>
          </w:p>
        </w:tc>
        <w:tc>
          <w:tcPr>
            <w:tcW w:w="1143" w:type="dxa"/>
            <w:tcBorders>
              <w:top w:val="nil"/>
              <w:left w:val="nil"/>
              <w:bottom w:val="single" w:sz="8" w:space="0" w:color="auto"/>
              <w:right w:val="nil"/>
            </w:tcBorders>
            <w:shd w:val="clear" w:color="000000" w:fill="DEEAF6"/>
            <w:noWrap/>
            <w:vAlign w:val="center"/>
            <w:hideMark/>
          </w:tcPr>
          <w:p w14:paraId="2EB35200" w14:textId="77777777" w:rsidR="00CB3E14" w:rsidRPr="00CB3E14" w:rsidRDefault="00CB3E14" w:rsidP="00CB3E14">
            <w:pPr>
              <w:spacing w:after="0" w:line="240" w:lineRule="auto"/>
              <w:jc w:val="right"/>
              <w:rPr>
                <w:rFonts w:ascii="Calibri" w:eastAsia="Times New Roman" w:hAnsi="Calibri" w:cs="Calibri"/>
                <w:b/>
                <w:bCs/>
                <w:color w:val="000000"/>
                <w:sz w:val="16"/>
                <w:szCs w:val="16"/>
              </w:rPr>
            </w:pPr>
            <w:r w:rsidRPr="00CB3E14">
              <w:rPr>
                <w:rFonts w:ascii="Calibri" w:eastAsia="Times New Roman" w:hAnsi="Calibri" w:cs="Calibri"/>
                <w:b/>
                <w:bCs/>
                <w:color w:val="000000"/>
                <w:sz w:val="16"/>
                <w:szCs w:val="16"/>
              </w:rPr>
              <w:t>31/12/2023</w:t>
            </w:r>
          </w:p>
        </w:tc>
      </w:tr>
      <w:tr w:rsidR="00CB3E14" w:rsidRPr="00CB3E14" w14:paraId="2707EA4F" w14:textId="77777777" w:rsidTr="007B7C1D">
        <w:trPr>
          <w:trHeight w:val="227"/>
        </w:trPr>
        <w:tc>
          <w:tcPr>
            <w:tcW w:w="8181" w:type="dxa"/>
            <w:tcBorders>
              <w:top w:val="nil"/>
              <w:left w:val="nil"/>
              <w:bottom w:val="nil"/>
              <w:right w:val="nil"/>
            </w:tcBorders>
            <w:shd w:val="clear" w:color="auto" w:fill="auto"/>
            <w:noWrap/>
            <w:vAlign w:val="center"/>
            <w:hideMark/>
          </w:tcPr>
          <w:p w14:paraId="0F66CEB1" w14:textId="77777777" w:rsidR="00CB3E14" w:rsidRPr="00CB3E14" w:rsidRDefault="00CB3E14" w:rsidP="00CB3E14">
            <w:pPr>
              <w:spacing w:after="0" w:line="240" w:lineRule="auto"/>
              <w:jc w:val="both"/>
              <w:rPr>
                <w:rFonts w:ascii="Calibri" w:eastAsia="Times New Roman" w:hAnsi="Calibri" w:cs="Calibri"/>
                <w:color w:val="000000"/>
                <w:sz w:val="16"/>
                <w:szCs w:val="16"/>
              </w:rPr>
            </w:pPr>
            <w:r w:rsidRPr="00CB3E14">
              <w:rPr>
                <w:rFonts w:ascii="Calibri" w:eastAsia="Times New Roman" w:hAnsi="Calibri" w:cs="Calibri"/>
                <w:color w:val="000000"/>
                <w:sz w:val="16"/>
                <w:szCs w:val="16"/>
              </w:rPr>
              <w:t>Fornecedores (Passivo Circulante)</w:t>
            </w:r>
          </w:p>
        </w:tc>
        <w:tc>
          <w:tcPr>
            <w:tcW w:w="1143" w:type="dxa"/>
            <w:tcBorders>
              <w:top w:val="nil"/>
              <w:left w:val="nil"/>
              <w:bottom w:val="nil"/>
              <w:right w:val="nil"/>
            </w:tcBorders>
            <w:shd w:val="clear" w:color="auto" w:fill="auto"/>
            <w:noWrap/>
            <w:vAlign w:val="center"/>
            <w:hideMark/>
          </w:tcPr>
          <w:p w14:paraId="7614147E" w14:textId="05A22A1B" w:rsidR="00CB3E14" w:rsidRPr="00CB3E14" w:rsidRDefault="00C32482" w:rsidP="00CB3E14">
            <w:pPr>
              <w:spacing w:after="0" w:line="240" w:lineRule="auto"/>
              <w:jc w:val="right"/>
              <w:rPr>
                <w:rFonts w:ascii="Calibri" w:eastAsia="Times New Roman" w:hAnsi="Calibri" w:cs="Calibri"/>
                <w:color w:val="000000"/>
                <w:sz w:val="16"/>
                <w:szCs w:val="16"/>
              </w:rPr>
            </w:pPr>
            <w:r w:rsidRPr="00C32482">
              <w:rPr>
                <w:rFonts w:ascii="Calibri" w:eastAsia="Times New Roman" w:hAnsi="Calibri" w:cs="Calibri"/>
                <w:color w:val="000000"/>
                <w:sz w:val="16"/>
                <w:szCs w:val="16"/>
              </w:rPr>
              <w:t>1</w:t>
            </w:r>
            <w:r>
              <w:rPr>
                <w:rFonts w:ascii="Calibri" w:eastAsia="Times New Roman" w:hAnsi="Calibri" w:cs="Calibri"/>
                <w:color w:val="000000"/>
                <w:sz w:val="16"/>
                <w:szCs w:val="16"/>
              </w:rPr>
              <w:t>.</w:t>
            </w:r>
            <w:r w:rsidRPr="00C32482">
              <w:rPr>
                <w:rFonts w:ascii="Calibri" w:eastAsia="Times New Roman" w:hAnsi="Calibri" w:cs="Calibri"/>
                <w:color w:val="000000"/>
                <w:sz w:val="16"/>
                <w:szCs w:val="16"/>
              </w:rPr>
              <w:t>265</w:t>
            </w:r>
            <w:r>
              <w:rPr>
                <w:rFonts w:ascii="Calibri" w:eastAsia="Times New Roman" w:hAnsi="Calibri" w:cs="Calibri"/>
                <w:color w:val="000000"/>
                <w:sz w:val="16"/>
                <w:szCs w:val="16"/>
              </w:rPr>
              <w:t>.</w:t>
            </w:r>
            <w:r w:rsidRPr="00C32482">
              <w:rPr>
                <w:rFonts w:ascii="Calibri" w:eastAsia="Times New Roman" w:hAnsi="Calibri" w:cs="Calibri"/>
                <w:color w:val="000000"/>
                <w:sz w:val="16"/>
                <w:szCs w:val="16"/>
              </w:rPr>
              <w:t>79</w:t>
            </w:r>
            <w:r w:rsidR="008C5134">
              <w:rPr>
                <w:rFonts w:ascii="Calibri" w:eastAsia="Times New Roman" w:hAnsi="Calibri" w:cs="Calibri"/>
                <w:color w:val="000000"/>
                <w:sz w:val="16"/>
                <w:szCs w:val="16"/>
              </w:rPr>
              <w:t>5</w:t>
            </w:r>
          </w:p>
        </w:tc>
        <w:tc>
          <w:tcPr>
            <w:tcW w:w="1143" w:type="dxa"/>
            <w:tcBorders>
              <w:top w:val="nil"/>
              <w:left w:val="nil"/>
              <w:bottom w:val="nil"/>
              <w:right w:val="nil"/>
            </w:tcBorders>
            <w:shd w:val="clear" w:color="auto" w:fill="auto"/>
            <w:noWrap/>
            <w:vAlign w:val="center"/>
            <w:hideMark/>
          </w:tcPr>
          <w:p w14:paraId="7B632ED0" w14:textId="77777777" w:rsidR="00CB3E14" w:rsidRPr="00CB3E14" w:rsidRDefault="00CB3E14" w:rsidP="00CB3E14">
            <w:pPr>
              <w:spacing w:after="0" w:line="240" w:lineRule="auto"/>
              <w:jc w:val="right"/>
              <w:rPr>
                <w:rFonts w:ascii="Calibri" w:eastAsia="Times New Roman" w:hAnsi="Calibri" w:cs="Calibri"/>
                <w:color w:val="000000"/>
                <w:sz w:val="16"/>
                <w:szCs w:val="16"/>
              </w:rPr>
            </w:pPr>
            <w:r w:rsidRPr="00CB3E14">
              <w:rPr>
                <w:rFonts w:ascii="Calibri" w:eastAsia="Times New Roman" w:hAnsi="Calibri" w:cs="Calibri"/>
                <w:color w:val="000000"/>
                <w:sz w:val="16"/>
                <w:szCs w:val="16"/>
              </w:rPr>
              <w:t>62.283</w:t>
            </w:r>
          </w:p>
        </w:tc>
      </w:tr>
      <w:tr w:rsidR="00CB3E14" w:rsidRPr="00CB3E14" w14:paraId="1B05B3FC" w14:textId="77777777" w:rsidTr="007B7C1D">
        <w:trPr>
          <w:trHeight w:val="227"/>
        </w:trPr>
        <w:tc>
          <w:tcPr>
            <w:tcW w:w="8181" w:type="dxa"/>
            <w:tcBorders>
              <w:top w:val="nil"/>
              <w:left w:val="nil"/>
              <w:bottom w:val="single" w:sz="8" w:space="0" w:color="auto"/>
              <w:right w:val="nil"/>
            </w:tcBorders>
            <w:shd w:val="clear" w:color="auto" w:fill="auto"/>
            <w:noWrap/>
            <w:vAlign w:val="center"/>
            <w:hideMark/>
          </w:tcPr>
          <w:p w14:paraId="75B49F34" w14:textId="77777777" w:rsidR="00CB3E14" w:rsidRPr="00CB3E14" w:rsidRDefault="00CB3E14" w:rsidP="00CB3E14">
            <w:pPr>
              <w:spacing w:after="0" w:line="240" w:lineRule="auto"/>
              <w:jc w:val="both"/>
              <w:rPr>
                <w:rFonts w:ascii="Calibri" w:eastAsia="Times New Roman" w:hAnsi="Calibri" w:cs="Calibri"/>
                <w:color w:val="000000"/>
                <w:sz w:val="16"/>
                <w:szCs w:val="16"/>
              </w:rPr>
            </w:pPr>
            <w:r w:rsidRPr="00CB3E14">
              <w:rPr>
                <w:rFonts w:ascii="Calibri" w:eastAsia="Times New Roman" w:hAnsi="Calibri" w:cs="Calibri"/>
                <w:color w:val="000000"/>
                <w:sz w:val="16"/>
                <w:szCs w:val="16"/>
              </w:rPr>
              <w:t>Fornecedores (Passivo Não Circulante)</w:t>
            </w:r>
          </w:p>
        </w:tc>
        <w:tc>
          <w:tcPr>
            <w:tcW w:w="1143" w:type="dxa"/>
            <w:tcBorders>
              <w:top w:val="nil"/>
              <w:left w:val="nil"/>
              <w:bottom w:val="single" w:sz="8" w:space="0" w:color="auto"/>
              <w:right w:val="nil"/>
            </w:tcBorders>
            <w:shd w:val="clear" w:color="auto" w:fill="auto"/>
            <w:noWrap/>
            <w:vAlign w:val="center"/>
            <w:hideMark/>
          </w:tcPr>
          <w:p w14:paraId="2D4C8B2C" w14:textId="0F8BF521" w:rsidR="00CB3E14" w:rsidRPr="00CB3E14" w:rsidRDefault="00CB3E14" w:rsidP="00CB3E14">
            <w:pPr>
              <w:spacing w:after="0" w:line="240" w:lineRule="auto"/>
              <w:jc w:val="right"/>
              <w:rPr>
                <w:rFonts w:ascii="Calibri" w:eastAsia="Times New Roman" w:hAnsi="Calibri" w:cs="Calibri"/>
                <w:color w:val="000000"/>
                <w:sz w:val="16"/>
                <w:szCs w:val="16"/>
              </w:rPr>
            </w:pPr>
            <w:r w:rsidRPr="00CB3E14">
              <w:rPr>
                <w:rFonts w:ascii="Calibri" w:eastAsia="Times New Roman" w:hAnsi="Calibri" w:cs="Calibri"/>
                <w:color w:val="000000"/>
                <w:sz w:val="16"/>
                <w:szCs w:val="16"/>
              </w:rPr>
              <w:t>3.077.45</w:t>
            </w:r>
            <w:r w:rsidR="00D41D10">
              <w:rPr>
                <w:rFonts w:ascii="Calibri" w:eastAsia="Times New Roman" w:hAnsi="Calibri" w:cs="Calibri"/>
                <w:color w:val="000000"/>
                <w:sz w:val="16"/>
                <w:szCs w:val="16"/>
              </w:rPr>
              <w:t>1</w:t>
            </w:r>
          </w:p>
        </w:tc>
        <w:tc>
          <w:tcPr>
            <w:tcW w:w="1143" w:type="dxa"/>
            <w:tcBorders>
              <w:top w:val="nil"/>
              <w:left w:val="nil"/>
              <w:bottom w:val="single" w:sz="8" w:space="0" w:color="auto"/>
              <w:right w:val="nil"/>
            </w:tcBorders>
            <w:shd w:val="clear" w:color="auto" w:fill="auto"/>
            <w:noWrap/>
            <w:vAlign w:val="center"/>
            <w:hideMark/>
          </w:tcPr>
          <w:p w14:paraId="6C83E56F" w14:textId="65847579" w:rsidR="00CB3E14" w:rsidRPr="00CB3E14" w:rsidRDefault="00CB3E14" w:rsidP="00CB3E14">
            <w:pPr>
              <w:spacing w:after="0" w:line="240" w:lineRule="auto"/>
              <w:jc w:val="right"/>
              <w:rPr>
                <w:rFonts w:ascii="Calibri" w:eastAsia="Times New Roman" w:hAnsi="Calibri" w:cs="Calibri"/>
                <w:color w:val="000000"/>
                <w:sz w:val="16"/>
                <w:szCs w:val="16"/>
              </w:rPr>
            </w:pPr>
            <w:r w:rsidRPr="00CB3E14">
              <w:rPr>
                <w:rFonts w:ascii="Calibri" w:eastAsia="Times New Roman" w:hAnsi="Calibri" w:cs="Calibri"/>
                <w:color w:val="000000"/>
                <w:sz w:val="16"/>
                <w:szCs w:val="16"/>
              </w:rPr>
              <w:t>3.077.45</w:t>
            </w:r>
            <w:r w:rsidR="00D41D10">
              <w:rPr>
                <w:rFonts w:ascii="Calibri" w:eastAsia="Times New Roman" w:hAnsi="Calibri" w:cs="Calibri"/>
                <w:color w:val="000000"/>
                <w:sz w:val="16"/>
                <w:szCs w:val="16"/>
              </w:rPr>
              <w:t>1</w:t>
            </w:r>
          </w:p>
        </w:tc>
      </w:tr>
      <w:tr w:rsidR="00CB3E14" w:rsidRPr="00CB3E14" w14:paraId="04A7C30D" w14:textId="77777777" w:rsidTr="007B7C1D">
        <w:trPr>
          <w:trHeight w:val="227"/>
        </w:trPr>
        <w:tc>
          <w:tcPr>
            <w:tcW w:w="8181" w:type="dxa"/>
            <w:tcBorders>
              <w:top w:val="nil"/>
              <w:left w:val="nil"/>
              <w:bottom w:val="single" w:sz="8" w:space="0" w:color="auto"/>
              <w:right w:val="nil"/>
            </w:tcBorders>
            <w:shd w:val="clear" w:color="000000" w:fill="DEEAF6"/>
            <w:noWrap/>
            <w:vAlign w:val="center"/>
            <w:hideMark/>
          </w:tcPr>
          <w:p w14:paraId="44D68A50" w14:textId="77777777" w:rsidR="00CB3E14" w:rsidRPr="00CB3E14" w:rsidRDefault="00CB3E14" w:rsidP="00CB3E14">
            <w:pPr>
              <w:spacing w:after="0" w:line="240" w:lineRule="auto"/>
              <w:rPr>
                <w:rFonts w:ascii="Calibri" w:eastAsia="Times New Roman" w:hAnsi="Calibri" w:cs="Calibri"/>
                <w:b/>
                <w:bCs/>
                <w:color w:val="000000"/>
                <w:sz w:val="16"/>
                <w:szCs w:val="16"/>
              </w:rPr>
            </w:pPr>
            <w:r w:rsidRPr="00CB3E14">
              <w:rPr>
                <w:rFonts w:ascii="Calibri" w:eastAsia="Times New Roman" w:hAnsi="Calibri" w:cs="Calibri"/>
                <w:b/>
                <w:bCs/>
                <w:color w:val="000000"/>
                <w:sz w:val="16"/>
                <w:szCs w:val="16"/>
              </w:rPr>
              <w:t>Total</w:t>
            </w:r>
          </w:p>
        </w:tc>
        <w:tc>
          <w:tcPr>
            <w:tcW w:w="1143" w:type="dxa"/>
            <w:tcBorders>
              <w:top w:val="nil"/>
              <w:left w:val="nil"/>
              <w:bottom w:val="single" w:sz="8" w:space="0" w:color="auto"/>
              <w:right w:val="nil"/>
            </w:tcBorders>
            <w:shd w:val="clear" w:color="000000" w:fill="DEEAF6"/>
            <w:noWrap/>
            <w:vAlign w:val="center"/>
            <w:hideMark/>
          </w:tcPr>
          <w:p w14:paraId="7584E8A4" w14:textId="6882D7B0" w:rsidR="00CB3E14" w:rsidRPr="00CB3E14" w:rsidRDefault="00AB5F34" w:rsidP="00CB3E14">
            <w:pPr>
              <w:spacing w:after="0" w:line="240" w:lineRule="auto"/>
              <w:jc w:val="right"/>
              <w:rPr>
                <w:rFonts w:ascii="Calibri" w:eastAsia="Times New Roman" w:hAnsi="Calibri" w:cs="Calibri"/>
                <w:b/>
                <w:bCs/>
                <w:color w:val="000000"/>
                <w:sz w:val="16"/>
                <w:szCs w:val="16"/>
              </w:rPr>
            </w:pPr>
            <w:r w:rsidRPr="00AB5F34">
              <w:rPr>
                <w:rFonts w:ascii="Calibri" w:eastAsia="Times New Roman" w:hAnsi="Calibri" w:cs="Calibri"/>
                <w:b/>
                <w:bCs/>
                <w:color w:val="000000"/>
                <w:sz w:val="16"/>
                <w:szCs w:val="16"/>
              </w:rPr>
              <w:t>4</w:t>
            </w:r>
            <w:r>
              <w:rPr>
                <w:rFonts w:ascii="Calibri" w:eastAsia="Times New Roman" w:hAnsi="Calibri" w:cs="Calibri"/>
                <w:b/>
                <w:bCs/>
                <w:color w:val="000000"/>
                <w:sz w:val="16"/>
                <w:szCs w:val="16"/>
              </w:rPr>
              <w:t>.</w:t>
            </w:r>
            <w:r w:rsidRPr="00AB5F34">
              <w:rPr>
                <w:rFonts w:ascii="Calibri" w:eastAsia="Times New Roman" w:hAnsi="Calibri" w:cs="Calibri"/>
                <w:b/>
                <w:bCs/>
                <w:color w:val="000000"/>
                <w:sz w:val="16"/>
                <w:szCs w:val="16"/>
              </w:rPr>
              <w:t>343</w:t>
            </w:r>
            <w:r>
              <w:rPr>
                <w:rFonts w:ascii="Calibri" w:eastAsia="Times New Roman" w:hAnsi="Calibri" w:cs="Calibri"/>
                <w:b/>
                <w:bCs/>
                <w:color w:val="000000"/>
                <w:sz w:val="16"/>
                <w:szCs w:val="16"/>
              </w:rPr>
              <w:t>.</w:t>
            </w:r>
            <w:r w:rsidRPr="00AB5F34">
              <w:rPr>
                <w:rFonts w:ascii="Calibri" w:eastAsia="Times New Roman" w:hAnsi="Calibri" w:cs="Calibri"/>
                <w:b/>
                <w:bCs/>
                <w:color w:val="000000"/>
                <w:sz w:val="16"/>
                <w:szCs w:val="16"/>
              </w:rPr>
              <w:t>24</w:t>
            </w:r>
            <w:r w:rsidR="008C5134">
              <w:rPr>
                <w:rFonts w:ascii="Calibri" w:eastAsia="Times New Roman" w:hAnsi="Calibri" w:cs="Calibri"/>
                <w:b/>
                <w:bCs/>
                <w:color w:val="000000"/>
                <w:sz w:val="16"/>
                <w:szCs w:val="16"/>
              </w:rPr>
              <w:t>6</w:t>
            </w:r>
          </w:p>
        </w:tc>
        <w:tc>
          <w:tcPr>
            <w:tcW w:w="1143" w:type="dxa"/>
            <w:tcBorders>
              <w:top w:val="nil"/>
              <w:left w:val="nil"/>
              <w:bottom w:val="single" w:sz="8" w:space="0" w:color="auto"/>
              <w:right w:val="nil"/>
            </w:tcBorders>
            <w:shd w:val="clear" w:color="000000" w:fill="DEEAF6"/>
            <w:noWrap/>
            <w:vAlign w:val="center"/>
            <w:hideMark/>
          </w:tcPr>
          <w:p w14:paraId="06DDC3A8" w14:textId="4DE3F770" w:rsidR="00CB3E14" w:rsidRPr="00CB3E14" w:rsidRDefault="00CB3E14" w:rsidP="00CB3E14">
            <w:pPr>
              <w:spacing w:after="0" w:line="240" w:lineRule="auto"/>
              <w:jc w:val="right"/>
              <w:rPr>
                <w:rFonts w:ascii="Calibri" w:eastAsia="Times New Roman" w:hAnsi="Calibri" w:cs="Calibri"/>
                <w:b/>
                <w:bCs/>
                <w:color w:val="000000"/>
                <w:sz w:val="16"/>
                <w:szCs w:val="16"/>
              </w:rPr>
            </w:pPr>
            <w:r w:rsidRPr="00CB3E14">
              <w:rPr>
                <w:rFonts w:ascii="Calibri" w:eastAsia="Times New Roman" w:hAnsi="Calibri" w:cs="Calibri"/>
                <w:b/>
                <w:bCs/>
                <w:color w:val="000000"/>
                <w:sz w:val="16"/>
                <w:szCs w:val="16"/>
              </w:rPr>
              <w:t>3.139.73</w:t>
            </w:r>
            <w:r w:rsidR="00D41D10">
              <w:rPr>
                <w:rFonts w:ascii="Calibri" w:eastAsia="Times New Roman" w:hAnsi="Calibri" w:cs="Calibri"/>
                <w:b/>
                <w:bCs/>
                <w:color w:val="000000"/>
                <w:sz w:val="16"/>
                <w:szCs w:val="16"/>
              </w:rPr>
              <w:t>4</w:t>
            </w:r>
          </w:p>
        </w:tc>
      </w:tr>
    </w:tbl>
    <w:p w14:paraId="1D3FC7F5" w14:textId="2895F79E" w:rsidR="00DE191C" w:rsidRPr="00DE191C" w:rsidRDefault="007B7C1D" w:rsidP="00DE191C">
      <w:pPr>
        <w:pStyle w:val="Textoembloco"/>
        <w:spacing w:before="120" w:after="0" w:line="240" w:lineRule="auto"/>
        <w:ind w:left="0" w:right="0"/>
        <w:rPr>
          <w:rFonts w:asciiTheme="minorHAnsi" w:hAnsiTheme="minorHAnsi"/>
          <w:bCs w:val="0"/>
          <w:szCs w:val="21"/>
        </w:rPr>
      </w:pPr>
      <w:r>
        <w:rPr>
          <w:rFonts w:ascii="Calibri" w:hAnsi="Calibri"/>
          <w:bCs w:val="0"/>
          <w:szCs w:val="21"/>
        </w:rPr>
        <w:t>O saldo presente no passivo circulante, consistem em compromissos assumidos com fornecedores de materiais e serviços pela Infra S.A. até a data das Demonstrações.</w:t>
      </w:r>
      <w:r w:rsidR="00A22D24">
        <w:rPr>
          <w:rFonts w:ascii="Calibri" w:hAnsi="Calibri"/>
          <w:szCs w:val="21"/>
        </w:rPr>
        <w:t xml:space="preserve"> </w:t>
      </w:r>
      <w:r w:rsidRPr="00205795">
        <w:rPr>
          <w:rFonts w:ascii="Calibri" w:hAnsi="Calibri"/>
          <w:szCs w:val="21"/>
        </w:rPr>
        <w:t>Os saldos são liquidados no mês subsequente à entrada da nota fiscal, com exceção do mês de dezembro, quando são realizados esforços junto aos gestores e fiscais de contratos para que encaminhem</w:t>
      </w:r>
      <w:r>
        <w:rPr>
          <w:rFonts w:ascii="Calibri" w:hAnsi="Calibri"/>
          <w:szCs w:val="21"/>
        </w:rPr>
        <w:t xml:space="preserve"> com antecedência</w:t>
      </w:r>
      <w:r w:rsidRPr="00205795">
        <w:rPr>
          <w:rFonts w:ascii="Calibri" w:hAnsi="Calibri"/>
          <w:szCs w:val="21"/>
        </w:rPr>
        <w:t xml:space="preserve"> as notas fiscais e faturas emitidas </w:t>
      </w:r>
      <w:r w:rsidR="00647A9E">
        <w:rPr>
          <w:rFonts w:ascii="Calibri" w:hAnsi="Calibri"/>
          <w:bCs w:val="0"/>
          <w:szCs w:val="21"/>
        </w:rPr>
        <w:t>em</w:t>
      </w:r>
      <w:r>
        <w:rPr>
          <w:rFonts w:ascii="Calibri" w:hAnsi="Calibri"/>
          <w:szCs w:val="21"/>
        </w:rPr>
        <w:t xml:space="preserve"> referido mês</w:t>
      </w:r>
      <w:r w:rsidRPr="00205795">
        <w:rPr>
          <w:rFonts w:ascii="Calibri" w:hAnsi="Calibri"/>
          <w:szCs w:val="21"/>
        </w:rPr>
        <w:t>, possibilitando o pagamento dentro do mesmo exercício.</w:t>
      </w:r>
    </w:p>
    <w:p w14:paraId="0112BB5A" w14:textId="32E6C37E" w:rsidR="001977E4" w:rsidRDefault="002811F7" w:rsidP="00645DFB">
      <w:pPr>
        <w:pStyle w:val="Textoembloco"/>
        <w:spacing w:before="120" w:after="0" w:line="240" w:lineRule="auto"/>
        <w:ind w:left="0" w:right="0"/>
        <w:rPr>
          <w:rFonts w:asciiTheme="minorHAnsi" w:hAnsiTheme="minorHAnsi" w:cstheme="minorHAnsi"/>
          <w:szCs w:val="21"/>
          <w:shd w:val="clear" w:color="auto" w:fill="FFFFFF"/>
        </w:rPr>
      </w:pPr>
      <w:r>
        <w:rPr>
          <w:rFonts w:asciiTheme="minorHAnsi" w:hAnsiTheme="minorHAnsi" w:cstheme="minorHAnsi"/>
          <w:szCs w:val="21"/>
          <w:shd w:val="clear" w:color="auto" w:fill="FFFFFF"/>
        </w:rPr>
        <w:t xml:space="preserve">No passivo não circulante </w:t>
      </w:r>
      <w:r w:rsidR="001977E4">
        <w:rPr>
          <w:rFonts w:asciiTheme="minorHAnsi" w:hAnsiTheme="minorHAnsi" w:cstheme="minorHAnsi"/>
          <w:szCs w:val="21"/>
          <w:shd w:val="clear" w:color="auto" w:fill="FFFFFF"/>
        </w:rPr>
        <w:t xml:space="preserve">há o valor de R$ 3 milhões </w:t>
      </w:r>
      <w:r w:rsidR="00AB361F">
        <w:rPr>
          <w:rFonts w:asciiTheme="minorHAnsi" w:hAnsiTheme="minorHAnsi" w:cstheme="minorHAnsi"/>
          <w:szCs w:val="21"/>
          <w:shd w:val="clear" w:color="auto" w:fill="FFFFFF"/>
        </w:rPr>
        <w:t>referente a</w:t>
      </w:r>
      <w:r w:rsidR="001977E4">
        <w:rPr>
          <w:rFonts w:asciiTheme="minorHAnsi" w:hAnsiTheme="minorHAnsi" w:cstheme="minorHAnsi"/>
          <w:szCs w:val="21"/>
          <w:shd w:val="clear" w:color="auto" w:fill="FFFFFF"/>
        </w:rPr>
        <w:t xml:space="preserve"> medição d</w:t>
      </w:r>
      <w:r w:rsidR="00420BC7">
        <w:rPr>
          <w:rFonts w:asciiTheme="minorHAnsi" w:hAnsiTheme="minorHAnsi" w:cstheme="minorHAnsi"/>
          <w:szCs w:val="21"/>
          <w:shd w:val="clear" w:color="auto" w:fill="FFFFFF"/>
        </w:rPr>
        <w:t>o</w:t>
      </w:r>
      <w:r w:rsidR="001977E4">
        <w:rPr>
          <w:rFonts w:asciiTheme="minorHAnsi" w:hAnsiTheme="minorHAnsi" w:cstheme="minorHAnsi"/>
          <w:szCs w:val="21"/>
          <w:shd w:val="clear" w:color="auto" w:fill="FFFFFF"/>
        </w:rPr>
        <w:t xml:space="preserve"> </w:t>
      </w:r>
      <w:r w:rsidR="00765C97">
        <w:rPr>
          <w:rFonts w:asciiTheme="minorHAnsi" w:hAnsiTheme="minorHAnsi" w:cstheme="minorHAnsi"/>
          <w:szCs w:val="21"/>
          <w:shd w:val="clear" w:color="auto" w:fill="FFFFFF"/>
        </w:rPr>
        <w:t>C</w:t>
      </w:r>
      <w:r w:rsidR="001977E4">
        <w:rPr>
          <w:rFonts w:asciiTheme="minorHAnsi" w:hAnsiTheme="minorHAnsi" w:cstheme="minorHAnsi"/>
          <w:szCs w:val="21"/>
          <w:shd w:val="clear" w:color="auto" w:fill="FFFFFF"/>
        </w:rPr>
        <w:t xml:space="preserve">ontrato de </w:t>
      </w:r>
      <w:r w:rsidR="00765C97">
        <w:rPr>
          <w:rFonts w:asciiTheme="minorHAnsi" w:hAnsiTheme="minorHAnsi" w:cstheme="minorHAnsi"/>
          <w:szCs w:val="21"/>
          <w:shd w:val="clear" w:color="auto" w:fill="FFFFFF"/>
        </w:rPr>
        <w:t>O</w:t>
      </w:r>
      <w:r w:rsidR="001977E4">
        <w:rPr>
          <w:rFonts w:asciiTheme="minorHAnsi" w:hAnsiTheme="minorHAnsi" w:cstheme="minorHAnsi"/>
          <w:szCs w:val="21"/>
          <w:shd w:val="clear" w:color="auto" w:fill="FFFFFF"/>
        </w:rPr>
        <w:t>bra</w:t>
      </w:r>
      <w:r w:rsidR="00420BC7">
        <w:rPr>
          <w:rFonts w:asciiTheme="minorHAnsi" w:hAnsiTheme="minorHAnsi" w:cstheme="minorHAnsi"/>
          <w:szCs w:val="21"/>
          <w:shd w:val="clear" w:color="auto" w:fill="FFFFFF"/>
        </w:rPr>
        <w:t xml:space="preserve"> n° 066/20</w:t>
      </w:r>
      <w:r w:rsidR="00B3097C">
        <w:rPr>
          <w:rFonts w:asciiTheme="minorHAnsi" w:hAnsiTheme="minorHAnsi" w:cstheme="minorHAnsi"/>
          <w:szCs w:val="21"/>
          <w:shd w:val="clear" w:color="auto" w:fill="FFFFFF"/>
        </w:rPr>
        <w:t>10</w:t>
      </w:r>
      <w:r w:rsidR="00E43452">
        <w:rPr>
          <w:rFonts w:asciiTheme="minorHAnsi" w:hAnsiTheme="minorHAnsi" w:cstheme="minorHAnsi"/>
          <w:szCs w:val="21"/>
          <w:shd w:val="clear" w:color="auto" w:fill="FFFFFF"/>
        </w:rPr>
        <w:t xml:space="preserve">, </w:t>
      </w:r>
      <w:r w:rsidR="001977E4">
        <w:rPr>
          <w:rFonts w:asciiTheme="minorHAnsi" w:hAnsiTheme="minorHAnsi" w:cstheme="minorHAnsi"/>
          <w:szCs w:val="21"/>
          <w:shd w:val="clear" w:color="auto" w:fill="FFFFFF"/>
        </w:rPr>
        <w:t>liquidado em 2015, porém com pagamento</w:t>
      </w:r>
      <w:r w:rsidR="00DF7E98">
        <w:rPr>
          <w:rFonts w:asciiTheme="minorHAnsi" w:hAnsiTheme="minorHAnsi" w:cstheme="minorHAnsi"/>
          <w:szCs w:val="21"/>
          <w:shd w:val="clear" w:color="auto" w:fill="FFFFFF"/>
        </w:rPr>
        <w:t>s</w:t>
      </w:r>
      <w:r w:rsidR="001977E4">
        <w:rPr>
          <w:rFonts w:asciiTheme="minorHAnsi" w:hAnsiTheme="minorHAnsi" w:cstheme="minorHAnsi"/>
          <w:szCs w:val="21"/>
          <w:shd w:val="clear" w:color="auto" w:fill="FFFFFF"/>
        </w:rPr>
        <w:t xml:space="preserve"> suspenso</w:t>
      </w:r>
      <w:r w:rsidR="00DF7E98">
        <w:rPr>
          <w:rFonts w:asciiTheme="minorHAnsi" w:hAnsiTheme="minorHAnsi" w:cstheme="minorHAnsi"/>
          <w:szCs w:val="21"/>
          <w:shd w:val="clear" w:color="auto" w:fill="FFFFFF"/>
        </w:rPr>
        <w:t>s</w:t>
      </w:r>
      <w:r w:rsidR="001977E4">
        <w:rPr>
          <w:rFonts w:asciiTheme="minorHAnsi" w:hAnsiTheme="minorHAnsi" w:cstheme="minorHAnsi"/>
          <w:szCs w:val="21"/>
          <w:shd w:val="clear" w:color="auto" w:fill="FFFFFF"/>
        </w:rPr>
        <w:t xml:space="preserve"> devido a abertura de processo judicial</w:t>
      </w:r>
      <w:r w:rsidR="001C2A5E">
        <w:rPr>
          <w:rFonts w:asciiTheme="minorHAnsi" w:hAnsiTheme="minorHAnsi" w:cstheme="minorHAnsi"/>
          <w:szCs w:val="21"/>
          <w:shd w:val="clear" w:color="auto" w:fill="FFFFFF"/>
        </w:rPr>
        <w:t xml:space="preserve"> n</w:t>
      </w:r>
      <w:r w:rsidR="00E04049">
        <w:rPr>
          <w:rFonts w:asciiTheme="minorHAnsi" w:hAnsiTheme="minorHAnsi" w:cstheme="minorHAnsi"/>
          <w:szCs w:val="21"/>
          <w:shd w:val="clear" w:color="auto" w:fill="FFFFFF"/>
        </w:rPr>
        <w:t>°</w:t>
      </w:r>
      <w:r w:rsidR="001C2A5E">
        <w:rPr>
          <w:rFonts w:asciiTheme="minorHAnsi" w:hAnsiTheme="minorHAnsi" w:cstheme="minorHAnsi"/>
          <w:szCs w:val="21"/>
          <w:shd w:val="clear" w:color="auto" w:fill="FFFFFF"/>
        </w:rPr>
        <w:t xml:space="preserve"> </w:t>
      </w:r>
      <w:r w:rsidR="001C2A5E" w:rsidRPr="001C2A5E">
        <w:rPr>
          <w:rFonts w:asciiTheme="minorHAnsi" w:hAnsiTheme="minorHAnsi" w:cstheme="minorHAnsi"/>
          <w:szCs w:val="21"/>
          <w:shd w:val="clear" w:color="auto" w:fill="FFFFFF"/>
        </w:rPr>
        <w:t>1058082-55.2022.4.01.3400</w:t>
      </w:r>
      <w:r w:rsidR="00CA0FF2">
        <w:rPr>
          <w:rFonts w:asciiTheme="minorHAnsi" w:hAnsiTheme="minorHAnsi" w:cstheme="minorHAnsi"/>
          <w:szCs w:val="21"/>
          <w:shd w:val="clear" w:color="auto" w:fill="FFFFFF"/>
        </w:rPr>
        <w:t xml:space="preserve"> (</w:t>
      </w:r>
      <w:r w:rsidR="0066530E">
        <w:rPr>
          <w:rFonts w:asciiTheme="minorHAnsi" w:hAnsiTheme="minorHAnsi" w:cstheme="minorHAnsi"/>
          <w:szCs w:val="21"/>
          <w:shd w:val="clear" w:color="auto" w:fill="FFFFFF"/>
        </w:rPr>
        <w:t>P</w:t>
      </w:r>
      <w:r w:rsidR="00F72DB5">
        <w:rPr>
          <w:rFonts w:asciiTheme="minorHAnsi" w:hAnsiTheme="minorHAnsi" w:cstheme="minorHAnsi"/>
          <w:szCs w:val="21"/>
          <w:shd w:val="clear" w:color="auto" w:fill="FFFFFF"/>
        </w:rPr>
        <w:t xml:space="preserve">rocesso </w:t>
      </w:r>
      <w:r w:rsidR="00DF54F9">
        <w:rPr>
          <w:rFonts w:asciiTheme="minorHAnsi" w:hAnsiTheme="minorHAnsi" w:cstheme="minorHAnsi"/>
          <w:szCs w:val="21"/>
          <w:shd w:val="clear" w:color="auto" w:fill="FFFFFF"/>
        </w:rPr>
        <w:t>SEI</w:t>
      </w:r>
      <w:r w:rsidR="00DF7E98">
        <w:rPr>
          <w:rFonts w:asciiTheme="minorHAnsi" w:hAnsiTheme="minorHAnsi" w:cstheme="minorHAnsi"/>
          <w:szCs w:val="21"/>
          <w:shd w:val="clear" w:color="auto" w:fill="FFFFFF"/>
        </w:rPr>
        <w:t xml:space="preserve"> </w:t>
      </w:r>
      <w:r w:rsidR="00993A28">
        <w:rPr>
          <w:rFonts w:asciiTheme="minorHAnsi" w:hAnsiTheme="minorHAnsi" w:cstheme="minorHAnsi"/>
          <w:szCs w:val="21"/>
          <w:shd w:val="clear" w:color="auto" w:fill="FFFFFF"/>
        </w:rPr>
        <w:t xml:space="preserve">n° </w:t>
      </w:r>
      <w:r w:rsidR="00DF7E98" w:rsidRPr="00DF7E98">
        <w:rPr>
          <w:rFonts w:asciiTheme="minorHAnsi" w:hAnsiTheme="minorHAnsi" w:cstheme="minorHAnsi"/>
          <w:szCs w:val="21"/>
          <w:shd w:val="clear" w:color="auto" w:fill="FFFFFF"/>
        </w:rPr>
        <w:t>51402.105317/2022-63</w:t>
      </w:r>
      <w:r w:rsidR="00DF7E98">
        <w:rPr>
          <w:rFonts w:asciiTheme="minorHAnsi" w:hAnsiTheme="minorHAnsi" w:cstheme="minorHAnsi"/>
          <w:szCs w:val="21"/>
          <w:shd w:val="clear" w:color="auto" w:fill="FFFFFF"/>
        </w:rPr>
        <w:t>)</w:t>
      </w:r>
      <w:r w:rsidR="001C2A5E">
        <w:rPr>
          <w:rFonts w:asciiTheme="minorHAnsi" w:hAnsiTheme="minorHAnsi" w:cstheme="minorHAnsi"/>
          <w:szCs w:val="21"/>
          <w:shd w:val="clear" w:color="auto" w:fill="FFFFFF"/>
        </w:rPr>
        <w:t xml:space="preserve">. </w:t>
      </w:r>
    </w:p>
    <w:p w14:paraId="5B057AE1" w14:textId="77777777" w:rsidR="002D7090" w:rsidRDefault="002D7090" w:rsidP="00B42F25">
      <w:pPr>
        <w:pStyle w:val="Textoembloco"/>
        <w:spacing w:after="0" w:line="264" w:lineRule="auto"/>
        <w:ind w:left="0" w:right="0"/>
        <w:rPr>
          <w:rFonts w:asciiTheme="minorHAnsi" w:hAnsiTheme="minorHAnsi" w:cstheme="minorHAnsi"/>
          <w:szCs w:val="21"/>
          <w:shd w:val="clear" w:color="auto" w:fill="FFFFFF"/>
        </w:rPr>
      </w:pPr>
    </w:p>
    <w:p w14:paraId="3E60FBAF" w14:textId="6C3D920E" w:rsidR="00E71553" w:rsidRPr="00552073" w:rsidRDefault="004E10EA" w:rsidP="00552073">
      <w:pPr>
        <w:pStyle w:val="Ttulo1"/>
      </w:pPr>
      <w:bookmarkStart w:id="56" w:name="_Toc184926685"/>
      <w:bookmarkStart w:id="57" w:name="_Hlk126321872"/>
      <w:bookmarkStart w:id="58" w:name="_Hlk119683631"/>
      <w:r w:rsidRPr="00552073">
        <w:t>1</w:t>
      </w:r>
      <w:r w:rsidR="00C34431" w:rsidRPr="00552073">
        <w:t xml:space="preserve">6 </w:t>
      </w:r>
      <w:r w:rsidR="004B6C8A" w:rsidRPr="00552073">
        <w:t>–</w:t>
      </w:r>
      <w:r w:rsidRPr="00552073">
        <w:t xml:space="preserve"> </w:t>
      </w:r>
      <w:r w:rsidR="00E71553" w:rsidRPr="00552073">
        <w:t xml:space="preserve">Obrigações com </w:t>
      </w:r>
      <w:r w:rsidR="0003103E">
        <w:t>P</w:t>
      </w:r>
      <w:r w:rsidR="00E71553" w:rsidRPr="00552073">
        <w:t>essoal</w:t>
      </w:r>
      <w:bookmarkEnd w:id="56"/>
    </w:p>
    <w:bookmarkEnd w:id="57"/>
    <w:p w14:paraId="2682AA4C" w14:textId="53882985" w:rsidR="000A5E0D" w:rsidRDefault="008B43EE" w:rsidP="00645DFB">
      <w:pPr>
        <w:spacing w:before="120" w:line="240" w:lineRule="auto"/>
        <w:jc w:val="both"/>
        <w:rPr>
          <w:rFonts w:cstheme="minorHAnsi"/>
          <w:sz w:val="20"/>
          <w:shd w:val="clear" w:color="auto" w:fill="FFFFFF"/>
        </w:rPr>
      </w:pPr>
      <w:r w:rsidRPr="00552073">
        <w:rPr>
          <w:rFonts w:cstheme="minorHAnsi"/>
          <w:sz w:val="20"/>
          <w:shd w:val="clear" w:color="auto" w:fill="FFFFFF"/>
        </w:rPr>
        <w:t>No quadro abaixo</w:t>
      </w:r>
      <w:r w:rsidR="00B27A1F" w:rsidRPr="00552073">
        <w:rPr>
          <w:rFonts w:cstheme="minorHAnsi"/>
          <w:sz w:val="20"/>
          <w:shd w:val="clear" w:color="auto" w:fill="FFFFFF"/>
        </w:rPr>
        <w:t xml:space="preserve"> est</w:t>
      </w:r>
      <w:r w:rsidRPr="00552073">
        <w:rPr>
          <w:rFonts w:cstheme="minorHAnsi"/>
          <w:sz w:val="20"/>
          <w:shd w:val="clear" w:color="auto" w:fill="FFFFFF"/>
        </w:rPr>
        <w:t>á</w:t>
      </w:r>
      <w:r w:rsidR="00B27A1F" w:rsidRPr="00552073">
        <w:rPr>
          <w:rFonts w:cstheme="minorHAnsi"/>
          <w:sz w:val="20"/>
          <w:shd w:val="clear" w:color="auto" w:fill="FFFFFF"/>
        </w:rPr>
        <w:t xml:space="preserve"> demonstrad</w:t>
      </w:r>
      <w:r w:rsidR="001924D4" w:rsidRPr="00552073">
        <w:rPr>
          <w:rFonts w:cstheme="minorHAnsi"/>
          <w:sz w:val="20"/>
          <w:shd w:val="clear" w:color="auto" w:fill="FFFFFF"/>
        </w:rPr>
        <w:t>a a</w:t>
      </w:r>
      <w:r w:rsidR="001A7037" w:rsidRPr="00552073">
        <w:rPr>
          <w:rFonts w:cstheme="minorHAnsi"/>
          <w:sz w:val="20"/>
          <w:shd w:val="clear" w:color="auto" w:fill="FFFFFF"/>
        </w:rPr>
        <w:t xml:space="preserve"> movimentação das</w:t>
      </w:r>
      <w:r w:rsidR="001924D4" w:rsidRPr="00552073">
        <w:rPr>
          <w:rFonts w:cstheme="minorHAnsi"/>
          <w:sz w:val="20"/>
          <w:shd w:val="clear" w:color="auto" w:fill="FFFFFF"/>
        </w:rPr>
        <w:t xml:space="preserve"> obrigaç</w:t>
      </w:r>
      <w:r w:rsidRPr="00552073">
        <w:rPr>
          <w:rFonts w:cstheme="minorHAnsi"/>
          <w:sz w:val="20"/>
          <w:shd w:val="clear" w:color="auto" w:fill="FFFFFF"/>
        </w:rPr>
        <w:t>ões</w:t>
      </w:r>
      <w:r w:rsidR="001924D4" w:rsidRPr="00552073">
        <w:rPr>
          <w:rFonts w:cstheme="minorHAnsi"/>
          <w:sz w:val="20"/>
          <w:shd w:val="clear" w:color="auto" w:fill="FFFFFF"/>
        </w:rPr>
        <w:t xml:space="preserve"> com pessoal.</w:t>
      </w:r>
    </w:p>
    <w:tbl>
      <w:tblPr>
        <w:tblW w:w="5000" w:type="pct"/>
        <w:tblCellMar>
          <w:left w:w="70" w:type="dxa"/>
          <w:right w:w="70" w:type="dxa"/>
        </w:tblCellMar>
        <w:tblLook w:val="04A0" w:firstRow="1" w:lastRow="0" w:firstColumn="1" w:lastColumn="0" w:noHBand="0" w:noVBand="1"/>
      </w:tblPr>
      <w:tblGrid>
        <w:gridCol w:w="8167"/>
        <w:gridCol w:w="1150"/>
        <w:gridCol w:w="1150"/>
      </w:tblGrid>
      <w:tr w:rsidR="00940861" w:rsidRPr="00940861" w14:paraId="2145E0B8" w14:textId="77777777" w:rsidTr="00724803">
        <w:trPr>
          <w:trHeight w:hRule="exact" w:val="227"/>
        </w:trPr>
        <w:tc>
          <w:tcPr>
            <w:tcW w:w="8055" w:type="dxa"/>
            <w:tcBorders>
              <w:top w:val="single" w:sz="8" w:space="0" w:color="auto"/>
              <w:left w:val="nil"/>
              <w:bottom w:val="single" w:sz="8" w:space="0" w:color="auto"/>
              <w:right w:val="nil"/>
            </w:tcBorders>
            <w:shd w:val="clear" w:color="000000" w:fill="DEEAF6"/>
            <w:noWrap/>
            <w:vAlign w:val="center"/>
            <w:hideMark/>
          </w:tcPr>
          <w:p w14:paraId="3345A0A3" w14:textId="77777777" w:rsidR="00940861" w:rsidRPr="00940861" w:rsidRDefault="00940861" w:rsidP="00940861">
            <w:pPr>
              <w:spacing w:after="0" w:line="240" w:lineRule="auto"/>
              <w:rPr>
                <w:rFonts w:ascii="Calibri" w:eastAsia="Times New Roman" w:hAnsi="Calibri" w:cs="Calibri"/>
                <w:b/>
                <w:bCs/>
                <w:color w:val="000000"/>
                <w:sz w:val="16"/>
                <w:szCs w:val="16"/>
              </w:rPr>
            </w:pPr>
            <w:r w:rsidRPr="00940861">
              <w:rPr>
                <w:rFonts w:ascii="Calibri" w:eastAsia="Times New Roman" w:hAnsi="Calibri" w:cs="Calibri"/>
                <w:b/>
                <w:bCs/>
                <w:sz w:val="16"/>
                <w:szCs w:val="16"/>
              </w:rPr>
              <w:t>Obrigações com Pessoal</w:t>
            </w:r>
          </w:p>
        </w:tc>
        <w:tc>
          <w:tcPr>
            <w:tcW w:w="1134" w:type="dxa"/>
            <w:tcBorders>
              <w:top w:val="single" w:sz="8" w:space="0" w:color="auto"/>
              <w:left w:val="nil"/>
              <w:bottom w:val="single" w:sz="8" w:space="0" w:color="auto"/>
              <w:right w:val="nil"/>
            </w:tcBorders>
            <w:shd w:val="clear" w:color="000000" w:fill="DEEAF6"/>
            <w:noWrap/>
            <w:vAlign w:val="center"/>
            <w:hideMark/>
          </w:tcPr>
          <w:p w14:paraId="1130529A" w14:textId="77777777" w:rsidR="00940861" w:rsidRPr="00940861" w:rsidRDefault="00940861" w:rsidP="00940861">
            <w:pPr>
              <w:spacing w:after="0" w:line="240" w:lineRule="auto"/>
              <w:jc w:val="right"/>
              <w:rPr>
                <w:rFonts w:ascii="Calibri" w:eastAsia="Times New Roman" w:hAnsi="Calibri" w:cs="Calibri"/>
                <w:b/>
                <w:bCs/>
                <w:color w:val="000000"/>
                <w:sz w:val="16"/>
                <w:szCs w:val="16"/>
              </w:rPr>
            </w:pPr>
            <w:r w:rsidRPr="00940861">
              <w:rPr>
                <w:rFonts w:ascii="Calibri" w:eastAsia="Times New Roman" w:hAnsi="Calibri" w:cs="Calibri"/>
                <w:b/>
                <w:bCs/>
                <w:sz w:val="16"/>
                <w:szCs w:val="16"/>
              </w:rPr>
              <w:t>31/03/2024</w:t>
            </w:r>
          </w:p>
        </w:tc>
        <w:tc>
          <w:tcPr>
            <w:tcW w:w="1134" w:type="dxa"/>
            <w:tcBorders>
              <w:top w:val="single" w:sz="8" w:space="0" w:color="auto"/>
              <w:left w:val="nil"/>
              <w:bottom w:val="single" w:sz="8" w:space="0" w:color="auto"/>
              <w:right w:val="nil"/>
            </w:tcBorders>
            <w:shd w:val="clear" w:color="000000" w:fill="DEEAF6"/>
            <w:noWrap/>
            <w:vAlign w:val="center"/>
            <w:hideMark/>
          </w:tcPr>
          <w:p w14:paraId="05DD9911" w14:textId="77777777" w:rsidR="00940861" w:rsidRPr="00940861" w:rsidRDefault="00940861" w:rsidP="00940861">
            <w:pPr>
              <w:spacing w:after="0" w:line="240" w:lineRule="auto"/>
              <w:jc w:val="right"/>
              <w:rPr>
                <w:rFonts w:ascii="Calibri" w:eastAsia="Times New Roman" w:hAnsi="Calibri" w:cs="Calibri"/>
                <w:b/>
                <w:bCs/>
                <w:color w:val="000000"/>
                <w:sz w:val="16"/>
                <w:szCs w:val="16"/>
              </w:rPr>
            </w:pPr>
            <w:r w:rsidRPr="00940861">
              <w:rPr>
                <w:rFonts w:ascii="Calibri" w:eastAsia="Times New Roman" w:hAnsi="Calibri" w:cs="Calibri"/>
                <w:b/>
                <w:bCs/>
                <w:sz w:val="16"/>
                <w:szCs w:val="16"/>
              </w:rPr>
              <w:t>31/12/2023</w:t>
            </w:r>
          </w:p>
        </w:tc>
      </w:tr>
      <w:tr w:rsidR="00940861" w:rsidRPr="00940861" w14:paraId="1E6D8E73" w14:textId="77777777" w:rsidTr="00724803">
        <w:trPr>
          <w:trHeight w:hRule="exact" w:val="227"/>
        </w:trPr>
        <w:tc>
          <w:tcPr>
            <w:tcW w:w="8055" w:type="dxa"/>
            <w:tcBorders>
              <w:top w:val="nil"/>
              <w:left w:val="nil"/>
              <w:bottom w:val="nil"/>
              <w:right w:val="nil"/>
            </w:tcBorders>
            <w:shd w:val="clear" w:color="auto" w:fill="auto"/>
            <w:noWrap/>
            <w:vAlign w:val="center"/>
            <w:hideMark/>
          </w:tcPr>
          <w:p w14:paraId="10CAA786" w14:textId="77777777" w:rsidR="00940861" w:rsidRPr="00940861" w:rsidRDefault="00940861" w:rsidP="00940861">
            <w:pPr>
              <w:spacing w:after="0" w:line="240" w:lineRule="auto"/>
              <w:rPr>
                <w:rFonts w:ascii="Calibri" w:eastAsia="Times New Roman" w:hAnsi="Calibri" w:cs="Calibri"/>
                <w:color w:val="000000"/>
                <w:sz w:val="16"/>
                <w:szCs w:val="16"/>
              </w:rPr>
            </w:pPr>
            <w:r w:rsidRPr="00940861">
              <w:rPr>
                <w:rFonts w:ascii="Calibri" w:eastAsia="Times New Roman" w:hAnsi="Calibri" w:cs="Calibri"/>
                <w:color w:val="000000"/>
                <w:sz w:val="16"/>
                <w:szCs w:val="16"/>
              </w:rPr>
              <w:t>Férias a Pagar</w:t>
            </w:r>
          </w:p>
        </w:tc>
        <w:tc>
          <w:tcPr>
            <w:tcW w:w="1134" w:type="dxa"/>
            <w:tcBorders>
              <w:top w:val="nil"/>
              <w:left w:val="nil"/>
              <w:bottom w:val="nil"/>
              <w:right w:val="nil"/>
            </w:tcBorders>
            <w:shd w:val="clear" w:color="auto" w:fill="auto"/>
            <w:noWrap/>
            <w:vAlign w:val="center"/>
            <w:hideMark/>
          </w:tcPr>
          <w:p w14:paraId="49896764"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10.128.875</w:t>
            </w:r>
          </w:p>
        </w:tc>
        <w:tc>
          <w:tcPr>
            <w:tcW w:w="1134" w:type="dxa"/>
            <w:tcBorders>
              <w:top w:val="nil"/>
              <w:left w:val="nil"/>
              <w:bottom w:val="nil"/>
              <w:right w:val="nil"/>
            </w:tcBorders>
            <w:shd w:val="clear" w:color="auto" w:fill="auto"/>
            <w:noWrap/>
            <w:vAlign w:val="center"/>
            <w:hideMark/>
          </w:tcPr>
          <w:p w14:paraId="37504B82"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10.074.341</w:t>
            </w:r>
          </w:p>
        </w:tc>
      </w:tr>
      <w:tr w:rsidR="00A37A6E" w:rsidRPr="00940861" w14:paraId="0DD24A51" w14:textId="77777777" w:rsidTr="00724803">
        <w:trPr>
          <w:trHeight w:hRule="exact" w:val="227"/>
        </w:trPr>
        <w:tc>
          <w:tcPr>
            <w:tcW w:w="8055" w:type="dxa"/>
            <w:tcBorders>
              <w:top w:val="nil"/>
              <w:left w:val="nil"/>
              <w:bottom w:val="nil"/>
              <w:right w:val="nil"/>
            </w:tcBorders>
            <w:shd w:val="clear" w:color="auto" w:fill="auto"/>
            <w:noWrap/>
            <w:vAlign w:val="center"/>
          </w:tcPr>
          <w:p w14:paraId="0C8A2A80" w14:textId="52C04812" w:rsidR="00A37A6E" w:rsidRPr="00940861" w:rsidRDefault="00A409F9" w:rsidP="00940861">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13º Salário a Pagar</w:t>
            </w:r>
          </w:p>
        </w:tc>
        <w:tc>
          <w:tcPr>
            <w:tcW w:w="1134" w:type="dxa"/>
            <w:tcBorders>
              <w:top w:val="nil"/>
              <w:left w:val="nil"/>
              <w:bottom w:val="nil"/>
              <w:right w:val="nil"/>
            </w:tcBorders>
            <w:shd w:val="clear" w:color="auto" w:fill="auto"/>
            <w:noWrap/>
            <w:vAlign w:val="center"/>
          </w:tcPr>
          <w:p w14:paraId="2B8D386F" w14:textId="2853E48D" w:rsidR="00A37A6E" w:rsidRPr="00940861" w:rsidRDefault="00A409F9" w:rsidP="0094086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1.981.558</w:t>
            </w:r>
          </w:p>
        </w:tc>
        <w:tc>
          <w:tcPr>
            <w:tcW w:w="1134" w:type="dxa"/>
            <w:tcBorders>
              <w:top w:val="nil"/>
              <w:left w:val="nil"/>
              <w:bottom w:val="nil"/>
              <w:right w:val="nil"/>
            </w:tcBorders>
            <w:shd w:val="clear" w:color="auto" w:fill="auto"/>
            <w:noWrap/>
            <w:vAlign w:val="center"/>
          </w:tcPr>
          <w:p w14:paraId="63BABC2F" w14:textId="3573B5BD" w:rsidR="00A37A6E" w:rsidRPr="00940861" w:rsidRDefault="00A409F9" w:rsidP="0094086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940861" w:rsidRPr="00940861" w14:paraId="3FE3AEA5" w14:textId="77777777" w:rsidTr="00724803">
        <w:trPr>
          <w:trHeight w:hRule="exact" w:val="227"/>
        </w:trPr>
        <w:tc>
          <w:tcPr>
            <w:tcW w:w="8055" w:type="dxa"/>
            <w:tcBorders>
              <w:top w:val="nil"/>
              <w:left w:val="nil"/>
              <w:bottom w:val="nil"/>
              <w:right w:val="nil"/>
            </w:tcBorders>
            <w:shd w:val="clear" w:color="auto" w:fill="auto"/>
            <w:noWrap/>
            <w:vAlign w:val="center"/>
            <w:hideMark/>
          </w:tcPr>
          <w:p w14:paraId="6BFE8B8B" w14:textId="2818B4F0" w:rsidR="00940861" w:rsidRPr="00940861" w:rsidRDefault="00940861" w:rsidP="00940861">
            <w:pPr>
              <w:spacing w:after="0" w:line="240" w:lineRule="auto"/>
              <w:rPr>
                <w:rFonts w:ascii="Calibri" w:eastAsia="Times New Roman" w:hAnsi="Calibri" w:cs="Calibri"/>
                <w:color w:val="000000"/>
                <w:sz w:val="16"/>
                <w:szCs w:val="16"/>
              </w:rPr>
            </w:pPr>
            <w:r w:rsidRPr="00940861">
              <w:rPr>
                <w:rFonts w:ascii="Calibri" w:eastAsia="Times New Roman" w:hAnsi="Calibri" w:cs="Calibri"/>
                <w:color w:val="000000"/>
                <w:sz w:val="16"/>
                <w:szCs w:val="16"/>
                <w:lang w:eastAsia="en-US"/>
              </w:rPr>
              <w:t>Encargos Sociais (INSS, FGTS e Prev</w:t>
            </w:r>
            <w:r w:rsidR="000C7342">
              <w:rPr>
                <w:rFonts w:ascii="Calibri" w:eastAsia="Times New Roman" w:hAnsi="Calibri" w:cs="Calibri"/>
                <w:color w:val="000000"/>
                <w:sz w:val="16"/>
                <w:szCs w:val="16"/>
                <w:lang w:eastAsia="en-US"/>
              </w:rPr>
              <w:t>idência</w:t>
            </w:r>
            <w:r w:rsidRPr="00940861">
              <w:rPr>
                <w:rFonts w:ascii="Calibri" w:eastAsia="Times New Roman" w:hAnsi="Calibri" w:cs="Calibri"/>
                <w:color w:val="000000"/>
                <w:sz w:val="16"/>
                <w:szCs w:val="16"/>
                <w:lang w:eastAsia="en-US"/>
              </w:rPr>
              <w:t xml:space="preserve"> Complementar)</w:t>
            </w:r>
          </w:p>
        </w:tc>
        <w:tc>
          <w:tcPr>
            <w:tcW w:w="1134" w:type="dxa"/>
            <w:tcBorders>
              <w:top w:val="nil"/>
              <w:left w:val="nil"/>
              <w:bottom w:val="nil"/>
              <w:right w:val="nil"/>
            </w:tcBorders>
            <w:shd w:val="clear" w:color="auto" w:fill="auto"/>
            <w:noWrap/>
            <w:vAlign w:val="center"/>
            <w:hideMark/>
          </w:tcPr>
          <w:p w14:paraId="1F3C556D" w14:textId="3CCE8E83"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4.481.37</w:t>
            </w:r>
            <w:r w:rsidR="001C0162">
              <w:rPr>
                <w:rFonts w:ascii="Calibri" w:eastAsia="Times New Roman" w:hAnsi="Calibri" w:cs="Calibri"/>
                <w:color w:val="000000"/>
                <w:sz w:val="16"/>
                <w:szCs w:val="16"/>
              </w:rPr>
              <w:t>1</w:t>
            </w:r>
          </w:p>
        </w:tc>
        <w:tc>
          <w:tcPr>
            <w:tcW w:w="1134" w:type="dxa"/>
            <w:tcBorders>
              <w:top w:val="nil"/>
              <w:left w:val="nil"/>
              <w:bottom w:val="nil"/>
              <w:right w:val="nil"/>
            </w:tcBorders>
            <w:shd w:val="clear" w:color="auto" w:fill="auto"/>
            <w:noWrap/>
            <w:vAlign w:val="center"/>
            <w:hideMark/>
          </w:tcPr>
          <w:p w14:paraId="68A5E8DF"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3.733.004</w:t>
            </w:r>
          </w:p>
        </w:tc>
      </w:tr>
      <w:tr w:rsidR="00940861" w:rsidRPr="00940861" w14:paraId="7C616E17" w14:textId="77777777" w:rsidTr="00724803">
        <w:trPr>
          <w:trHeight w:hRule="exact" w:val="227"/>
        </w:trPr>
        <w:tc>
          <w:tcPr>
            <w:tcW w:w="8055" w:type="dxa"/>
            <w:tcBorders>
              <w:top w:val="nil"/>
              <w:left w:val="nil"/>
              <w:bottom w:val="nil"/>
              <w:right w:val="nil"/>
            </w:tcBorders>
            <w:shd w:val="clear" w:color="auto" w:fill="auto"/>
            <w:noWrap/>
            <w:vAlign w:val="center"/>
            <w:hideMark/>
          </w:tcPr>
          <w:p w14:paraId="1CAFBE8B" w14:textId="77777777" w:rsidR="00940861" w:rsidRPr="00940861" w:rsidRDefault="00940861" w:rsidP="00940861">
            <w:pPr>
              <w:spacing w:after="0" w:line="240" w:lineRule="auto"/>
              <w:rPr>
                <w:rFonts w:ascii="Calibri" w:eastAsia="Times New Roman" w:hAnsi="Calibri" w:cs="Calibri"/>
                <w:color w:val="000000"/>
                <w:sz w:val="16"/>
                <w:szCs w:val="16"/>
              </w:rPr>
            </w:pPr>
            <w:r w:rsidRPr="00940861">
              <w:rPr>
                <w:rFonts w:ascii="Calibri" w:eastAsia="Times New Roman" w:hAnsi="Calibri" w:cs="Calibri"/>
                <w:color w:val="000000"/>
                <w:sz w:val="16"/>
                <w:szCs w:val="16"/>
                <w:lang w:eastAsia="en-US"/>
              </w:rPr>
              <w:t>Salários e Encargos a Pagar</w:t>
            </w:r>
          </w:p>
        </w:tc>
        <w:tc>
          <w:tcPr>
            <w:tcW w:w="1134" w:type="dxa"/>
            <w:tcBorders>
              <w:top w:val="nil"/>
              <w:left w:val="nil"/>
              <w:bottom w:val="nil"/>
              <w:right w:val="nil"/>
            </w:tcBorders>
            <w:shd w:val="clear" w:color="auto" w:fill="auto"/>
            <w:noWrap/>
            <w:vAlign w:val="center"/>
            <w:hideMark/>
          </w:tcPr>
          <w:p w14:paraId="1D2DA2BB" w14:textId="5165A499" w:rsidR="00940861" w:rsidRPr="00940861" w:rsidRDefault="0077347F" w:rsidP="0094086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6.</w:t>
            </w:r>
            <w:r w:rsidR="008F5B91">
              <w:rPr>
                <w:rFonts w:ascii="Calibri" w:eastAsia="Times New Roman" w:hAnsi="Calibri" w:cs="Calibri"/>
                <w:color w:val="000000"/>
                <w:sz w:val="16"/>
                <w:szCs w:val="16"/>
              </w:rPr>
              <w:t>649.580</w:t>
            </w:r>
          </w:p>
        </w:tc>
        <w:tc>
          <w:tcPr>
            <w:tcW w:w="1134" w:type="dxa"/>
            <w:tcBorders>
              <w:top w:val="nil"/>
              <w:left w:val="nil"/>
              <w:bottom w:val="nil"/>
              <w:right w:val="nil"/>
            </w:tcBorders>
            <w:shd w:val="clear" w:color="auto" w:fill="auto"/>
            <w:noWrap/>
            <w:vAlign w:val="center"/>
            <w:hideMark/>
          </w:tcPr>
          <w:p w14:paraId="7AC8974D"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7.629.160</w:t>
            </w:r>
          </w:p>
        </w:tc>
      </w:tr>
      <w:tr w:rsidR="00940861" w:rsidRPr="00940861" w14:paraId="59502AA4" w14:textId="77777777" w:rsidTr="00724803">
        <w:trPr>
          <w:trHeight w:hRule="exact" w:val="227"/>
        </w:trPr>
        <w:tc>
          <w:tcPr>
            <w:tcW w:w="8055" w:type="dxa"/>
            <w:tcBorders>
              <w:top w:val="nil"/>
              <w:left w:val="nil"/>
              <w:bottom w:val="nil"/>
              <w:right w:val="nil"/>
            </w:tcBorders>
            <w:shd w:val="clear" w:color="auto" w:fill="auto"/>
            <w:noWrap/>
            <w:vAlign w:val="center"/>
            <w:hideMark/>
          </w:tcPr>
          <w:p w14:paraId="40C951C8" w14:textId="77777777" w:rsidR="00940861" w:rsidRPr="00940861" w:rsidRDefault="00940861" w:rsidP="00940861">
            <w:pPr>
              <w:spacing w:after="0" w:line="240" w:lineRule="auto"/>
              <w:rPr>
                <w:rFonts w:ascii="Calibri" w:eastAsia="Times New Roman" w:hAnsi="Calibri" w:cs="Calibri"/>
                <w:color w:val="000000"/>
                <w:sz w:val="16"/>
                <w:szCs w:val="16"/>
              </w:rPr>
            </w:pPr>
            <w:r w:rsidRPr="00940861">
              <w:rPr>
                <w:rFonts w:ascii="Calibri" w:eastAsia="Times New Roman" w:hAnsi="Calibri" w:cs="Calibri"/>
                <w:color w:val="000000"/>
                <w:sz w:val="16"/>
                <w:szCs w:val="16"/>
                <w:lang w:eastAsia="en-US"/>
              </w:rPr>
              <w:t>Retenções sobre Salários a Pagar</w:t>
            </w:r>
          </w:p>
        </w:tc>
        <w:tc>
          <w:tcPr>
            <w:tcW w:w="1134" w:type="dxa"/>
            <w:tcBorders>
              <w:top w:val="nil"/>
              <w:left w:val="nil"/>
              <w:bottom w:val="nil"/>
              <w:right w:val="nil"/>
            </w:tcBorders>
            <w:shd w:val="clear" w:color="auto" w:fill="auto"/>
            <w:noWrap/>
            <w:vAlign w:val="center"/>
            <w:hideMark/>
          </w:tcPr>
          <w:p w14:paraId="06532F04"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781.989</w:t>
            </w:r>
          </w:p>
        </w:tc>
        <w:tc>
          <w:tcPr>
            <w:tcW w:w="1134" w:type="dxa"/>
            <w:tcBorders>
              <w:top w:val="nil"/>
              <w:left w:val="nil"/>
              <w:bottom w:val="nil"/>
              <w:right w:val="nil"/>
            </w:tcBorders>
            <w:shd w:val="clear" w:color="auto" w:fill="auto"/>
            <w:noWrap/>
            <w:vAlign w:val="center"/>
            <w:hideMark/>
          </w:tcPr>
          <w:p w14:paraId="403F5943" w14:textId="77777777" w:rsidR="00940861" w:rsidRPr="00940861" w:rsidRDefault="00940861" w:rsidP="00940861">
            <w:pPr>
              <w:spacing w:after="0" w:line="240" w:lineRule="auto"/>
              <w:jc w:val="right"/>
              <w:rPr>
                <w:rFonts w:ascii="Calibri" w:eastAsia="Times New Roman" w:hAnsi="Calibri" w:cs="Calibri"/>
                <w:color w:val="000000"/>
                <w:sz w:val="16"/>
                <w:szCs w:val="16"/>
              </w:rPr>
            </w:pPr>
            <w:r w:rsidRPr="00940861">
              <w:rPr>
                <w:rFonts w:ascii="Calibri" w:eastAsia="Times New Roman" w:hAnsi="Calibri" w:cs="Calibri"/>
                <w:color w:val="000000"/>
                <w:sz w:val="16"/>
                <w:szCs w:val="16"/>
              </w:rPr>
              <w:t>786.127</w:t>
            </w:r>
          </w:p>
        </w:tc>
      </w:tr>
      <w:tr w:rsidR="00940861" w:rsidRPr="00940861" w14:paraId="58B42989" w14:textId="77777777" w:rsidTr="00724803">
        <w:trPr>
          <w:trHeight w:hRule="exact" w:val="227"/>
        </w:trPr>
        <w:tc>
          <w:tcPr>
            <w:tcW w:w="8055" w:type="dxa"/>
            <w:tcBorders>
              <w:top w:val="single" w:sz="8" w:space="0" w:color="auto"/>
              <w:left w:val="nil"/>
              <w:bottom w:val="single" w:sz="8" w:space="0" w:color="auto"/>
              <w:right w:val="nil"/>
            </w:tcBorders>
            <w:shd w:val="clear" w:color="000000" w:fill="DEEAF6"/>
            <w:noWrap/>
            <w:vAlign w:val="center"/>
            <w:hideMark/>
          </w:tcPr>
          <w:p w14:paraId="7380C478" w14:textId="77777777" w:rsidR="00940861" w:rsidRPr="00940861" w:rsidRDefault="00940861" w:rsidP="00940861">
            <w:pPr>
              <w:spacing w:after="0" w:line="240" w:lineRule="auto"/>
              <w:rPr>
                <w:rFonts w:ascii="Calibri" w:eastAsia="Times New Roman" w:hAnsi="Calibri" w:cs="Calibri"/>
                <w:b/>
                <w:bCs/>
                <w:color w:val="000000"/>
                <w:sz w:val="16"/>
                <w:szCs w:val="16"/>
              </w:rPr>
            </w:pPr>
            <w:r w:rsidRPr="00940861">
              <w:rPr>
                <w:rFonts w:ascii="Calibri" w:eastAsia="Times New Roman" w:hAnsi="Calibri" w:cs="Calibri"/>
                <w:b/>
                <w:bCs/>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2DFE2934" w14:textId="21ABFFE4" w:rsidR="00940861" w:rsidRPr="00940861" w:rsidRDefault="00251090" w:rsidP="00940861">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sz w:val="16"/>
                <w:szCs w:val="16"/>
              </w:rPr>
              <w:t>24.023.37</w:t>
            </w:r>
            <w:r w:rsidR="001C0162">
              <w:rPr>
                <w:rFonts w:ascii="Calibri" w:eastAsia="Times New Roman" w:hAnsi="Calibri" w:cs="Calibri"/>
                <w:b/>
                <w:bCs/>
                <w:sz w:val="16"/>
                <w:szCs w:val="16"/>
              </w:rPr>
              <w:t>3</w:t>
            </w:r>
          </w:p>
        </w:tc>
        <w:tc>
          <w:tcPr>
            <w:tcW w:w="1134" w:type="dxa"/>
            <w:tcBorders>
              <w:top w:val="single" w:sz="8" w:space="0" w:color="auto"/>
              <w:left w:val="nil"/>
              <w:bottom w:val="single" w:sz="8" w:space="0" w:color="auto"/>
              <w:right w:val="nil"/>
            </w:tcBorders>
            <w:shd w:val="clear" w:color="000000" w:fill="DEEAF6"/>
            <w:noWrap/>
            <w:vAlign w:val="center"/>
            <w:hideMark/>
          </w:tcPr>
          <w:p w14:paraId="0A7F823E" w14:textId="77777777" w:rsidR="00940861" w:rsidRPr="00940861" w:rsidRDefault="00940861" w:rsidP="00940861">
            <w:pPr>
              <w:spacing w:after="0" w:line="240" w:lineRule="auto"/>
              <w:jc w:val="right"/>
              <w:rPr>
                <w:rFonts w:ascii="Calibri" w:eastAsia="Times New Roman" w:hAnsi="Calibri" w:cs="Calibri"/>
                <w:b/>
                <w:bCs/>
                <w:color w:val="000000"/>
                <w:sz w:val="16"/>
                <w:szCs w:val="16"/>
              </w:rPr>
            </w:pPr>
            <w:r w:rsidRPr="00940861">
              <w:rPr>
                <w:rFonts w:ascii="Calibri" w:eastAsia="Times New Roman" w:hAnsi="Calibri" w:cs="Calibri"/>
                <w:b/>
                <w:bCs/>
                <w:sz w:val="16"/>
                <w:szCs w:val="16"/>
              </w:rPr>
              <w:t>22.222.632</w:t>
            </w:r>
          </w:p>
        </w:tc>
      </w:tr>
    </w:tbl>
    <w:p w14:paraId="34EA6160" w14:textId="77777777" w:rsidR="008B6AF2" w:rsidRPr="008B6AF2" w:rsidRDefault="008B6AF2" w:rsidP="008B6AF2">
      <w:pPr>
        <w:spacing w:before="120" w:line="240" w:lineRule="auto"/>
        <w:jc w:val="both"/>
        <w:rPr>
          <w:rFonts w:cstheme="minorHAnsi"/>
          <w:sz w:val="20"/>
        </w:rPr>
      </w:pPr>
      <w:r w:rsidRPr="008B6AF2">
        <w:rPr>
          <w:rFonts w:cstheme="minorHAnsi"/>
          <w:sz w:val="20"/>
        </w:rPr>
        <w:t xml:space="preserve">As despesas com férias e os encargos são reconhecidas conforme demonstrativos emitidos, mensalmente, pela Superintendência de Gestão de Pessoas – SUGEP. </w:t>
      </w:r>
    </w:p>
    <w:p w14:paraId="1EA670CD" w14:textId="77777777" w:rsidR="008B6AF2" w:rsidRPr="008B6AF2" w:rsidRDefault="008B6AF2" w:rsidP="008B6AF2">
      <w:pPr>
        <w:spacing w:before="120" w:line="240" w:lineRule="auto"/>
        <w:jc w:val="both"/>
        <w:rPr>
          <w:rFonts w:cstheme="minorHAnsi"/>
          <w:sz w:val="20"/>
        </w:rPr>
      </w:pPr>
      <w:r w:rsidRPr="008B6AF2">
        <w:rPr>
          <w:rFonts w:cstheme="minorHAnsi"/>
          <w:sz w:val="20"/>
        </w:rPr>
        <w:t xml:space="preserve">Para cálculo de férias a pagar é considerado o salário do período de gozo de férias mais o Adicional Constitucional de 1/3. </w:t>
      </w:r>
    </w:p>
    <w:p w14:paraId="75E38651" w14:textId="661064A7" w:rsidR="008B6AF2" w:rsidRDefault="008B6AF2" w:rsidP="008B6AF2">
      <w:pPr>
        <w:spacing w:before="120" w:after="0" w:line="240" w:lineRule="auto"/>
        <w:jc w:val="both"/>
        <w:rPr>
          <w:rFonts w:cstheme="minorHAnsi"/>
          <w:sz w:val="20"/>
        </w:rPr>
      </w:pPr>
      <w:r w:rsidRPr="008B6AF2">
        <w:rPr>
          <w:rFonts w:cstheme="minorHAnsi"/>
          <w:sz w:val="20"/>
        </w:rPr>
        <w:t>As retenções sobre salários a pagar abrange retenções de empréstimos consignados, obrigações previdenciárias e planos de previdência, pensão alimentícia, assistência médica, dentre outras rubricas.</w:t>
      </w:r>
    </w:p>
    <w:p w14:paraId="74BD5861" w14:textId="77777777" w:rsidR="008B6AF2" w:rsidRPr="008B6AF2" w:rsidRDefault="008B6AF2" w:rsidP="008B6AF2">
      <w:pPr>
        <w:spacing w:after="0" w:line="240" w:lineRule="auto"/>
        <w:contextualSpacing/>
        <w:jc w:val="both"/>
        <w:rPr>
          <w:rFonts w:cstheme="minorHAnsi"/>
          <w:sz w:val="20"/>
        </w:rPr>
      </w:pPr>
    </w:p>
    <w:p w14:paraId="20653316" w14:textId="51D46034" w:rsidR="00B259B4" w:rsidRPr="00D85639" w:rsidRDefault="00B259B4" w:rsidP="00B259B4">
      <w:pPr>
        <w:pStyle w:val="Ttulo1"/>
      </w:pPr>
      <w:bookmarkStart w:id="59" w:name="_Toc184926686"/>
      <w:r w:rsidRPr="00211B7E">
        <w:t xml:space="preserve">17 – </w:t>
      </w:r>
      <w:r w:rsidR="00AC2CB4">
        <w:t>Tributos a Recolher</w:t>
      </w:r>
      <w:bookmarkEnd w:id="59"/>
    </w:p>
    <w:p w14:paraId="6565A244" w14:textId="4905B004" w:rsidR="00B259B4" w:rsidRPr="00D72D72" w:rsidRDefault="00205ABA" w:rsidP="00B259B4">
      <w:pPr>
        <w:spacing w:before="120"/>
        <w:jc w:val="both"/>
        <w:rPr>
          <w:rFonts w:cstheme="minorHAnsi"/>
          <w:sz w:val="20"/>
        </w:rPr>
      </w:pPr>
      <w:r w:rsidRPr="00205ABA">
        <w:rPr>
          <w:rFonts w:cstheme="minorHAnsi"/>
          <w:sz w:val="20"/>
        </w:rPr>
        <w:t>O saldo dos T</w:t>
      </w:r>
      <w:r>
        <w:rPr>
          <w:rFonts w:cstheme="minorHAnsi"/>
          <w:sz w:val="20"/>
        </w:rPr>
        <w:t>ributos a Recolher</w:t>
      </w:r>
      <w:r w:rsidRPr="00205ABA">
        <w:rPr>
          <w:rFonts w:cstheme="minorHAnsi"/>
          <w:sz w:val="20"/>
        </w:rPr>
        <w:t xml:space="preserve"> no </w:t>
      </w:r>
      <w:r w:rsidR="0030188E">
        <w:rPr>
          <w:rFonts w:cstheme="minorHAnsi"/>
          <w:sz w:val="20"/>
        </w:rPr>
        <w:t>primeiro trimestre de 2024</w:t>
      </w:r>
      <w:r w:rsidRPr="00205ABA">
        <w:rPr>
          <w:rFonts w:cstheme="minorHAnsi"/>
          <w:sz w:val="20"/>
        </w:rPr>
        <w:t xml:space="preserve"> </w:t>
      </w:r>
      <w:r w:rsidR="003E6515">
        <w:rPr>
          <w:rFonts w:cstheme="minorHAnsi"/>
          <w:sz w:val="20"/>
        </w:rPr>
        <w:t>é</w:t>
      </w:r>
      <w:r w:rsidRPr="00205ABA">
        <w:rPr>
          <w:rFonts w:cstheme="minorHAnsi"/>
          <w:sz w:val="20"/>
        </w:rPr>
        <w:t xml:space="preserve"> de R$ </w:t>
      </w:r>
      <w:r w:rsidR="005078E3">
        <w:rPr>
          <w:rFonts w:cstheme="minorHAnsi"/>
          <w:sz w:val="20"/>
        </w:rPr>
        <w:t>3,78</w:t>
      </w:r>
      <w:r w:rsidRPr="00205ABA">
        <w:rPr>
          <w:rFonts w:cstheme="minorHAnsi"/>
          <w:sz w:val="20"/>
        </w:rPr>
        <w:t xml:space="preserve"> milh</w:t>
      </w:r>
      <w:r w:rsidR="005078E3">
        <w:rPr>
          <w:rFonts w:cstheme="minorHAnsi"/>
          <w:sz w:val="20"/>
        </w:rPr>
        <w:t>ões</w:t>
      </w:r>
      <w:r w:rsidRPr="00205ABA">
        <w:rPr>
          <w:rFonts w:cstheme="minorHAnsi"/>
          <w:sz w:val="20"/>
        </w:rPr>
        <w:t>, conforme tabela a</w:t>
      </w:r>
      <w:r w:rsidR="007C6590">
        <w:rPr>
          <w:rFonts w:cstheme="minorHAnsi"/>
          <w:sz w:val="20"/>
        </w:rPr>
        <w:t>baixo</w:t>
      </w:r>
      <w:r w:rsidRPr="00205ABA">
        <w:rPr>
          <w:rFonts w:cstheme="minorHAnsi"/>
          <w:sz w:val="20"/>
        </w:rPr>
        <w:t>:</w:t>
      </w:r>
    </w:p>
    <w:tbl>
      <w:tblPr>
        <w:tblW w:w="5000" w:type="pct"/>
        <w:tblCellMar>
          <w:left w:w="70" w:type="dxa"/>
          <w:right w:w="70" w:type="dxa"/>
        </w:tblCellMar>
        <w:tblLook w:val="04A0" w:firstRow="1" w:lastRow="0" w:firstColumn="1" w:lastColumn="0" w:noHBand="0" w:noVBand="1"/>
      </w:tblPr>
      <w:tblGrid>
        <w:gridCol w:w="8179"/>
        <w:gridCol w:w="1144"/>
        <w:gridCol w:w="1144"/>
      </w:tblGrid>
      <w:tr w:rsidR="003810E8" w:rsidRPr="003810E8" w14:paraId="55239919" w14:textId="77777777" w:rsidTr="00BE1467">
        <w:trPr>
          <w:trHeight w:val="227"/>
        </w:trPr>
        <w:tc>
          <w:tcPr>
            <w:tcW w:w="8107" w:type="dxa"/>
            <w:tcBorders>
              <w:top w:val="single" w:sz="8" w:space="0" w:color="auto"/>
              <w:left w:val="nil"/>
              <w:bottom w:val="single" w:sz="8" w:space="0" w:color="auto"/>
              <w:right w:val="nil"/>
            </w:tcBorders>
            <w:shd w:val="clear" w:color="000000" w:fill="DEEAF6"/>
            <w:noWrap/>
            <w:vAlign w:val="center"/>
            <w:hideMark/>
          </w:tcPr>
          <w:p w14:paraId="019E97B3" w14:textId="77777777" w:rsidR="003810E8" w:rsidRPr="003810E8" w:rsidRDefault="003810E8" w:rsidP="003810E8">
            <w:pPr>
              <w:spacing w:after="0" w:line="240" w:lineRule="auto"/>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Tributos a Recolher</w:t>
            </w:r>
          </w:p>
        </w:tc>
        <w:tc>
          <w:tcPr>
            <w:tcW w:w="1134" w:type="dxa"/>
            <w:tcBorders>
              <w:top w:val="single" w:sz="8" w:space="0" w:color="auto"/>
              <w:left w:val="nil"/>
              <w:bottom w:val="single" w:sz="8" w:space="0" w:color="auto"/>
              <w:right w:val="nil"/>
            </w:tcBorders>
            <w:shd w:val="clear" w:color="000000" w:fill="DEEAF6"/>
            <w:noWrap/>
            <w:vAlign w:val="center"/>
            <w:hideMark/>
          </w:tcPr>
          <w:p w14:paraId="3C2E70F0" w14:textId="77777777" w:rsidR="003810E8" w:rsidRPr="003810E8" w:rsidRDefault="003810E8" w:rsidP="003810E8">
            <w:pPr>
              <w:spacing w:after="0" w:line="240" w:lineRule="auto"/>
              <w:jc w:val="right"/>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31/03/2024</w:t>
            </w:r>
          </w:p>
        </w:tc>
        <w:tc>
          <w:tcPr>
            <w:tcW w:w="1134" w:type="dxa"/>
            <w:tcBorders>
              <w:top w:val="single" w:sz="8" w:space="0" w:color="auto"/>
              <w:left w:val="nil"/>
              <w:bottom w:val="single" w:sz="8" w:space="0" w:color="auto"/>
              <w:right w:val="nil"/>
            </w:tcBorders>
            <w:shd w:val="clear" w:color="000000" w:fill="DEEAF6"/>
            <w:noWrap/>
            <w:vAlign w:val="center"/>
            <w:hideMark/>
          </w:tcPr>
          <w:p w14:paraId="5CAF88E5" w14:textId="77777777" w:rsidR="003810E8" w:rsidRPr="003810E8" w:rsidRDefault="003810E8" w:rsidP="003810E8">
            <w:pPr>
              <w:spacing w:after="0" w:line="240" w:lineRule="auto"/>
              <w:jc w:val="right"/>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31/12/2023</w:t>
            </w:r>
          </w:p>
        </w:tc>
      </w:tr>
      <w:tr w:rsidR="003810E8" w:rsidRPr="003810E8" w14:paraId="306BB51E" w14:textId="77777777" w:rsidTr="00BE1467">
        <w:trPr>
          <w:trHeight w:val="227"/>
        </w:trPr>
        <w:tc>
          <w:tcPr>
            <w:tcW w:w="8107" w:type="dxa"/>
            <w:tcBorders>
              <w:top w:val="nil"/>
              <w:left w:val="nil"/>
              <w:bottom w:val="nil"/>
              <w:right w:val="nil"/>
            </w:tcBorders>
            <w:shd w:val="clear" w:color="auto" w:fill="auto"/>
            <w:noWrap/>
            <w:vAlign w:val="center"/>
            <w:hideMark/>
          </w:tcPr>
          <w:p w14:paraId="51B5411A" w14:textId="77777777"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IRPJ a Recolher</w:t>
            </w:r>
          </w:p>
        </w:tc>
        <w:tc>
          <w:tcPr>
            <w:tcW w:w="1134" w:type="dxa"/>
            <w:tcBorders>
              <w:top w:val="nil"/>
              <w:left w:val="nil"/>
              <w:bottom w:val="nil"/>
              <w:right w:val="nil"/>
            </w:tcBorders>
            <w:shd w:val="clear" w:color="auto" w:fill="auto"/>
            <w:noWrap/>
            <w:vAlign w:val="center"/>
            <w:hideMark/>
          </w:tcPr>
          <w:p w14:paraId="318F674D"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2.024.796</w:t>
            </w:r>
          </w:p>
        </w:tc>
        <w:tc>
          <w:tcPr>
            <w:tcW w:w="1134" w:type="dxa"/>
            <w:tcBorders>
              <w:top w:val="nil"/>
              <w:left w:val="nil"/>
              <w:bottom w:val="nil"/>
              <w:right w:val="nil"/>
            </w:tcBorders>
            <w:shd w:val="clear" w:color="auto" w:fill="auto"/>
            <w:noWrap/>
            <w:vAlign w:val="center"/>
            <w:hideMark/>
          </w:tcPr>
          <w:p w14:paraId="657ABB2E"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3.517.882</w:t>
            </w:r>
          </w:p>
        </w:tc>
      </w:tr>
      <w:tr w:rsidR="003810E8" w:rsidRPr="003810E8" w14:paraId="48A5B214" w14:textId="77777777" w:rsidTr="00BE1467">
        <w:trPr>
          <w:trHeight w:val="227"/>
        </w:trPr>
        <w:tc>
          <w:tcPr>
            <w:tcW w:w="8107" w:type="dxa"/>
            <w:tcBorders>
              <w:top w:val="nil"/>
              <w:left w:val="nil"/>
              <w:bottom w:val="nil"/>
              <w:right w:val="nil"/>
            </w:tcBorders>
            <w:shd w:val="clear" w:color="auto" w:fill="auto"/>
            <w:noWrap/>
            <w:vAlign w:val="center"/>
            <w:hideMark/>
          </w:tcPr>
          <w:p w14:paraId="2F101ED5" w14:textId="77777777"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CSLL a Recolher</w:t>
            </w:r>
          </w:p>
        </w:tc>
        <w:tc>
          <w:tcPr>
            <w:tcW w:w="1134" w:type="dxa"/>
            <w:tcBorders>
              <w:top w:val="nil"/>
              <w:left w:val="nil"/>
              <w:bottom w:val="nil"/>
              <w:right w:val="nil"/>
            </w:tcBorders>
            <w:shd w:val="clear" w:color="auto" w:fill="auto"/>
            <w:noWrap/>
            <w:vAlign w:val="center"/>
            <w:hideMark/>
          </w:tcPr>
          <w:p w14:paraId="187BB08A"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731.087</w:t>
            </w:r>
          </w:p>
        </w:tc>
        <w:tc>
          <w:tcPr>
            <w:tcW w:w="1134" w:type="dxa"/>
            <w:tcBorders>
              <w:top w:val="nil"/>
              <w:left w:val="nil"/>
              <w:bottom w:val="nil"/>
              <w:right w:val="nil"/>
            </w:tcBorders>
            <w:shd w:val="clear" w:color="auto" w:fill="auto"/>
            <w:noWrap/>
            <w:vAlign w:val="center"/>
            <w:hideMark/>
          </w:tcPr>
          <w:p w14:paraId="5C306BD5"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1.195.043</w:t>
            </w:r>
          </w:p>
        </w:tc>
      </w:tr>
      <w:tr w:rsidR="003810E8" w:rsidRPr="003810E8" w14:paraId="41DD8BC2" w14:textId="77777777" w:rsidTr="00BE1467">
        <w:trPr>
          <w:trHeight w:val="227"/>
        </w:trPr>
        <w:tc>
          <w:tcPr>
            <w:tcW w:w="8107" w:type="dxa"/>
            <w:tcBorders>
              <w:top w:val="nil"/>
              <w:left w:val="nil"/>
              <w:bottom w:val="nil"/>
              <w:right w:val="nil"/>
            </w:tcBorders>
            <w:shd w:val="clear" w:color="auto" w:fill="auto"/>
            <w:noWrap/>
            <w:vAlign w:val="center"/>
            <w:hideMark/>
          </w:tcPr>
          <w:p w14:paraId="17AD9218" w14:textId="77777777"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COFINS a Recolher</w:t>
            </w:r>
          </w:p>
        </w:tc>
        <w:tc>
          <w:tcPr>
            <w:tcW w:w="1134" w:type="dxa"/>
            <w:tcBorders>
              <w:top w:val="nil"/>
              <w:left w:val="nil"/>
              <w:bottom w:val="nil"/>
              <w:right w:val="nil"/>
            </w:tcBorders>
            <w:shd w:val="clear" w:color="auto" w:fill="auto"/>
            <w:noWrap/>
            <w:vAlign w:val="center"/>
            <w:hideMark/>
          </w:tcPr>
          <w:p w14:paraId="78CA5A9D"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10.491</w:t>
            </w:r>
          </w:p>
        </w:tc>
        <w:tc>
          <w:tcPr>
            <w:tcW w:w="1134" w:type="dxa"/>
            <w:tcBorders>
              <w:top w:val="nil"/>
              <w:left w:val="nil"/>
              <w:bottom w:val="nil"/>
              <w:right w:val="nil"/>
            </w:tcBorders>
            <w:shd w:val="clear" w:color="auto" w:fill="auto"/>
            <w:noWrap/>
            <w:vAlign w:val="center"/>
            <w:hideMark/>
          </w:tcPr>
          <w:p w14:paraId="06032636" w14:textId="761683A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 xml:space="preserve">- </w:t>
            </w:r>
          </w:p>
        </w:tc>
      </w:tr>
      <w:tr w:rsidR="003810E8" w:rsidRPr="003810E8" w14:paraId="6204137B" w14:textId="77777777" w:rsidTr="00BE1467">
        <w:trPr>
          <w:trHeight w:val="227"/>
        </w:trPr>
        <w:tc>
          <w:tcPr>
            <w:tcW w:w="8107" w:type="dxa"/>
            <w:tcBorders>
              <w:top w:val="nil"/>
              <w:left w:val="nil"/>
              <w:bottom w:val="nil"/>
              <w:right w:val="nil"/>
            </w:tcBorders>
            <w:shd w:val="clear" w:color="auto" w:fill="auto"/>
            <w:noWrap/>
            <w:vAlign w:val="center"/>
            <w:hideMark/>
          </w:tcPr>
          <w:p w14:paraId="6B475669" w14:textId="591EC27E"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 xml:space="preserve">ISS a Recolher </w:t>
            </w:r>
            <w:r w:rsidR="003E6515" w:rsidRPr="00E84B0C">
              <w:rPr>
                <w:rFonts w:ascii="Calibri" w:eastAsia="Times New Roman" w:hAnsi="Calibri" w:cs="Calibri"/>
                <w:color w:val="000000"/>
                <w:sz w:val="14"/>
                <w:szCs w:val="14"/>
              </w:rPr>
              <w:t>–</w:t>
            </w:r>
            <w:r w:rsidRPr="003810E8">
              <w:rPr>
                <w:rFonts w:ascii="Calibri" w:eastAsia="Times New Roman" w:hAnsi="Calibri" w:cs="Calibri"/>
                <w:color w:val="000000"/>
                <w:sz w:val="16"/>
                <w:szCs w:val="16"/>
              </w:rPr>
              <w:t xml:space="preserve"> GDF</w:t>
            </w:r>
          </w:p>
        </w:tc>
        <w:tc>
          <w:tcPr>
            <w:tcW w:w="1134" w:type="dxa"/>
            <w:tcBorders>
              <w:top w:val="nil"/>
              <w:left w:val="nil"/>
              <w:bottom w:val="nil"/>
              <w:right w:val="nil"/>
            </w:tcBorders>
            <w:shd w:val="clear" w:color="auto" w:fill="auto"/>
            <w:noWrap/>
            <w:vAlign w:val="center"/>
            <w:hideMark/>
          </w:tcPr>
          <w:p w14:paraId="2ACAD82E" w14:textId="756F6C1E" w:rsidR="003810E8" w:rsidRPr="003810E8" w:rsidRDefault="003810E8" w:rsidP="003810E8">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42D4350D"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427.148</w:t>
            </w:r>
          </w:p>
        </w:tc>
      </w:tr>
      <w:tr w:rsidR="003810E8" w:rsidRPr="003810E8" w14:paraId="4CBAC769" w14:textId="77777777" w:rsidTr="00BE1467">
        <w:trPr>
          <w:trHeight w:val="227"/>
        </w:trPr>
        <w:tc>
          <w:tcPr>
            <w:tcW w:w="8107" w:type="dxa"/>
            <w:tcBorders>
              <w:top w:val="nil"/>
              <w:left w:val="nil"/>
              <w:bottom w:val="nil"/>
              <w:right w:val="nil"/>
            </w:tcBorders>
            <w:shd w:val="clear" w:color="auto" w:fill="auto"/>
            <w:noWrap/>
            <w:vAlign w:val="center"/>
            <w:hideMark/>
          </w:tcPr>
          <w:p w14:paraId="516C34C4" w14:textId="77777777"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ISS Retido a Recolher</w:t>
            </w:r>
          </w:p>
        </w:tc>
        <w:tc>
          <w:tcPr>
            <w:tcW w:w="1134" w:type="dxa"/>
            <w:tcBorders>
              <w:top w:val="nil"/>
              <w:left w:val="nil"/>
              <w:bottom w:val="nil"/>
              <w:right w:val="nil"/>
            </w:tcBorders>
            <w:shd w:val="clear" w:color="auto" w:fill="auto"/>
            <w:noWrap/>
            <w:vAlign w:val="center"/>
            <w:hideMark/>
          </w:tcPr>
          <w:p w14:paraId="3F31304D"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98.991</w:t>
            </w:r>
          </w:p>
        </w:tc>
        <w:tc>
          <w:tcPr>
            <w:tcW w:w="1134" w:type="dxa"/>
            <w:tcBorders>
              <w:top w:val="nil"/>
              <w:left w:val="nil"/>
              <w:bottom w:val="nil"/>
              <w:right w:val="nil"/>
            </w:tcBorders>
            <w:shd w:val="clear" w:color="auto" w:fill="auto"/>
            <w:noWrap/>
            <w:vAlign w:val="center"/>
            <w:hideMark/>
          </w:tcPr>
          <w:p w14:paraId="5D16BF6E"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97.937</w:t>
            </w:r>
          </w:p>
        </w:tc>
      </w:tr>
      <w:tr w:rsidR="003810E8" w:rsidRPr="003810E8" w14:paraId="29C3B604" w14:textId="77777777" w:rsidTr="00BE1467">
        <w:trPr>
          <w:trHeight w:val="227"/>
        </w:trPr>
        <w:tc>
          <w:tcPr>
            <w:tcW w:w="8107" w:type="dxa"/>
            <w:tcBorders>
              <w:top w:val="nil"/>
              <w:left w:val="nil"/>
              <w:bottom w:val="nil"/>
              <w:right w:val="nil"/>
            </w:tcBorders>
            <w:shd w:val="clear" w:color="auto" w:fill="auto"/>
            <w:noWrap/>
            <w:vAlign w:val="center"/>
            <w:hideMark/>
          </w:tcPr>
          <w:p w14:paraId="3480E8ED" w14:textId="77777777" w:rsidR="003810E8" w:rsidRPr="003810E8" w:rsidRDefault="003810E8" w:rsidP="003810E8">
            <w:pPr>
              <w:spacing w:after="0" w:line="240" w:lineRule="auto"/>
              <w:rPr>
                <w:rFonts w:ascii="Calibri" w:eastAsia="Times New Roman" w:hAnsi="Calibri" w:cs="Calibri"/>
                <w:color w:val="000000"/>
                <w:sz w:val="16"/>
                <w:szCs w:val="16"/>
              </w:rPr>
            </w:pPr>
            <w:r w:rsidRPr="003810E8">
              <w:rPr>
                <w:rFonts w:ascii="Calibri" w:eastAsia="Times New Roman" w:hAnsi="Calibri" w:cs="Calibri"/>
                <w:color w:val="000000"/>
                <w:sz w:val="16"/>
                <w:szCs w:val="16"/>
              </w:rPr>
              <w:t>Impostos e Contribuições Federais Retidos</w:t>
            </w:r>
          </w:p>
        </w:tc>
        <w:tc>
          <w:tcPr>
            <w:tcW w:w="1134" w:type="dxa"/>
            <w:tcBorders>
              <w:top w:val="nil"/>
              <w:left w:val="nil"/>
              <w:bottom w:val="nil"/>
              <w:right w:val="nil"/>
            </w:tcBorders>
            <w:shd w:val="clear" w:color="auto" w:fill="auto"/>
            <w:noWrap/>
            <w:vAlign w:val="center"/>
            <w:hideMark/>
          </w:tcPr>
          <w:p w14:paraId="5074A782"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912.171</w:t>
            </w:r>
          </w:p>
        </w:tc>
        <w:tc>
          <w:tcPr>
            <w:tcW w:w="1134" w:type="dxa"/>
            <w:tcBorders>
              <w:top w:val="nil"/>
              <w:left w:val="nil"/>
              <w:bottom w:val="nil"/>
              <w:right w:val="nil"/>
            </w:tcBorders>
            <w:shd w:val="clear" w:color="auto" w:fill="auto"/>
            <w:noWrap/>
            <w:vAlign w:val="center"/>
            <w:hideMark/>
          </w:tcPr>
          <w:p w14:paraId="264B1725" w14:textId="77777777" w:rsidR="003810E8" w:rsidRPr="003810E8" w:rsidRDefault="003810E8" w:rsidP="003810E8">
            <w:pPr>
              <w:spacing w:after="0" w:line="240" w:lineRule="auto"/>
              <w:jc w:val="right"/>
              <w:rPr>
                <w:rFonts w:ascii="Calibri" w:eastAsia="Times New Roman" w:hAnsi="Calibri" w:cs="Calibri"/>
                <w:color w:val="000000"/>
                <w:sz w:val="16"/>
                <w:szCs w:val="16"/>
              </w:rPr>
            </w:pPr>
            <w:r w:rsidRPr="003810E8">
              <w:rPr>
                <w:rFonts w:ascii="Calibri" w:eastAsia="Times New Roman" w:hAnsi="Calibri" w:cs="Calibri"/>
                <w:color w:val="000000"/>
                <w:sz w:val="16"/>
                <w:szCs w:val="16"/>
              </w:rPr>
              <w:t>197.302</w:t>
            </w:r>
          </w:p>
        </w:tc>
      </w:tr>
      <w:tr w:rsidR="003810E8" w:rsidRPr="003810E8" w14:paraId="5C6E0000" w14:textId="77777777" w:rsidTr="00BE1467">
        <w:trPr>
          <w:trHeight w:val="227"/>
        </w:trPr>
        <w:tc>
          <w:tcPr>
            <w:tcW w:w="8107" w:type="dxa"/>
            <w:tcBorders>
              <w:top w:val="single" w:sz="8" w:space="0" w:color="auto"/>
              <w:left w:val="nil"/>
              <w:bottom w:val="single" w:sz="8" w:space="0" w:color="auto"/>
              <w:right w:val="nil"/>
            </w:tcBorders>
            <w:shd w:val="clear" w:color="000000" w:fill="DEEAF6"/>
            <w:noWrap/>
            <w:vAlign w:val="center"/>
            <w:hideMark/>
          </w:tcPr>
          <w:p w14:paraId="542A8D8B" w14:textId="77777777" w:rsidR="003810E8" w:rsidRPr="003810E8" w:rsidRDefault="003810E8" w:rsidP="003810E8">
            <w:pPr>
              <w:spacing w:after="0" w:line="240" w:lineRule="auto"/>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7F850261" w14:textId="77777777" w:rsidR="003810E8" w:rsidRPr="003810E8" w:rsidRDefault="003810E8" w:rsidP="003810E8">
            <w:pPr>
              <w:spacing w:after="0" w:line="240" w:lineRule="auto"/>
              <w:jc w:val="right"/>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3.777.536</w:t>
            </w:r>
          </w:p>
        </w:tc>
        <w:tc>
          <w:tcPr>
            <w:tcW w:w="1134" w:type="dxa"/>
            <w:tcBorders>
              <w:top w:val="single" w:sz="8" w:space="0" w:color="auto"/>
              <w:left w:val="nil"/>
              <w:bottom w:val="single" w:sz="8" w:space="0" w:color="auto"/>
              <w:right w:val="nil"/>
            </w:tcBorders>
            <w:shd w:val="clear" w:color="000000" w:fill="DEEAF6"/>
            <w:noWrap/>
            <w:vAlign w:val="center"/>
            <w:hideMark/>
          </w:tcPr>
          <w:p w14:paraId="2CB9513B" w14:textId="77777777" w:rsidR="003810E8" w:rsidRPr="003810E8" w:rsidRDefault="003810E8" w:rsidP="003810E8">
            <w:pPr>
              <w:spacing w:after="0" w:line="240" w:lineRule="auto"/>
              <w:jc w:val="right"/>
              <w:rPr>
                <w:rFonts w:ascii="Calibri" w:eastAsia="Times New Roman" w:hAnsi="Calibri" w:cs="Calibri"/>
                <w:b/>
                <w:bCs/>
                <w:color w:val="000000"/>
                <w:sz w:val="16"/>
                <w:szCs w:val="16"/>
              </w:rPr>
            </w:pPr>
            <w:r w:rsidRPr="003810E8">
              <w:rPr>
                <w:rFonts w:ascii="Calibri" w:eastAsia="Times New Roman" w:hAnsi="Calibri" w:cs="Calibri"/>
                <w:b/>
                <w:bCs/>
                <w:color w:val="000000"/>
                <w:sz w:val="16"/>
                <w:szCs w:val="16"/>
              </w:rPr>
              <w:t>5.435.312</w:t>
            </w:r>
          </w:p>
        </w:tc>
      </w:tr>
    </w:tbl>
    <w:p w14:paraId="03AC5A48" w14:textId="60A7573A" w:rsidR="00B259B4" w:rsidRDefault="00BF33AB" w:rsidP="004B0CA2">
      <w:pPr>
        <w:spacing w:before="120" w:after="0" w:line="240" w:lineRule="auto"/>
        <w:jc w:val="both"/>
        <w:rPr>
          <w:rFonts w:cstheme="minorHAnsi"/>
          <w:sz w:val="20"/>
          <w:shd w:val="clear" w:color="auto" w:fill="FFFFFF"/>
        </w:rPr>
      </w:pPr>
      <w:r w:rsidRPr="00BF33AB">
        <w:rPr>
          <w:rFonts w:cstheme="minorHAnsi"/>
          <w:sz w:val="20"/>
          <w:shd w:val="clear" w:color="auto" w:fill="FFFFFF"/>
        </w:rPr>
        <w:t xml:space="preserve">O Imposto de Renda Pessoa Jurídica – IRPJ e a Contribuição Social sobre o Lucro Líquido – CSLL referem-se ao apurado sobre o lucro do </w:t>
      </w:r>
      <w:r w:rsidR="0080272B">
        <w:rPr>
          <w:rFonts w:cstheme="minorHAnsi"/>
          <w:sz w:val="20"/>
          <w:shd w:val="clear" w:color="auto" w:fill="FFFFFF"/>
        </w:rPr>
        <w:t>primeiro</w:t>
      </w:r>
      <w:r w:rsidRPr="00BF33AB">
        <w:rPr>
          <w:rFonts w:cstheme="minorHAnsi"/>
          <w:sz w:val="20"/>
          <w:shd w:val="clear" w:color="auto" w:fill="FFFFFF"/>
        </w:rPr>
        <w:t xml:space="preserve"> </w:t>
      </w:r>
      <w:r w:rsidR="0080272B">
        <w:rPr>
          <w:rFonts w:cstheme="minorHAnsi"/>
          <w:sz w:val="20"/>
          <w:shd w:val="clear" w:color="auto" w:fill="FFFFFF"/>
        </w:rPr>
        <w:t>trimestre de 2024</w:t>
      </w:r>
      <w:r w:rsidRPr="00BF33AB">
        <w:rPr>
          <w:rFonts w:cstheme="minorHAnsi"/>
          <w:sz w:val="20"/>
          <w:shd w:val="clear" w:color="auto" w:fill="FFFFFF"/>
        </w:rPr>
        <w:t xml:space="preserve">. </w:t>
      </w:r>
      <w:r w:rsidR="004B0CA2" w:rsidRPr="008153CD">
        <w:rPr>
          <w:rFonts w:cstheme="minorHAnsi"/>
          <w:sz w:val="20"/>
          <w:shd w:val="clear" w:color="auto" w:fill="FFFFFF"/>
        </w:rPr>
        <w:t>A contribuição para o Financiamento da Seguridade Social – COFINS refere-se ao apurado sobre o faturamento do período.</w:t>
      </w:r>
      <w:r w:rsidR="004B0CA2">
        <w:rPr>
          <w:rFonts w:cstheme="minorHAnsi"/>
          <w:sz w:val="20"/>
          <w:shd w:val="clear" w:color="auto" w:fill="FFFFFF"/>
        </w:rPr>
        <w:t xml:space="preserve"> </w:t>
      </w:r>
      <w:r w:rsidRPr="00BF33AB">
        <w:rPr>
          <w:rFonts w:cstheme="minorHAnsi"/>
          <w:sz w:val="20"/>
          <w:shd w:val="clear" w:color="auto" w:fill="FFFFFF"/>
        </w:rPr>
        <w:t>Já o ISS Retido a Recolher e os Impostos e Contribuições Federais Retidos (IRPJ, CSLL, PIS e COFINS) referem-se à retenção dos impostos sobre os processos de pagamento aos fornecedores da Infra S.A.</w:t>
      </w:r>
    </w:p>
    <w:p w14:paraId="7FD1C2A3" w14:textId="77777777" w:rsidR="004B0CA2" w:rsidRPr="004B0CA2" w:rsidRDefault="004B0CA2" w:rsidP="004B0CA2">
      <w:pPr>
        <w:spacing w:after="0" w:line="240" w:lineRule="auto"/>
        <w:jc w:val="both"/>
        <w:rPr>
          <w:rFonts w:cstheme="minorHAnsi"/>
          <w:sz w:val="20"/>
          <w:shd w:val="clear" w:color="auto" w:fill="FFFFFF"/>
        </w:rPr>
      </w:pPr>
    </w:p>
    <w:p w14:paraId="382C07C0" w14:textId="692F8D11" w:rsidR="00453BB9" w:rsidRPr="00D85639" w:rsidRDefault="00453BB9" w:rsidP="00D85639">
      <w:pPr>
        <w:pStyle w:val="Ttulo1"/>
      </w:pPr>
      <w:bookmarkStart w:id="60" w:name="_Toc184926687"/>
      <w:r w:rsidRPr="00211B7E">
        <w:t>1</w:t>
      </w:r>
      <w:r w:rsidR="001F54A0">
        <w:t>8</w:t>
      </w:r>
      <w:r w:rsidR="00285A37" w:rsidRPr="00211B7E">
        <w:t xml:space="preserve"> </w:t>
      </w:r>
      <w:r w:rsidR="004B6C8A" w:rsidRPr="00211B7E">
        <w:t>–</w:t>
      </w:r>
      <w:r w:rsidRPr="00211B7E">
        <w:t xml:space="preserve"> Receita a Diferir – Pátios e Terminais</w:t>
      </w:r>
      <w:bookmarkEnd w:id="60"/>
    </w:p>
    <w:p w14:paraId="0C32214D" w14:textId="33BE2CB3" w:rsidR="00453BB9" w:rsidRPr="00D72D72" w:rsidRDefault="00453BB9" w:rsidP="00645DFB">
      <w:pPr>
        <w:spacing w:before="120" w:line="240" w:lineRule="auto"/>
        <w:jc w:val="both"/>
        <w:rPr>
          <w:rFonts w:cstheme="minorHAnsi"/>
          <w:sz w:val="20"/>
        </w:rPr>
      </w:pPr>
      <w:r w:rsidRPr="00D72D72">
        <w:rPr>
          <w:rFonts w:cstheme="minorHAnsi"/>
          <w:sz w:val="20"/>
        </w:rPr>
        <w:t xml:space="preserve">A conta Receita a Diferir – Pátios e Terminais </w:t>
      </w:r>
      <w:r w:rsidR="00D65D63">
        <w:rPr>
          <w:rFonts w:cstheme="minorHAnsi"/>
          <w:sz w:val="20"/>
        </w:rPr>
        <w:t xml:space="preserve">apresenta </w:t>
      </w:r>
      <w:r w:rsidRPr="00D72D72">
        <w:rPr>
          <w:rFonts w:cstheme="minorHAnsi"/>
          <w:sz w:val="20"/>
        </w:rPr>
        <w:t xml:space="preserve">valores </w:t>
      </w:r>
      <w:r w:rsidR="00FF023C">
        <w:rPr>
          <w:rFonts w:cstheme="minorHAnsi"/>
          <w:sz w:val="20"/>
        </w:rPr>
        <w:t>relacionados aos</w:t>
      </w:r>
      <w:r w:rsidRPr="00D72D72">
        <w:rPr>
          <w:rFonts w:cstheme="minorHAnsi"/>
          <w:sz w:val="20"/>
        </w:rPr>
        <w:t xml:space="preserve">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4005C36B" w14:textId="63A7BAD0" w:rsidR="002F108A" w:rsidRDefault="002F108A" w:rsidP="002F108A">
      <w:pPr>
        <w:spacing w:before="120"/>
        <w:jc w:val="both"/>
        <w:rPr>
          <w:rFonts w:cstheme="minorHAnsi"/>
          <w:sz w:val="20"/>
          <w:szCs w:val="20"/>
        </w:rPr>
      </w:pPr>
      <w:r>
        <w:rPr>
          <w:rFonts w:cstheme="minorHAnsi"/>
          <w:sz w:val="20"/>
        </w:rPr>
        <w:t>Conforme informado na Nota Explicativa 4, n</w:t>
      </w:r>
      <w:r>
        <w:rPr>
          <w:rFonts w:cstheme="minorHAnsi"/>
          <w:sz w:val="20"/>
          <w:szCs w:val="20"/>
        </w:rPr>
        <w:t>o</w:t>
      </w:r>
      <w:r w:rsidRPr="00627139">
        <w:rPr>
          <w:rFonts w:cstheme="minorHAnsi"/>
          <w:sz w:val="20"/>
          <w:szCs w:val="20"/>
        </w:rPr>
        <w:t xml:space="preserve"> primeiro trimestre de 2024, a </w:t>
      </w:r>
      <w:r w:rsidRPr="00EF740F">
        <w:rPr>
          <w:rFonts w:cstheme="minorHAnsi"/>
          <w:sz w:val="20"/>
          <w:szCs w:val="20"/>
        </w:rPr>
        <w:t>gerência</w:t>
      </w:r>
      <w:r>
        <w:rPr>
          <w:rFonts w:cstheme="minorHAnsi"/>
          <w:sz w:val="20"/>
          <w:szCs w:val="20"/>
        </w:rPr>
        <w:t xml:space="preserve"> contábil recebeu a solicitação de registro</w:t>
      </w:r>
      <w:r w:rsidRPr="00627139">
        <w:rPr>
          <w:rFonts w:cstheme="minorHAnsi"/>
          <w:sz w:val="20"/>
          <w:szCs w:val="20"/>
        </w:rPr>
        <w:t xml:space="preserve"> </w:t>
      </w:r>
      <w:r>
        <w:rPr>
          <w:rFonts w:cstheme="minorHAnsi"/>
          <w:sz w:val="20"/>
          <w:szCs w:val="20"/>
        </w:rPr>
        <w:t>d</w:t>
      </w:r>
      <w:r w:rsidRPr="00627139">
        <w:rPr>
          <w:rFonts w:cstheme="minorHAnsi"/>
          <w:sz w:val="20"/>
          <w:szCs w:val="20"/>
        </w:rPr>
        <w:t xml:space="preserve">o </w:t>
      </w:r>
      <w:r>
        <w:rPr>
          <w:rFonts w:cstheme="minorHAnsi"/>
          <w:sz w:val="20"/>
          <w:szCs w:val="20"/>
        </w:rPr>
        <w:t>C</w:t>
      </w:r>
      <w:r w:rsidRPr="00627139">
        <w:rPr>
          <w:rFonts w:cstheme="minorHAnsi"/>
          <w:sz w:val="20"/>
          <w:szCs w:val="20"/>
        </w:rPr>
        <w:t xml:space="preserve">ontrato </w:t>
      </w:r>
      <w:r>
        <w:rPr>
          <w:rFonts w:cstheme="minorHAnsi"/>
          <w:sz w:val="20"/>
          <w:szCs w:val="20"/>
        </w:rPr>
        <w:t>nº</w:t>
      </w:r>
      <w:r w:rsidRPr="00627139">
        <w:rPr>
          <w:rFonts w:cstheme="minorHAnsi"/>
          <w:sz w:val="20"/>
          <w:szCs w:val="20"/>
        </w:rPr>
        <w:t xml:space="preserve"> 16/202</w:t>
      </w:r>
      <w:r>
        <w:rPr>
          <w:rFonts w:cstheme="minorHAnsi"/>
          <w:sz w:val="20"/>
          <w:szCs w:val="20"/>
        </w:rPr>
        <w:t>2</w:t>
      </w:r>
      <w:r w:rsidRPr="00627139">
        <w:rPr>
          <w:rFonts w:cstheme="minorHAnsi"/>
          <w:sz w:val="20"/>
          <w:szCs w:val="20"/>
        </w:rPr>
        <w:t xml:space="preserve"> da SPE AGREX Porto Franco Ltda</w:t>
      </w:r>
      <w:r>
        <w:rPr>
          <w:rFonts w:cstheme="minorHAnsi"/>
          <w:sz w:val="20"/>
          <w:szCs w:val="20"/>
        </w:rPr>
        <w:t>.</w:t>
      </w:r>
      <w:r w:rsidR="008A449C">
        <w:rPr>
          <w:rFonts w:cstheme="minorHAnsi"/>
          <w:sz w:val="20"/>
          <w:szCs w:val="20"/>
        </w:rPr>
        <w:t>, firmado de 29/11/2022.</w:t>
      </w:r>
      <w:r>
        <w:rPr>
          <w:rFonts w:cstheme="minorHAnsi"/>
          <w:sz w:val="20"/>
          <w:szCs w:val="20"/>
        </w:rPr>
        <w:t xml:space="preserve"> O reconhecimento inicial se deu pelo valor original, deduzido pelas receitas reconhecidas de exercícios anteriores, totalizando o valor líquido reconhecido de R$ </w:t>
      </w:r>
      <w:r w:rsidRPr="00453EA3">
        <w:rPr>
          <w:rFonts w:cstheme="minorHAnsi"/>
          <w:sz w:val="20"/>
          <w:szCs w:val="20"/>
        </w:rPr>
        <w:t>2.</w:t>
      </w:r>
      <w:r w:rsidR="008A449C">
        <w:rPr>
          <w:rFonts w:cstheme="minorHAnsi"/>
          <w:sz w:val="20"/>
          <w:szCs w:val="20"/>
        </w:rPr>
        <w:t>382.679</w:t>
      </w:r>
      <w:r>
        <w:rPr>
          <w:rFonts w:cstheme="minorHAnsi"/>
          <w:sz w:val="20"/>
          <w:szCs w:val="20"/>
        </w:rPr>
        <w:t>.</w:t>
      </w:r>
    </w:p>
    <w:p w14:paraId="3CC87E6B" w14:textId="0208181F" w:rsidR="002A002C" w:rsidRDefault="008A449C" w:rsidP="00645DFB">
      <w:pPr>
        <w:spacing w:before="120" w:line="240" w:lineRule="auto"/>
        <w:jc w:val="both"/>
        <w:rPr>
          <w:rFonts w:cstheme="minorHAnsi"/>
          <w:sz w:val="20"/>
        </w:rPr>
      </w:pPr>
      <w:r>
        <w:rPr>
          <w:rFonts w:cstheme="minorHAnsi"/>
          <w:sz w:val="20"/>
        </w:rPr>
        <w:t>No período, os Contratos de</w:t>
      </w:r>
      <w:r w:rsidRPr="00D72D72">
        <w:rPr>
          <w:rFonts w:cstheme="minorHAnsi"/>
          <w:sz w:val="20"/>
        </w:rPr>
        <w:t xml:space="preserve"> Receita a Diferir – Pátios e Terminais, de curto e longo prazo, apresentaram os seguintes saldos:</w:t>
      </w:r>
    </w:p>
    <w:tbl>
      <w:tblPr>
        <w:tblW w:w="5000" w:type="pct"/>
        <w:tblCellMar>
          <w:left w:w="70" w:type="dxa"/>
          <w:right w:w="70" w:type="dxa"/>
        </w:tblCellMar>
        <w:tblLook w:val="04A0" w:firstRow="1" w:lastRow="0" w:firstColumn="1" w:lastColumn="0" w:noHBand="0" w:noVBand="1"/>
      </w:tblPr>
      <w:tblGrid>
        <w:gridCol w:w="4384"/>
        <w:gridCol w:w="1190"/>
        <w:gridCol w:w="1190"/>
        <w:gridCol w:w="1323"/>
        <w:gridCol w:w="1190"/>
        <w:gridCol w:w="1190"/>
      </w:tblGrid>
      <w:tr w:rsidR="00A95E00" w:rsidRPr="00915D1B" w14:paraId="1E85991B" w14:textId="77777777" w:rsidTr="00B45DC0">
        <w:trPr>
          <w:trHeight w:val="227"/>
        </w:trPr>
        <w:tc>
          <w:tcPr>
            <w:tcW w:w="4178" w:type="dxa"/>
            <w:tcBorders>
              <w:top w:val="nil"/>
              <w:left w:val="nil"/>
              <w:bottom w:val="single" w:sz="8" w:space="0" w:color="auto"/>
              <w:right w:val="nil"/>
            </w:tcBorders>
            <w:shd w:val="clear" w:color="000000" w:fill="DEEAF6"/>
            <w:vAlign w:val="center"/>
            <w:hideMark/>
          </w:tcPr>
          <w:p w14:paraId="77E6B21B" w14:textId="77777777" w:rsidR="00915D1B" w:rsidRPr="00915D1B" w:rsidRDefault="00915D1B" w:rsidP="00915D1B">
            <w:pPr>
              <w:spacing w:after="0" w:line="240" w:lineRule="auto"/>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Saldo de Receita a Diferir por Contratos</w:t>
            </w:r>
          </w:p>
        </w:tc>
        <w:tc>
          <w:tcPr>
            <w:tcW w:w="1134" w:type="dxa"/>
            <w:tcBorders>
              <w:top w:val="nil"/>
              <w:left w:val="nil"/>
              <w:bottom w:val="single" w:sz="8" w:space="0" w:color="auto"/>
              <w:right w:val="nil"/>
            </w:tcBorders>
            <w:shd w:val="clear" w:color="000000" w:fill="DEEAF6"/>
            <w:vAlign w:val="center"/>
            <w:hideMark/>
          </w:tcPr>
          <w:p w14:paraId="684BA2D4" w14:textId="77777777" w:rsidR="00915D1B" w:rsidRPr="00915D1B" w:rsidRDefault="00915D1B" w:rsidP="00915D1B">
            <w:pPr>
              <w:spacing w:after="0" w:line="240" w:lineRule="auto"/>
              <w:jc w:val="center"/>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Prazo a Diferir (meses)</w:t>
            </w:r>
          </w:p>
        </w:tc>
        <w:tc>
          <w:tcPr>
            <w:tcW w:w="1134" w:type="dxa"/>
            <w:tcBorders>
              <w:top w:val="nil"/>
              <w:left w:val="nil"/>
              <w:bottom w:val="single" w:sz="8" w:space="0" w:color="auto"/>
              <w:right w:val="nil"/>
            </w:tcBorders>
            <w:shd w:val="clear" w:color="000000" w:fill="DEEAF6"/>
            <w:vAlign w:val="center"/>
            <w:hideMark/>
          </w:tcPr>
          <w:p w14:paraId="38B283F2" w14:textId="77777777" w:rsidR="00915D1B" w:rsidRPr="00915D1B" w:rsidRDefault="00915D1B" w:rsidP="00915D1B">
            <w:pPr>
              <w:spacing w:after="0" w:line="240" w:lineRule="auto"/>
              <w:jc w:val="center"/>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Total do Passivo 31/12/2023</w:t>
            </w:r>
          </w:p>
        </w:tc>
        <w:tc>
          <w:tcPr>
            <w:tcW w:w="1134" w:type="dxa"/>
            <w:tcBorders>
              <w:top w:val="nil"/>
              <w:left w:val="nil"/>
              <w:bottom w:val="single" w:sz="8" w:space="0" w:color="auto"/>
              <w:right w:val="nil"/>
            </w:tcBorders>
            <w:shd w:val="clear" w:color="000000" w:fill="DEEAF6"/>
            <w:vAlign w:val="center"/>
            <w:hideMark/>
          </w:tcPr>
          <w:p w14:paraId="337CA817" w14:textId="0B921D54" w:rsidR="00915D1B" w:rsidRPr="00915D1B" w:rsidRDefault="00915D1B" w:rsidP="00915D1B">
            <w:pPr>
              <w:spacing w:after="0" w:line="240" w:lineRule="auto"/>
              <w:jc w:val="center"/>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Reconhecimento Parcela Fixa</w:t>
            </w:r>
          </w:p>
        </w:tc>
        <w:tc>
          <w:tcPr>
            <w:tcW w:w="1134" w:type="dxa"/>
            <w:tcBorders>
              <w:top w:val="nil"/>
              <w:left w:val="nil"/>
              <w:bottom w:val="single" w:sz="8" w:space="0" w:color="auto"/>
              <w:right w:val="nil"/>
            </w:tcBorders>
            <w:shd w:val="clear" w:color="000000" w:fill="DEEAF6"/>
            <w:vAlign w:val="center"/>
            <w:hideMark/>
          </w:tcPr>
          <w:p w14:paraId="504957A4" w14:textId="77777777" w:rsidR="00915D1B" w:rsidRPr="00915D1B" w:rsidRDefault="00915D1B" w:rsidP="00915D1B">
            <w:pPr>
              <w:spacing w:after="0" w:line="240" w:lineRule="auto"/>
              <w:jc w:val="center"/>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Apropriação em Resultado</w:t>
            </w:r>
          </w:p>
        </w:tc>
        <w:tc>
          <w:tcPr>
            <w:tcW w:w="1134" w:type="dxa"/>
            <w:tcBorders>
              <w:top w:val="nil"/>
              <w:left w:val="nil"/>
              <w:bottom w:val="single" w:sz="8" w:space="0" w:color="auto"/>
              <w:right w:val="nil"/>
            </w:tcBorders>
            <w:shd w:val="clear" w:color="000000" w:fill="DEEAF6"/>
            <w:vAlign w:val="center"/>
            <w:hideMark/>
          </w:tcPr>
          <w:p w14:paraId="28B40DE3" w14:textId="77777777" w:rsidR="00915D1B" w:rsidRPr="00915D1B" w:rsidRDefault="00915D1B" w:rsidP="00915D1B">
            <w:pPr>
              <w:spacing w:after="0" w:line="240" w:lineRule="auto"/>
              <w:jc w:val="center"/>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Total do Passivo 31/03/2024</w:t>
            </w:r>
          </w:p>
        </w:tc>
      </w:tr>
      <w:tr w:rsidR="00393CBE" w:rsidRPr="00915D1B" w14:paraId="315548DA" w14:textId="77777777" w:rsidTr="00B45DC0">
        <w:trPr>
          <w:trHeight w:val="227"/>
        </w:trPr>
        <w:tc>
          <w:tcPr>
            <w:tcW w:w="4178" w:type="dxa"/>
            <w:tcBorders>
              <w:top w:val="nil"/>
              <w:left w:val="nil"/>
              <w:bottom w:val="nil"/>
              <w:right w:val="nil"/>
            </w:tcBorders>
            <w:shd w:val="clear" w:color="auto" w:fill="auto"/>
            <w:noWrap/>
            <w:vAlign w:val="center"/>
            <w:hideMark/>
          </w:tcPr>
          <w:p w14:paraId="064F59E8" w14:textId="77777777" w:rsidR="00915D1B" w:rsidRPr="00915D1B" w:rsidRDefault="00915D1B" w:rsidP="00915D1B">
            <w:pPr>
              <w:spacing w:after="0" w:line="240" w:lineRule="auto"/>
              <w:rPr>
                <w:rFonts w:ascii="Calibri" w:eastAsia="Times New Roman" w:hAnsi="Calibri" w:cs="Calibri"/>
                <w:color w:val="000000"/>
                <w:sz w:val="16"/>
                <w:szCs w:val="16"/>
              </w:rPr>
            </w:pPr>
            <w:proofErr w:type="spellStart"/>
            <w:r w:rsidRPr="00915D1B">
              <w:rPr>
                <w:rFonts w:ascii="Calibri" w:eastAsia="Times New Roman" w:hAnsi="Calibri" w:cs="Calibri"/>
                <w:color w:val="000000"/>
                <w:sz w:val="16"/>
                <w:szCs w:val="16"/>
              </w:rPr>
              <w:t>Agrex</w:t>
            </w:r>
            <w:proofErr w:type="spellEnd"/>
            <w:r w:rsidRPr="00915D1B">
              <w:rPr>
                <w:rFonts w:ascii="Calibri" w:eastAsia="Times New Roman" w:hAnsi="Calibri" w:cs="Calibri"/>
                <w:color w:val="000000"/>
                <w:sz w:val="16"/>
                <w:szCs w:val="16"/>
              </w:rPr>
              <w:t xml:space="preserve"> do Brasil S.A. 26/2012</w:t>
            </w:r>
          </w:p>
        </w:tc>
        <w:tc>
          <w:tcPr>
            <w:tcW w:w="1134" w:type="dxa"/>
            <w:tcBorders>
              <w:top w:val="nil"/>
              <w:left w:val="nil"/>
              <w:bottom w:val="nil"/>
              <w:right w:val="nil"/>
            </w:tcBorders>
            <w:shd w:val="clear" w:color="auto" w:fill="auto"/>
            <w:noWrap/>
            <w:vAlign w:val="center"/>
            <w:hideMark/>
          </w:tcPr>
          <w:p w14:paraId="2D38DC7E"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42</w:t>
            </w:r>
          </w:p>
        </w:tc>
        <w:tc>
          <w:tcPr>
            <w:tcW w:w="1134" w:type="dxa"/>
            <w:tcBorders>
              <w:top w:val="nil"/>
              <w:left w:val="nil"/>
              <w:bottom w:val="nil"/>
              <w:right w:val="nil"/>
            </w:tcBorders>
            <w:shd w:val="clear" w:color="auto" w:fill="auto"/>
            <w:vAlign w:val="center"/>
            <w:hideMark/>
          </w:tcPr>
          <w:p w14:paraId="796FA4FD"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969.578</w:t>
            </w:r>
          </w:p>
        </w:tc>
        <w:tc>
          <w:tcPr>
            <w:tcW w:w="1134" w:type="dxa"/>
            <w:tcBorders>
              <w:top w:val="nil"/>
              <w:left w:val="nil"/>
              <w:bottom w:val="nil"/>
              <w:right w:val="nil"/>
            </w:tcBorders>
            <w:shd w:val="clear" w:color="auto" w:fill="auto"/>
            <w:vAlign w:val="center"/>
            <w:hideMark/>
          </w:tcPr>
          <w:p w14:paraId="4B19683C" w14:textId="358D5D32"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28C0960C" w14:textId="04A61CA8"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63.233</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F491270"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906.345</w:t>
            </w:r>
          </w:p>
        </w:tc>
      </w:tr>
      <w:tr w:rsidR="00393CBE" w:rsidRPr="00915D1B" w14:paraId="61677270" w14:textId="77777777" w:rsidTr="00B45DC0">
        <w:trPr>
          <w:trHeight w:val="227"/>
        </w:trPr>
        <w:tc>
          <w:tcPr>
            <w:tcW w:w="4178" w:type="dxa"/>
            <w:tcBorders>
              <w:top w:val="nil"/>
              <w:left w:val="nil"/>
              <w:bottom w:val="nil"/>
              <w:right w:val="nil"/>
            </w:tcBorders>
            <w:shd w:val="clear" w:color="auto" w:fill="auto"/>
            <w:noWrap/>
            <w:vAlign w:val="center"/>
            <w:hideMark/>
          </w:tcPr>
          <w:p w14:paraId="2FD897E8"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Bunge Alimentos S.A. 12/1999</w:t>
            </w:r>
          </w:p>
        </w:tc>
        <w:tc>
          <w:tcPr>
            <w:tcW w:w="1134" w:type="dxa"/>
            <w:tcBorders>
              <w:top w:val="nil"/>
              <w:left w:val="nil"/>
              <w:bottom w:val="nil"/>
              <w:right w:val="nil"/>
            </w:tcBorders>
            <w:shd w:val="clear" w:color="auto" w:fill="auto"/>
            <w:noWrap/>
            <w:vAlign w:val="center"/>
            <w:hideMark/>
          </w:tcPr>
          <w:p w14:paraId="2348686A"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69</w:t>
            </w:r>
          </w:p>
        </w:tc>
        <w:tc>
          <w:tcPr>
            <w:tcW w:w="1134" w:type="dxa"/>
            <w:tcBorders>
              <w:top w:val="nil"/>
              <w:left w:val="nil"/>
              <w:bottom w:val="nil"/>
              <w:right w:val="nil"/>
            </w:tcBorders>
            <w:shd w:val="clear" w:color="auto" w:fill="auto"/>
            <w:vAlign w:val="center"/>
            <w:hideMark/>
          </w:tcPr>
          <w:p w14:paraId="2BDA68C6"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1.316.821</w:t>
            </w:r>
          </w:p>
        </w:tc>
        <w:tc>
          <w:tcPr>
            <w:tcW w:w="1134" w:type="dxa"/>
            <w:tcBorders>
              <w:top w:val="nil"/>
              <w:left w:val="nil"/>
              <w:bottom w:val="nil"/>
              <w:right w:val="nil"/>
            </w:tcBorders>
            <w:shd w:val="clear" w:color="auto" w:fill="auto"/>
            <w:vAlign w:val="center"/>
            <w:hideMark/>
          </w:tcPr>
          <w:p w14:paraId="74F24B98" w14:textId="1C3843CA"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E4AF3FE" w14:textId="1431D162"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54.868</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C7F0ECB"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1.261.953</w:t>
            </w:r>
          </w:p>
        </w:tc>
      </w:tr>
      <w:tr w:rsidR="00393CBE" w:rsidRPr="00915D1B" w14:paraId="7B5DE020" w14:textId="77777777" w:rsidTr="00B45DC0">
        <w:trPr>
          <w:trHeight w:val="227"/>
        </w:trPr>
        <w:tc>
          <w:tcPr>
            <w:tcW w:w="4178" w:type="dxa"/>
            <w:tcBorders>
              <w:top w:val="nil"/>
              <w:left w:val="nil"/>
              <w:bottom w:val="nil"/>
              <w:right w:val="nil"/>
            </w:tcBorders>
            <w:shd w:val="clear" w:color="auto" w:fill="auto"/>
            <w:noWrap/>
            <w:vAlign w:val="center"/>
            <w:hideMark/>
          </w:tcPr>
          <w:p w14:paraId="589E13B8"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Cargill Agrícola S.A. 01/2000</w:t>
            </w:r>
          </w:p>
        </w:tc>
        <w:tc>
          <w:tcPr>
            <w:tcW w:w="1134" w:type="dxa"/>
            <w:tcBorders>
              <w:top w:val="nil"/>
              <w:left w:val="nil"/>
              <w:bottom w:val="nil"/>
              <w:right w:val="nil"/>
            </w:tcBorders>
            <w:shd w:val="clear" w:color="auto" w:fill="auto"/>
            <w:noWrap/>
            <w:vAlign w:val="center"/>
            <w:hideMark/>
          </w:tcPr>
          <w:p w14:paraId="43675C4D"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71</w:t>
            </w:r>
          </w:p>
        </w:tc>
        <w:tc>
          <w:tcPr>
            <w:tcW w:w="1134" w:type="dxa"/>
            <w:tcBorders>
              <w:top w:val="nil"/>
              <w:left w:val="nil"/>
              <w:bottom w:val="nil"/>
              <w:right w:val="nil"/>
            </w:tcBorders>
            <w:shd w:val="clear" w:color="auto" w:fill="auto"/>
            <w:vAlign w:val="center"/>
            <w:hideMark/>
          </w:tcPr>
          <w:p w14:paraId="6F4CC35F"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1.293.621</w:t>
            </w:r>
          </w:p>
        </w:tc>
        <w:tc>
          <w:tcPr>
            <w:tcW w:w="1134" w:type="dxa"/>
            <w:tcBorders>
              <w:top w:val="nil"/>
              <w:left w:val="nil"/>
              <w:bottom w:val="nil"/>
              <w:right w:val="nil"/>
            </w:tcBorders>
            <w:shd w:val="clear" w:color="auto" w:fill="auto"/>
            <w:vAlign w:val="center"/>
            <w:hideMark/>
          </w:tcPr>
          <w:p w14:paraId="6EF005B3" w14:textId="758F7995"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9179D57" w14:textId="563A4E21"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52.444</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9FBC913"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1.241.177</w:t>
            </w:r>
          </w:p>
        </w:tc>
      </w:tr>
      <w:tr w:rsidR="00393CBE" w:rsidRPr="00915D1B" w14:paraId="03BB3A88" w14:textId="77777777" w:rsidTr="00B45DC0">
        <w:trPr>
          <w:trHeight w:val="227"/>
        </w:trPr>
        <w:tc>
          <w:tcPr>
            <w:tcW w:w="4178" w:type="dxa"/>
            <w:tcBorders>
              <w:top w:val="nil"/>
              <w:left w:val="nil"/>
              <w:bottom w:val="nil"/>
              <w:right w:val="nil"/>
            </w:tcBorders>
            <w:shd w:val="clear" w:color="auto" w:fill="auto"/>
            <w:noWrap/>
            <w:vAlign w:val="center"/>
            <w:hideMark/>
          </w:tcPr>
          <w:p w14:paraId="5B6C1FFD" w14:textId="77777777" w:rsidR="00915D1B" w:rsidRPr="00915D1B" w:rsidRDefault="00915D1B" w:rsidP="00915D1B">
            <w:pPr>
              <w:spacing w:after="0" w:line="240" w:lineRule="auto"/>
              <w:rPr>
                <w:rFonts w:ascii="Calibri" w:eastAsia="Times New Roman" w:hAnsi="Calibri" w:cs="Calibri"/>
                <w:color w:val="000000"/>
                <w:sz w:val="16"/>
                <w:szCs w:val="16"/>
              </w:rPr>
            </w:pPr>
            <w:proofErr w:type="spellStart"/>
            <w:r w:rsidRPr="00915D1B">
              <w:rPr>
                <w:rFonts w:ascii="Calibri" w:eastAsia="Times New Roman" w:hAnsi="Calibri" w:cs="Calibri"/>
                <w:color w:val="000000"/>
                <w:sz w:val="16"/>
                <w:szCs w:val="16"/>
              </w:rPr>
              <w:t>Norship</w:t>
            </w:r>
            <w:proofErr w:type="spellEnd"/>
            <w:r w:rsidRPr="00915D1B">
              <w:rPr>
                <w:rFonts w:ascii="Calibri" w:eastAsia="Times New Roman" w:hAnsi="Calibri" w:cs="Calibri"/>
                <w:color w:val="000000"/>
                <w:sz w:val="16"/>
                <w:szCs w:val="16"/>
              </w:rPr>
              <w:t xml:space="preserve"> 11/2011</w:t>
            </w:r>
          </w:p>
        </w:tc>
        <w:tc>
          <w:tcPr>
            <w:tcW w:w="1134" w:type="dxa"/>
            <w:tcBorders>
              <w:top w:val="nil"/>
              <w:left w:val="nil"/>
              <w:bottom w:val="nil"/>
              <w:right w:val="nil"/>
            </w:tcBorders>
            <w:shd w:val="clear" w:color="auto" w:fill="auto"/>
            <w:noWrap/>
            <w:vAlign w:val="center"/>
            <w:hideMark/>
          </w:tcPr>
          <w:p w14:paraId="5E140A32"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24</w:t>
            </w:r>
          </w:p>
        </w:tc>
        <w:tc>
          <w:tcPr>
            <w:tcW w:w="1134" w:type="dxa"/>
            <w:tcBorders>
              <w:top w:val="nil"/>
              <w:left w:val="nil"/>
              <w:bottom w:val="nil"/>
              <w:right w:val="nil"/>
            </w:tcBorders>
            <w:shd w:val="clear" w:color="auto" w:fill="auto"/>
            <w:vAlign w:val="center"/>
            <w:hideMark/>
          </w:tcPr>
          <w:p w14:paraId="41D7FF79"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69.815</w:t>
            </w:r>
          </w:p>
        </w:tc>
        <w:tc>
          <w:tcPr>
            <w:tcW w:w="1134" w:type="dxa"/>
            <w:tcBorders>
              <w:top w:val="nil"/>
              <w:left w:val="nil"/>
              <w:bottom w:val="nil"/>
              <w:right w:val="nil"/>
            </w:tcBorders>
            <w:shd w:val="clear" w:color="auto" w:fill="auto"/>
            <w:vAlign w:val="center"/>
            <w:hideMark/>
          </w:tcPr>
          <w:p w14:paraId="1670A099" w14:textId="0585B578"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79CDC6AD" w14:textId="15D4244E"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7.757</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64BC46B"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62.058</w:t>
            </w:r>
          </w:p>
        </w:tc>
      </w:tr>
      <w:tr w:rsidR="00393CBE" w:rsidRPr="00915D1B" w14:paraId="7AD67F77" w14:textId="77777777" w:rsidTr="00B45DC0">
        <w:trPr>
          <w:trHeight w:val="227"/>
        </w:trPr>
        <w:tc>
          <w:tcPr>
            <w:tcW w:w="4178" w:type="dxa"/>
            <w:tcBorders>
              <w:top w:val="nil"/>
              <w:left w:val="nil"/>
              <w:bottom w:val="nil"/>
              <w:right w:val="nil"/>
            </w:tcBorders>
            <w:shd w:val="clear" w:color="auto" w:fill="auto"/>
            <w:noWrap/>
            <w:vAlign w:val="center"/>
            <w:hideMark/>
          </w:tcPr>
          <w:p w14:paraId="40C117F9"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 xml:space="preserve">Nova </w:t>
            </w:r>
            <w:proofErr w:type="spellStart"/>
            <w:r w:rsidRPr="00915D1B">
              <w:rPr>
                <w:rFonts w:ascii="Calibri" w:eastAsia="Times New Roman" w:hAnsi="Calibri" w:cs="Calibri"/>
                <w:color w:val="000000"/>
                <w:sz w:val="16"/>
                <w:szCs w:val="16"/>
              </w:rPr>
              <w:t>Agri</w:t>
            </w:r>
            <w:proofErr w:type="spellEnd"/>
            <w:r w:rsidRPr="00915D1B">
              <w:rPr>
                <w:rFonts w:ascii="Calibri" w:eastAsia="Times New Roman" w:hAnsi="Calibri" w:cs="Calibri"/>
                <w:color w:val="000000"/>
                <w:sz w:val="16"/>
                <w:szCs w:val="16"/>
              </w:rPr>
              <w:t xml:space="preserve"> 40/2008</w:t>
            </w:r>
          </w:p>
        </w:tc>
        <w:tc>
          <w:tcPr>
            <w:tcW w:w="1134" w:type="dxa"/>
            <w:tcBorders>
              <w:top w:val="nil"/>
              <w:left w:val="nil"/>
              <w:bottom w:val="nil"/>
              <w:right w:val="nil"/>
            </w:tcBorders>
            <w:shd w:val="clear" w:color="auto" w:fill="auto"/>
            <w:noWrap/>
            <w:vAlign w:val="center"/>
            <w:hideMark/>
          </w:tcPr>
          <w:p w14:paraId="4AC17782"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3</w:t>
            </w:r>
          </w:p>
        </w:tc>
        <w:tc>
          <w:tcPr>
            <w:tcW w:w="1134" w:type="dxa"/>
            <w:tcBorders>
              <w:top w:val="nil"/>
              <w:left w:val="nil"/>
              <w:bottom w:val="nil"/>
              <w:right w:val="nil"/>
            </w:tcBorders>
            <w:shd w:val="clear" w:color="auto" w:fill="auto"/>
            <w:vAlign w:val="center"/>
            <w:hideMark/>
          </w:tcPr>
          <w:p w14:paraId="7B129E13"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11.188</w:t>
            </w:r>
          </w:p>
        </w:tc>
        <w:tc>
          <w:tcPr>
            <w:tcW w:w="1134" w:type="dxa"/>
            <w:tcBorders>
              <w:top w:val="nil"/>
              <w:left w:val="nil"/>
              <w:bottom w:val="nil"/>
              <w:right w:val="nil"/>
            </w:tcBorders>
            <w:shd w:val="clear" w:color="auto" w:fill="auto"/>
            <w:vAlign w:val="center"/>
            <w:hideMark/>
          </w:tcPr>
          <w:p w14:paraId="144735AB" w14:textId="0D8D6C70"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AE290DB" w14:textId="06816F6C"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5.594</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30DBC9B9"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5.594</w:t>
            </w:r>
          </w:p>
        </w:tc>
      </w:tr>
      <w:tr w:rsidR="00393CBE" w:rsidRPr="00915D1B" w14:paraId="7D2D516C" w14:textId="77777777" w:rsidTr="00B45DC0">
        <w:trPr>
          <w:trHeight w:val="227"/>
        </w:trPr>
        <w:tc>
          <w:tcPr>
            <w:tcW w:w="4178" w:type="dxa"/>
            <w:tcBorders>
              <w:top w:val="nil"/>
              <w:left w:val="nil"/>
              <w:bottom w:val="nil"/>
              <w:right w:val="nil"/>
            </w:tcBorders>
            <w:shd w:val="clear" w:color="auto" w:fill="auto"/>
            <w:noWrap/>
            <w:vAlign w:val="center"/>
            <w:hideMark/>
          </w:tcPr>
          <w:p w14:paraId="11E50074"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 xml:space="preserve">Nova </w:t>
            </w:r>
            <w:proofErr w:type="spellStart"/>
            <w:r w:rsidRPr="00915D1B">
              <w:rPr>
                <w:rFonts w:ascii="Calibri" w:eastAsia="Times New Roman" w:hAnsi="Calibri" w:cs="Calibri"/>
                <w:color w:val="000000"/>
                <w:sz w:val="16"/>
                <w:szCs w:val="16"/>
              </w:rPr>
              <w:t>Agri</w:t>
            </w:r>
            <w:proofErr w:type="spellEnd"/>
            <w:r w:rsidRPr="00915D1B">
              <w:rPr>
                <w:rFonts w:ascii="Calibri" w:eastAsia="Times New Roman" w:hAnsi="Calibri" w:cs="Calibri"/>
                <w:color w:val="000000"/>
                <w:sz w:val="16"/>
                <w:szCs w:val="16"/>
              </w:rPr>
              <w:t xml:space="preserve"> 07/2011</w:t>
            </w:r>
          </w:p>
        </w:tc>
        <w:tc>
          <w:tcPr>
            <w:tcW w:w="1134" w:type="dxa"/>
            <w:tcBorders>
              <w:top w:val="nil"/>
              <w:left w:val="nil"/>
              <w:bottom w:val="nil"/>
              <w:right w:val="nil"/>
            </w:tcBorders>
            <w:shd w:val="clear" w:color="auto" w:fill="auto"/>
            <w:noWrap/>
            <w:vAlign w:val="center"/>
            <w:hideMark/>
          </w:tcPr>
          <w:p w14:paraId="194F1E50"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25</w:t>
            </w:r>
          </w:p>
        </w:tc>
        <w:tc>
          <w:tcPr>
            <w:tcW w:w="1134" w:type="dxa"/>
            <w:tcBorders>
              <w:top w:val="nil"/>
              <w:left w:val="nil"/>
              <w:bottom w:val="nil"/>
              <w:right w:val="nil"/>
            </w:tcBorders>
            <w:shd w:val="clear" w:color="auto" w:fill="auto"/>
            <w:vAlign w:val="center"/>
            <w:hideMark/>
          </w:tcPr>
          <w:p w14:paraId="0B4A9112"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80.999</w:t>
            </w:r>
          </w:p>
        </w:tc>
        <w:tc>
          <w:tcPr>
            <w:tcW w:w="1134" w:type="dxa"/>
            <w:tcBorders>
              <w:top w:val="nil"/>
              <w:left w:val="nil"/>
              <w:bottom w:val="nil"/>
              <w:right w:val="nil"/>
            </w:tcBorders>
            <w:shd w:val="clear" w:color="auto" w:fill="auto"/>
            <w:vAlign w:val="center"/>
            <w:hideMark/>
          </w:tcPr>
          <w:p w14:paraId="46AC273F" w14:textId="73D355BF"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56A6F35" w14:textId="2E9C46B8"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8.679</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F391D7E"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72.320</w:t>
            </w:r>
          </w:p>
        </w:tc>
      </w:tr>
      <w:tr w:rsidR="00393CBE" w:rsidRPr="00915D1B" w14:paraId="72F426D4" w14:textId="77777777" w:rsidTr="00B45DC0">
        <w:trPr>
          <w:trHeight w:val="227"/>
        </w:trPr>
        <w:tc>
          <w:tcPr>
            <w:tcW w:w="4178" w:type="dxa"/>
            <w:tcBorders>
              <w:top w:val="nil"/>
              <w:left w:val="nil"/>
              <w:bottom w:val="nil"/>
              <w:right w:val="nil"/>
            </w:tcBorders>
            <w:shd w:val="clear" w:color="auto" w:fill="auto"/>
            <w:noWrap/>
            <w:vAlign w:val="center"/>
            <w:hideMark/>
          </w:tcPr>
          <w:p w14:paraId="4E9996BE"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 xml:space="preserve">Nova </w:t>
            </w:r>
            <w:proofErr w:type="spellStart"/>
            <w:r w:rsidRPr="00915D1B">
              <w:rPr>
                <w:rFonts w:ascii="Calibri" w:eastAsia="Times New Roman" w:hAnsi="Calibri" w:cs="Calibri"/>
                <w:color w:val="000000"/>
                <w:sz w:val="16"/>
                <w:szCs w:val="16"/>
              </w:rPr>
              <w:t>Agri</w:t>
            </w:r>
            <w:proofErr w:type="spellEnd"/>
            <w:r w:rsidRPr="00915D1B">
              <w:rPr>
                <w:rFonts w:ascii="Calibri" w:eastAsia="Times New Roman" w:hAnsi="Calibri" w:cs="Calibri"/>
                <w:color w:val="000000"/>
                <w:sz w:val="16"/>
                <w:szCs w:val="16"/>
              </w:rPr>
              <w:t xml:space="preserve"> 25/2012</w:t>
            </w:r>
          </w:p>
        </w:tc>
        <w:tc>
          <w:tcPr>
            <w:tcW w:w="1134" w:type="dxa"/>
            <w:tcBorders>
              <w:top w:val="nil"/>
              <w:left w:val="nil"/>
              <w:bottom w:val="nil"/>
              <w:right w:val="nil"/>
            </w:tcBorders>
            <w:shd w:val="clear" w:color="auto" w:fill="auto"/>
            <w:noWrap/>
            <w:vAlign w:val="center"/>
            <w:hideMark/>
          </w:tcPr>
          <w:p w14:paraId="7538D043"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42</w:t>
            </w:r>
          </w:p>
        </w:tc>
        <w:tc>
          <w:tcPr>
            <w:tcW w:w="1134" w:type="dxa"/>
            <w:tcBorders>
              <w:top w:val="nil"/>
              <w:left w:val="nil"/>
              <w:bottom w:val="nil"/>
              <w:right w:val="nil"/>
            </w:tcBorders>
            <w:shd w:val="clear" w:color="auto" w:fill="auto"/>
            <w:vAlign w:val="center"/>
            <w:hideMark/>
          </w:tcPr>
          <w:p w14:paraId="1F9A80FE"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500.001</w:t>
            </w:r>
          </w:p>
        </w:tc>
        <w:tc>
          <w:tcPr>
            <w:tcW w:w="1134" w:type="dxa"/>
            <w:tcBorders>
              <w:top w:val="nil"/>
              <w:left w:val="nil"/>
              <w:bottom w:val="nil"/>
              <w:right w:val="nil"/>
            </w:tcBorders>
            <w:shd w:val="clear" w:color="auto" w:fill="auto"/>
            <w:vAlign w:val="center"/>
            <w:hideMark/>
          </w:tcPr>
          <w:p w14:paraId="0553646C" w14:textId="477F25A0"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B403609" w14:textId="3C51DB6F"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33.333</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1965D6F5"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466.668</w:t>
            </w:r>
          </w:p>
        </w:tc>
      </w:tr>
      <w:tr w:rsidR="00393CBE" w:rsidRPr="00915D1B" w14:paraId="243AF856" w14:textId="77777777" w:rsidTr="00B45DC0">
        <w:trPr>
          <w:trHeight w:val="227"/>
        </w:trPr>
        <w:tc>
          <w:tcPr>
            <w:tcW w:w="4178" w:type="dxa"/>
            <w:tcBorders>
              <w:top w:val="nil"/>
              <w:left w:val="nil"/>
              <w:bottom w:val="nil"/>
              <w:right w:val="nil"/>
            </w:tcBorders>
            <w:shd w:val="clear" w:color="auto" w:fill="auto"/>
            <w:noWrap/>
            <w:vAlign w:val="center"/>
            <w:hideMark/>
          </w:tcPr>
          <w:p w14:paraId="1B828B34"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Consórcio Pedro Afonso – Bunge S.A. 38/2010</w:t>
            </w:r>
          </w:p>
        </w:tc>
        <w:tc>
          <w:tcPr>
            <w:tcW w:w="1134" w:type="dxa"/>
            <w:tcBorders>
              <w:top w:val="nil"/>
              <w:left w:val="nil"/>
              <w:bottom w:val="nil"/>
              <w:right w:val="nil"/>
            </w:tcBorders>
            <w:shd w:val="clear" w:color="auto" w:fill="auto"/>
            <w:noWrap/>
            <w:vAlign w:val="center"/>
            <w:hideMark/>
          </w:tcPr>
          <w:p w14:paraId="7A230ADA"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14</w:t>
            </w:r>
          </w:p>
        </w:tc>
        <w:tc>
          <w:tcPr>
            <w:tcW w:w="1134" w:type="dxa"/>
            <w:tcBorders>
              <w:top w:val="nil"/>
              <w:left w:val="nil"/>
              <w:bottom w:val="nil"/>
              <w:right w:val="nil"/>
            </w:tcBorders>
            <w:shd w:val="clear" w:color="auto" w:fill="auto"/>
            <w:vAlign w:val="center"/>
            <w:hideMark/>
          </w:tcPr>
          <w:p w14:paraId="2D64398B"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29.791</w:t>
            </w:r>
          </w:p>
        </w:tc>
        <w:tc>
          <w:tcPr>
            <w:tcW w:w="1134" w:type="dxa"/>
            <w:tcBorders>
              <w:top w:val="nil"/>
              <w:left w:val="nil"/>
              <w:bottom w:val="nil"/>
              <w:right w:val="nil"/>
            </w:tcBorders>
            <w:shd w:val="clear" w:color="auto" w:fill="auto"/>
            <w:vAlign w:val="center"/>
            <w:hideMark/>
          </w:tcPr>
          <w:p w14:paraId="79005625" w14:textId="39067339"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CF5C2AE" w14:textId="2B5BFBF4"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4.965</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1B3A3CCB"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24.826</w:t>
            </w:r>
          </w:p>
        </w:tc>
      </w:tr>
      <w:tr w:rsidR="00393CBE" w:rsidRPr="00915D1B" w14:paraId="0E9345A1" w14:textId="77777777" w:rsidTr="00B45DC0">
        <w:trPr>
          <w:trHeight w:val="227"/>
        </w:trPr>
        <w:tc>
          <w:tcPr>
            <w:tcW w:w="4178" w:type="dxa"/>
            <w:tcBorders>
              <w:top w:val="nil"/>
              <w:left w:val="nil"/>
              <w:bottom w:val="nil"/>
              <w:right w:val="nil"/>
            </w:tcBorders>
            <w:shd w:val="clear" w:color="auto" w:fill="auto"/>
            <w:noWrap/>
            <w:vAlign w:val="center"/>
            <w:hideMark/>
          </w:tcPr>
          <w:p w14:paraId="0555C4C0"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Consórcio Pedro Afonso – Bunge S.A. 39/2010</w:t>
            </w:r>
          </w:p>
        </w:tc>
        <w:tc>
          <w:tcPr>
            <w:tcW w:w="1134" w:type="dxa"/>
            <w:tcBorders>
              <w:top w:val="nil"/>
              <w:left w:val="nil"/>
              <w:bottom w:val="nil"/>
              <w:right w:val="nil"/>
            </w:tcBorders>
            <w:shd w:val="clear" w:color="auto" w:fill="auto"/>
            <w:noWrap/>
            <w:vAlign w:val="center"/>
            <w:hideMark/>
          </w:tcPr>
          <w:p w14:paraId="4669B47E"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14</w:t>
            </w:r>
          </w:p>
        </w:tc>
        <w:tc>
          <w:tcPr>
            <w:tcW w:w="1134" w:type="dxa"/>
            <w:tcBorders>
              <w:top w:val="nil"/>
              <w:left w:val="nil"/>
              <w:bottom w:val="nil"/>
              <w:right w:val="nil"/>
            </w:tcBorders>
            <w:shd w:val="clear" w:color="auto" w:fill="auto"/>
            <w:vAlign w:val="center"/>
            <w:hideMark/>
          </w:tcPr>
          <w:p w14:paraId="603E2F32"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29.791</w:t>
            </w:r>
          </w:p>
        </w:tc>
        <w:tc>
          <w:tcPr>
            <w:tcW w:w="1134" w:type="dxa"/>
            <w:tcBorders>
              <w:top w:val="nil"/>
              <w:left w:val="nil"/>
              <w:bottom w:val="nil"/>
              <w:right w:val="nil"/>
            </w:tcBorders>
            <w:shd w:val="clear" w:color="auto" w:fill="auto"/>
            <w:vAlign w:val="center"/>
            <w:hideMark/>
          </w:tcPr>
          <w:p w14:paraId="4CA580CF" w14:textId="5D55A0CB"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44B5168" w14:textId="02DD9630"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4.965</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87EABD7"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24.826</w:t>
            </w:r>
          </w:p>
        </w:tc>
      </w:tr>
      <w:tr w:rsidR="00393CBE" w:rsidRPr="00915D1B" w14:paraId="20044E09" w14:textId="77777777" w:rsidTr="00B45DC0">
        <w:trPr>
          <w:trHeight w:val="227"/>
        </w:trPr>
        <w:tc>
          <w:tcPr>
            <w:tcW w:w="4178" w:type="dxa"/>
            <w:tcBorders>
              <w:top w:val="nil"/>
              <w:left w:val="nil"/>
              <w:bottom w:val="nil"/>
              <w:right w:val="nil"/>
            </w:tcBorders>
            <w:shd w:val="clear" w:color="auto" w:fill="auto"/>
            <w:noWrap/>
            <w:vAlign w:val="center"/>
            <w:hideMark/>
          </w:tcPr>
          <w:p w14:paraId="42E2E1E4"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Petrobras Distribuidora S.A. 08/2011</w:t>
            </w:r>
          </w:p>
        </w:tc>
        <w:tc>
          <w:tcPr>
            <w:tcW w:w="1134" w:type="dxa"/>
            <w:tcBorders>
              <w:top w:val="nil"/>
              <w:left w:val="nil"/>
              <w:bottom w:val="nil"/>
              <w:right w:val="nil"/>
            </w:tcBorders>
            <w:shd w:val="clear" w:color="auto" w:fill="auto"/>
            <w:noWrap/>
            <w:vAlign w:val="center"/>
            <w:hideMark/>
          </w:tcPr>
          <w:p w14:paraId="1500CEB5"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25</w:t>
            </w:r>
          </w:p>
        </w:tc>
        <w:tc>
          <w:tcPr>
            <w:tcW w:w="1134" w:type="dxa"/>
            <w:tcBorders>
              <w:top w:val="nil"/>
              <w:left w:val="nil"/>
              <w:bottom w:val="nil"/>
              <w:right w:val="nil"/>
            </w:tcBorders>
            <w:shd w:val="clear" w:color="auto" w:fill="auto"/>
            <w:vAlign w:val="center"/>
            <w:hideMark/>
          </w:tcPr>
          <w:p w14:paraId="5B06B84A"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252.156</w:t>
            </w:r>
          </w:p>
        </w:tc>
        <w:tc>
          <w:tcPr>
            <w:tcW w:w="1134" w:type="dxa"/>
            <w:tcBorders>
              <w:top w:val="nil"/>
              <w:left w:val="nil"/>
              <w:bottom w:val="nil"/>
              <w:right w:val="nil"/>
            </w:tcBorders>
            <w:shd w:val="clear" w:color="auto" w:fill="auto"/>
            <w:vAlign w:val="center"/>
            <w:hideMark/>
          </w:tcPr>
          <w:p w14:paraId="2BD8D41D" w14:textId="3487EB2B"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384E1F39" w14:textId="09D75B0D"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27.017</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8109A83"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225.139</w:t>
            </w:r>
          </w:p>
        </w:tc>
      </w:tr>
      <w:tr w:rsidR="00393CBE" w:rsidRPr="00915D1B" w14:paraId="526A12A6" w14:textId="77777777" w:rsidTr="00B45DC0">
        <w:trPr>
          <w:trHeight w:val="227"/>
        </w:trPr>
        <w:tc>
          <w:tcPr>
            <w:tcW w:w="4178" w:type="dxa"/>
            <w:tcBorders>
              <w:top w:val="nil"/>
              <w:left w:val="nil"/>
              <w:bottom w:val="nil"/>
              <w:right w:val="nil"/>
            </w:tcBorders>
            <w:shd w:val="clear" w:color="auto" w:fill="auto"/>
            <w:noWrap/>
            <w:vAlign w:val="center"/>
            <w:hideMark/>
          </w:tcPr>
          <w:p w14:paraId="60327CD2"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Porto Seco Centro Oeste S.A. 13/2016</w:t>
            </w:r>
          </w:p>
        </w:tc>
        <w:tc>
          <w:tcPr>
            <w:tcW w:w="1134" w:type="dxa"/>
            <w:tcBorders>
              <w:top w:val="nil"/>
              <w:left w:val="nil"/>
              <w:bottom w:val="nil"/>
              <w:right w:val="nil"/>
            </w:tcBorders>
            <w:shd w:val="clear" w:color="auto" w:fill="auto"/>
            <w:noWrap/>
            <w:vAlign w:val="center"/>
            <w:hideMark/>
          </w:tcPr>
          <w:p w14:paraId="0BEB5E0F"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266</w:t>
            </w:r>
          </w:p>
        </w:tc>
        <w:tc>
          <w:tcPr>
            <w:tcW w:w="1134" w:type="dxa"/>
            <w:tcBorders>
              <w:top w:val="nil"/>
              <w:left w:val="nil"/>
              <w:bottom w:val="nil"/>
              <w:right w:val="nil"/>
            </w:tcBorders>
            <w:shd w:val="clear" w:color="auto" w:fill="auto"/>
            <w:vAlign w:val="center"/>
            <w:hideMark/>
          </w:tcPr>
          <w:p w14:paraId="5F8409CA"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7.173.333</w:t>
            </w:r>
          </w:p>
        </w:tc>
        <w:tc>
          <w:tcPr>
            <w:tcW w:w="1134" w:type="dxa"/>
            <w:tcBorders>
              <w:top w:val="nil"/>
              <w:left w:val="nil"/>
              <w:bottom w:val="nil"/>
              <w:right w:val="nil"/>
            </w:tcBorders>
            <w:shd w:val="clear" w:color="auto" w:fill="auto"/>
            <w:vAlign w:val="center"/>
            <w:hideMark/>
          </w:tcPr>
          <w:p w14:paraId="677867E4" w14:textId="584A46B8"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1368A0C" w14:textId="25CCAA43"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80.000</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45A9744"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7.093.333</w:t>
            </w:r>
          </w:p>
        </w:tc>
      </w:tr>
      <w:tr w:rsidR="00393CBE" w:rsidRPr="00915D1B" w14:paraId="50E74AAC" w14:textId="77777777" w:rsidTr="00B45DC0">
        <w:trPr>
          <w:trHeight w:val="227"/>
        </w:trPr>
        <w:tc>
          <w:tcPr>
            <w:tcW w:w="4178" w:type="dxa"/>
            <w:tcBorders>
              <w:top w:val="nil"/>
              <w:left w:val="nil"/>
              <w:bottom w:val="nil"/>
              <w:right w:val="nil"/>
            </w:tcBorders>
            <w:shd w:val="clear" w:color="auto" w:fill="auto"/>
            <w:noWrap/>
            <w:vAlign w:val="center"/>
            <w:hideMark/>
          </w:tcPr>
          <w:p w14:paraId="4A5A4963"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Raízen Combustíveis S.A. 10/2011</w:t>
            </w:r>
          </w:p>
        </w:tc>
        <w:tc>
          <w:tcPr>
            <w:tcW w:w="1134" w:type="dxa"/>
            <w:tcBorders>
              <w:top w:val="nil"/>
              <w:left w:val="nil"/>
              <w:bottom w:val="nil"/>
              <w:right w:val="nil"/>
            </w:tcBorders>
            <w:shd w:val="clear" w:color="auto" w:fill="auto"/>
            <w:noWrap/>
            <w:vAlign w:val="center"/>
            <w:hideMark/>
          </w:tcPr>
          <w:p w14:paraId="04BE4810"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24</w:t>
            </w:r>
          </w:p>
        </w:tc>
        <w:tc>
          <w:tcPr>
            <w:tcW w:w="1134" w:type="dxa"/>
            <w:tcBorders>
              <w:top w:val="nil"/>
              <w:left w:val="nil"/>
              <w:bottom w:val="nil"/>
              <w:right w:val="nil"/>
            </w:tcBorders>
            <w:shd w:val="clear" w:color="auto" w:fill="auto"/>
            <w:vAlign w:val="center"/>
            <w:hideMark/>
          </w:tcPr>
          <w:p w14:paraId="12DF5346"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157.111</w:t>
            </w:r>
          </w:p>
        </w:tc>
        <w:tc>
          <w:tcPr>
            <w:tcW w:w="1134" w:type="dxa"/>
            <w:tcBorders>
              <w:top w:val="nil"/>
              <w:left w:val="nil"/>
              <w:bottom w:val="nil"/>
              <w:right w:val="nil"/>
            </w:tcBorders>
            <w:shd w:val="clear" w:color="auto" w:fill="auto"/>
            <w:vAlign w:val="center"/>
            <w:hideMark/>
          </w:tcPr>
          <w:p w14:paraId="1C8A6685" w14:textId="786F1374"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48BB7BD" w14:textId="37ACA113"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16.833</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F1482B5"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140.278</w:t>
            </w:r>
          </w:p>
        </w:tc>
      </w:tr>
      <w:tr w:rsidR="00393CBE" w:rsidRPr="00915D1B" w14:paraId="43C41D58" w14:textId="77777777" w:rsidTr="00B45DC0">
        <w:trPr>
          <w:trHeight w:val="227"/>
        </w:trPr>
        <w:tc>
          <w:tcPr>
            <w:tcW w:w="4178" w:type="dxa"/>
            <w:tcBorders>
              <w:top w:val="nil"/>
              <w:left w:val="nil"/>
              <w:bottom w:val="nil"/>
              <w:right w:val="nil"/>
            </w:tcBorders>
            <w:shd w:val="clear" w:color="auto" w:fill="auto"/>
            <w:noWrap/>
            <w:vAlign w:val="center"/>
            <w:hideMark/>
          </w:tcPr>
          <w:p w14:paraId="54287822"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TDC - Distribuidora de Combustíveis S.A. 01/2016</w:t>
            </w:r>
          </w:p>
        </w:tc>
        <w:tc>
          <w:tcPr>
            <w:tcW w:w="1134" w:type="dxa"/>
            <w:tcBorders>
              <w:top w:val="nil"/>
              <w:left w:val="nil"/>
              <w:bottom w:val="nil"/>
              <w:right w:val="nil"/>
            </w:tcBorders>
            <w:shd w:val="clear" w:color="auto" w:fill="auto"/>
            <w:noWrap/>
            <w:vAlign w:val="center"/>
            <w:hideMark/>
          </w:tcPr>
          <w:p w14:paraId="2F958D6A"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263</w:t>
            </w:r>
          </w:p>
        </w:tc>
        <w:tc>
          <w:tcPr>
            <w:tcW w:w="1134" w:type="dxa"/>
            <w:tcBorders>
              <w:top w:val="nil"/>
              <w:left w:val="nil"/>
              <w:bottom w:val="nil"/>
              <w:right w:val="nil"/>
            </w:tcBorders>
            <w:shd w:val="clear" w:color="auto" w:fill="auto"/>
            <w:vAlign w:val="center"/>
            <w:hideMark/>
          </w:tcPr>
          <w:p w14:paraId="175EE5EA"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7.462.778</w:t>
            </w:r>
          </w:p>
        </w:tc>
        <w:tc>
          <w:tcPr>
            <w:tcW w:w="1134" w:type="dxa"/>
            <w:tcBorders>
              <w:top w:val="nil"/>
              <w:left w:val="nil"/>
              <w:bottom w:val="nil"/>
              <w:right w:val="nil"/>
            </w:tcBorders>
            <w:shd w:val="clear" w:color="auto" w:fill="auto"/>
            <w:vAlign w:val="center"/>
            <w:hideMark/>
          </w:tcPr>
          <w:p w14:paraId="2EA703A5" w14:textId="32BC2F4B"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843AF46" w14:textId="74AC3133"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84.167</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37A80492"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7.378.611</w:t>
            </w:r>
          </w:p>
        </w:tc>
      </w:tr>
      <w:tr w:rsidR="00393CBE" w:rsidRPr="00915D1B" w14:paraId="57440556" w14:textId="77777777" w:rsidTr="00B45DC0">
        <w:trPr>
          <w:trHeight w:val="227"/>
        </w:trPr>
        <w:tc>
          <w:tcPr>
            <w:tcW w:w="4178" w:type="dxa"/>
            <w:tcBorders>
              <w:top w:val="nil"/>
              <w:left w:val="nil"/>
              <w:bottom w:val="nil"/>
              <w:right w:val="nil"/>
            </w:tcBorders>
            <w:shd w:val="clear" w:color="auto" w:fill="auto"/>
            <w:noWrap/>
            <w:vAlign w:val="center"/>
            <w:hideMark/>
          </w:tcPr>
          <w:p w14:paraId="55A69DAC"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Terminal VLI Porto Franco S.A. 19/2021</w:t>
            </w:r>
          </w:p>
        </w:tc>
        <w:tc>
          <w:tcPr>
            <w:tcW w:w="1134" w:type="dxa"/>
            <w:tcBorders>
              <w:top w:val="nil"/>
              <w:left w:val="nil"/>
              <w:bottom w:val="nil"/>
              <w:right w:val="nil"/>
            </w:tcBorders>
            <w:shd w:val="clear" w:color="auto" w:fill="auto"/>
            <w:noWrap/>
            <w:vAlign w:val="center"/>
            <w:hideMark/>
          </w:tcPr>
          <w:p w14:paraId="73FBAE1E"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148</w:t>
            </w:r>
          </w:p>
        </w:tc>
        <w:tc>
          <w:tcPr>
            <w:tcW w:w="1134" w:type="dxa"/>
            <w:tcBorders>
              <w:top w:val="nil"/>
              <w:left w:val="nil"/>
              <w:bottom w:val="nil"/>
              <w:right w:val="nil"/>
            </w:tcBorders>
            <w:shd w:val="clear" w:color="auto" w:fill="auto"/>
            <w:vAlign w:val="center"/>
            <w:hideMark/>
          </w:tcPr>
          <w:p w14:paraId="19539E8D"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17.864.328</w:t>
            </w:r>
          </w:p>
        </w:tc>
        <w:tc>
          <w:tcPr>
            <w:tcW w:w="1134" w:type="dxa"/>
            <w:tcBorders>
              <w:top w:val="nil"/>
              <w:left w:val="nil"/>
              <w:bottom w:val="nil"/>
              <w:right w:val="nil"/>
            </w:tcBorders>
            <w:shd w:val="clear" w:color="auto" w:fill="auto"/>
            <w:vAlign w:val="center"/>
            <w:hideMark/>
          </w:tcPr>
          <w:p w14:paraId="37F63F32" w14:textId="3BE747D9"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7CE32EF0" w14:textId="0CE86B37"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354.920</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328C9BDC"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17.509.408</w:t>
            </w:r>
          </w:p>
        </w:tc>
      </w:tr>
      <w:tr w:rsidR="00393CBE" w:rsidRPr="00915D1B" w14:paraId="54B9D09F" w14:textId="77777777" w:rsidTr="00B45DC0">
        <w:trPr>
          <w:trHeight w:val="227"/>
        </w:trPr>
        <w:tc>
          <w:tcPr>
            <w:tcW w:w="4178" w:type="dxa"/>
            <w:tcBorders>
              <w:top w:val="nil"/>
              <w:left w:val="nil"/>
              <w:bottom w:val="nil"/>
              <w:right w:val="nil"/>
            </w:tcBorders>
            <w:shd w:val="clear" w:color="auto" w:fill="auto"/>
            <w:noWrap/>
            <w:vAlign w:val="center"/>
            <w:hideMark/>
          </w:tcPr>
          <w:p w14:paraId="678D99D8"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MIL - Modal de Integração e Logística SPE S.A. - 01/2022</w:t>
            </w:r>
          </w:p>
        </w:tc>
        <w:tc>
          <w:tcPr>
            <w:tcW w:w="1134" w:type="dxa"/>
            <w:tcBorders>
              <w:top w:val="nil"/>
              <w:left w:val="nil"/>
              <w:bottom w:val="nil"/>
              <w:right w:val="nil"/>
            </w:tcBorders>
            <w:shd w:val="clear" w:color="auto" w:fill="auto"/>
            <w:noWrap/>
            <w:vAlign w:val="center"/>
            <w:hideMark/>
          </w:tcPr>
          <w:p w14:paraId="3E53D8FF"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154</w:t>
            </w:r>
          </w:p>
        </w:tc>
        <w:tc>
          <w:tcPr>
            <w:tcW w:w="1134" w:type="dxa"/>
            <w:tcBorders>
              <w:top w:val="nil"/>
              <w:left w:val="nil"/>
              <w:bottom w:val="nil"/>
              <w:right w:val="nil"/>
            </w:tcBorders>
            <w:shd w:val="clear" w:color="auto" w:fill="auto"/>
            <w:vAlign w:val="center"/>
            <w:hideMark/>
          </w:tcPr>
          <w:p w14:paraId="31B88D33"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12.324.618</w:t>
            </w:r>
          </w:p>
        </w:tc>
        <w:tc>
          <w:tcPr>
            <w:tcW w:w="1134" w:type="dxa"/>
            <w:tcBorders>
              <w:top w:val="nil"/>
              <w:left w:val="nil"/>
              <w:bottom w:val="nil"/>
              <w:right w:val="nil"/>
            </w:tcBorders>
            <w:shd w:val="clear" w:color="auto" w:fill="auto"/>
            <w:vAlign w:val="center"/>
            <w:hideMark/>
          </w:tcPr>
          <w:p w14:paraId="100D99D9" w14:textId="1DEA2DAF" w:rsidR="00915D1B" w:rsidRPr="00915D1B" w:rsidRDefault="00EC06FE"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74D3D5C6" w14:textId="4B65CFDB" w:rsidR="00915D1B" w:rsidRPr="00915D1B" w:rsidRDefault="00B55EE8" w:rsidP="00915D1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234.012</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DBCF2C1"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12.090.606</w:t>
            </w:r>
          </w:p>
        </w:tc>
      </w:tr>
      <w:tr w:rsidR="00393CBE" w:rsidRPr="00915D1B" w14:paraId="0780D9CA" w14:textId="77777777" w:rsidTr="00B45DC0">
        <w:trPr>
          <w:trHeight w:val="227"/>
        </w:trPr>
        <w:tc>
          <w:tcPr>
            <w:tcW w:w="4178" w:type="dxa"/>
            <w:tcBorders>
              <w:top w:val="nil"/>
              <w:left w:val="nil"/>
              <w:bottom w:val="single" w:sz="8" w:space="0" w:color="auto"/>
              <w:right w:val="nil"/>
            </w:tcBorders>
            <w:shd w:val="clear" w:color="auto" w:fill="auto"/>
            <w:noWrap/>
            <w:vAlign w:val="center"/>
            <w:hideMark/>
          </w:tcPr>
          <w:p w14:paraId="77853D00" w14:textId="6FE2684F"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SPE AGREX Ltda</w:t>
            </w:r>
            <w:r w:rsidR="001A5B4D">
              <w:rPr>
                <w:rFonts w:ascii="Calibri" w:eastAsia="Times New Roman" w:hAnsi="Calibri" w:cs="Calibri"/>
                <w:color w:val="000000"/>
                <w:sz w:val="16"/>
                <w:szCs w:val="16"/>
              </w:rPr>
              <w:t>.</w:t>
            </w:r>
            <w:r w:rsidRPr="00915D1B">
              <w:rPr>
                <w:rFonts w:ascii="Calibri" w:eastAsia="Times New Roman" w:hAnsi="Calibri" w:cs="Calibri"/>
                <w:color w:val="000000"/>
                <w:sz w:val="16"/>
                <w:szCs w:val="16"/>
              </w:rPr>
              <w:t xml:space="preserve"> 016/2022</w:t>
            </w:r>
          </w:p>
        </w:tc>
        <w:tc>
          <w:tcPr>
            <w:tcW w:w="1134" w:type="dxa"/>
            <w:tcBorders>
              <w:top w:val="nil"/>
              <w:left w:val="nil"/>
              <w:bottom w:val="single" w:sz="8" w:space="0" w:color="auto"/>
              <w:right w:val="nil"/>
            </w:tcBorders>
            <w:shd w:val="clear" w:color="auto" w:fill="auto"/>
            <w:noWrap/>
            <w:vAlign w:val="center"/>
            <w:hideMark/>
          </w:tcPr>
          <w:p w14:paraId="4D820FA7" w14:textId="77777777" w:rsidR="00915D1B" w:rsidRPr="00915D1B" w:rsidRDefault="00915D1B" w:rsidP="00915D1B">
            <w:pPr>
              <w:spacing w:after="0" w:line="240" w:lineRule="auto"/>
              <w:jc w:val="center"/>
              <w:rPr>
                <w:rFonts w:ascii="Calibri" w:eastAsia="Times New Roman" w:hAnsi="Calibri" w:cs="Calibri"/>
                <w:color w:val="000000"/>
                <w:sz w:val="16"/>
                <w:szCs w:val="16"/>
              </w:rPr>
            </w:pPr>
            <w:r w:rsidRPr="00915D1B">
              <w:rPr>
                <w:rFonts w:ascii="Calibri" w:eastAsia="Times New Roman" w:hAnsi="Calibri" w:cs="Calibri"/>
                <w:color w:val="000000"/>
                <w:sz w:val="16"/>
                <w:szCs w:val="16"/>
              </w:rPr>
              <w:t>165</w:t>
            </w:r>
          </w:p>
        </w:tc>
        <w:tc>
          <w:tcPr>
            <w:tcW w:w="1134" w:type="dxa"/>
            <w:tcBorders>
              <w:top w:val="nil"/>
              <w:left w:val="nil"/>
              <w:bottom w:val="single" w:sz="8" w:space="0" w:color="auto"/>
              <w:right w:val="nil"/>
            </w:tcBorders>
            <w:shd w:val="clear" w:color="auto" w:fill="auto"/>
            <w:vAlign w:val="center"/>
            <w:hideMark/>
          </w:tcPr>
          <w:p w14:paraId="119F4DD1" w14:textId="78F303EA" w:rsidR="00915D1B" w:rsidRPr="00915D1B" w:rsidRDefault="00915D1B" w:rsidP="00EC06FE">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r w:rsidR="00EC06FE">
              <w:rPr>
                <w:rFonts w:ascii="Calibri" w:eastAsia="Times New Roman" w:hAnsi="Calibri" w:cs="Calibri"/>
                <w:color w:val="000000"/>
                <w:sz w:val="16"/>
                <w:szCs w:val="16"/>
              </w:rPr>
              <w:t>-</w:t>
            </w:r>
          </w:p>
        </w:tc>
        <w:tc>
          <w:tcPr>
            <w:tcW w:w="1134" w:type="dxa"/>
            <w:tcBorders>
              <w:top w:val="nil"/>
              <w:left w:val="nil"/>
              <w:bottom w:val="single" w:sz="8" w:space="0" w:color="auto"/>
              <w:right w:val="nil"/>
            </w:tcBorders>
            <w:shd w:val="clear" w:color="auto" w:fill="auto"/>
            <w:vAlign w:val="center"/>
            <w:hideMark/>
          </w:tcPr>
          <w:p w14:paraId="2778FDBB" w14:textId="50E766D6" w:rsidR="00915D1B" w:rsidRPr="00915D1B" w:rsidRDefault="00915D1B" w:rsidP="00146482">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xml:space="preserve"> 2.382.679 </w:t>
            </w:r>
          </w:p>
        </w:tc>
        <w:tc>
          <w:tcPr>
            <w:tcW w:w="1134" w:type="dxa"/>
            <w:tcBorders>
              <w:top w:val="nil"/>
              <w:left w:val="nil"/>
              <w:bottom w:val="single" w:sz="8" w:space="0" w:color="auto"/>
              <w:right w:val="nil"/>
            </w:tcBorders>
            <w:shd w:val="clear" w:color="auto" w:fill="auto"/>
            <w:vAlign w:val="center"/>
            <w:hideMark/>
          </w:tcPr>
          <w:p w14:paraId="67AAA840" w14:textId="0C123444" w:rsidR="00915D1B" w:rsidRPr="00915D1B" w:rsidRDefault="00B55EE8" w:rsidP="006852F8">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color w:val="000000"/>
                <w:sz w:val="16"/>
                <w:szCs w:val="16"/>
              </w:rPr>
              <w:t>42.548</w:t>
            </w:r>
            <w:r>
              <w:rPr>
                <w:rFonts w:ascii="Calibri" w:eastAsia="Times New Roman" w:hAnsi="Calibri" w:cs="Calibri"/>
                <w:color w:val="000000"/>
                <w:sz w:val="16"/>
                <w:szCs w:val="16"/>
              </w:rPr>
              <w:t>)</w:t>
            </w:r>
          </w:p>
        </w:tc>
        <w:tc>
          <w:tcPr>
            <w:tcW w:w="1134" w:type="dxa"/>
            <w:tcBorders>
              <w:top w:val="nil"/>
              <w:left w:val="nil"/>
              <w:bottom w:val="single" w:sz="8" w:space="0" w:color="auto"/>
              <w:right w:val="nil"/>
            </w:tcBorders>
            <w:shd w:val="clear" w:color="auto" w:fill="auto"/>
            <w:noWrap/>
            <w:vAlign w:val="center"/>
            <w:hideMark/>
          </w:tcPr>
          <w:p w14:paraId="19059DBB" w14:textId="18EA1EDD" w:rsidR="00915D1B" w:rsidRPr="00915D1B" w:rsidRDefault="00915D1B" w:rsidP="006852F8">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xml:space="preserve">2.340.131 </w:t>
            </w:r>
          </w:p>
        </w:tc>
      </w:tr>
      <w:tr w:rsidR="00830BF1" w:rsidRPr="00915D1B" w14:paraId="3ABCFE45" w14:textId="77777777" w:rsidTr="00B45DC0">
        <w:trPr>
          <w:trHeight w:val="227"/>
        </w:trPr>
        <w:tc>
          <w:tcPr>
            <w:tcW w:w="4178" w:type="dxa"/>
            <w:tcBorders>
              <w:top w:val="nil"/>
              <w:left w:val="nil"/>
              <w:bottom w:val="single" w:sz="8" w:space="0" w:color="auto"/>
              <w:right w:val="nil"/>
            </w:tcBorders>
            <w:shd w:val="clear" w:color="000000" w:fill="DEEAF6"/>
            <w:noWrap/>
            <w:vAlign w:val="center"/>
            <w:hideMark/>
          </w:tcPr>
          <w:p w14:paraId="752FDF77" w14:textId="77777777" w:rsidR="00915D1B" w:rsidRPr="00915D1B" w:rsidRDefault="00915D1B" w:rsidP="00915D1B">
            <w:pPr>
              <w:spacing w:after="0" w:line="240" w:lineRule="auto"/>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 xml:space="preserve"> Total </w:t>
            </w:r>
          </w:p>
        </w:tc>
        <w:tc>
          <w:tcPr>
            <w:tcW w:w="1134" w:type="dxa"/>
            <w:tcBorders>
              <w:top w:val="nil"/>
              <w:left w:val="nil"/>
              <w:bottom w:val="single" w:sz="8" w:space="0" w:color="auto"/>
              <w:right w:val="nil"/>
            </w:tcBorders>
            <w:shd w:val="clear" w:color="000000" w:fill="DEEAF6"/>
            <w:noWrap/>
            <w:vAlign w:val="center"/>
            <w:hideMark/>
          </w:tcPr>
          <w:p w14:paraId="489CC434" w14:textId="77777777" w:rsidR="00915D1B" w:rsidRPr="00915D1B" w:rsidRDefault="00915D1B" w:rsidP="00915D1B">
            <w:pPr>
              <w:spacing w:after="0" w:line="240" w:lineRule="auto"/>
              <w:rPr>
                <w:rFonts w:ascii="Calibri" w:eastAsia="Times New Roman" w:hAnsi="Calibri" w:cs="Calibri"/>
                <w:color w:val="000000"/>
              </w:rPr>
            </w:pPr>
            <w:r w:rsidRPr="00915D1B">
              <w:rPr>
                <w:rFonts w:ascii="Calibri" w:eastAsia="Times New Roman" w:hAnsi="Calibri"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411FCEFD" w14:textId="77777777" w:rsidR="00915D1B" w:rsidRPr="00915D1B" w:rsidRDefault="00915D1B" w:rsidP="00915D1B">
            <w:pPr>
              <w:spacing w:after="0" w:line="240" w:lineRule="auto"/>
              <w:jc w:val="right"/>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49.535.929</w:t>
            </w:r>
          </w:p>
        </w:tc>
        <w:tc>
          <w:tcPr>
            <w:tcW w:w="1134" w:type="dxa"/>
            <w:tcBorders>
              <w:top w:val="nil"/>
              <w:left w:val="nil"/>
              <w:bottom w:val="single" w:sz="8" w:space="0" w:color="auto"/>
              <w:right w:val="nil"/>
            </w:tcBorders>
            <w:shd w:val="clear" w:color="000000" w:fill="DEEAF6"/>
            <w:noWrap/>
            <w:vAlign w:val="center"/>
            <w:hideMark/>
          </w:tcPr>
          <w:p w14:paraId="7C54A06A" w14:textId="3C22A7C3" w:rsidR="00915D1B" w:rsidRPr="00915D1B" w:rsidRDefault="00146482" w:rsidP="00915D1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2.382.679</w:t>
            </w:r>
            <w:r w:rsidR="00915D1B" w:rsidRPr="00915D1B">
              <w:rPr>
                <w:rFonts w:ascii="Calibri" w:eastAsia="Times New Roman" w:hAnsi="Calibri" w:cs="Calibri"/>
                <w:b/>
                <w:bCs/>
                <w:color w:val="000000"/>
                <w:sz w:val="16"/>
                <w:szCs w:val="16"/>
              </w:rPr>
              <w:t> </w:t>
            </w:r>
          </w:p>
        </w:tc>
        <w:tc>
          <w:tcPr>
            <w:tcW w:w="1134" w:type="dxa"/>
            <w:tcBorders>
              <w:top w:val="nil"/>
              <w:left w:val="nil"/>
              <w:bottom w:val="single" w:sz="8" w:space="0" w:color="auto"/>
              <w:right w:val="nil"/>
            </w:tcBorders>
            <w:shd w:val="clear" w:color="000000" w:fill="DEEAF6"/>
            <w:noWrap/>
            <w:vAlign w:val="center"/>
            <w:hideMark/>
          </w:tcPr>
          <w:p w14:paraId="559B00E9" w14:textId="11C34A9D" w:rsidR="00915D1B" w:rsidRPr="00915D1B" w:rsidRDefault="00B55EE8" w:rsidP="00915D1B">
            <w:pPr>
              <w:spacing w:after="0" w:line="240" w:lineRule="auto"/>
              <w:jc w:val="right"/>
              <w:rPr>
                <w:rFonts w:ascii="Calibri" w:eastAsia="Times New Roman" w:hAnsi="Calibri" w:cs="Calibri"/>
                <w:b/>
                <w:bCs/>
                <w:color w:val="000000"/>
                <w:sz w:val="16"/>
                <w:szCs w:val="16"/>
              </w:rPr>
            </w:pPr>
            <w:r>
              <w:rPr>
                <w:rFonts w:ascii="Calibri" w:eastAsia="Times New Roman" w:hAnsi="Calibri" w:cs="Calibri"/>
                <w:color w:val="000000"/>
                <w:sz w:val="16"/>
                <w:szCs w:val="16"/>
              </w:rPr>
              <w:t>(</w:t>
            </w:r>
            <w:r w:rsidR="00915D1B" w:rsidRPr="00915D1B">
              <w:rPr>
                <w:rFonts w:ascii="Calibri" w:eastAsia="Times New Roman" w:hAnsi="Calibri" w:cs="Calibri"/>
                <w:b/>
                <w:bCs/>
                <w:color w:val="000000"/>
                <w:sz w:val="16"/>
                <w:szCs w:val="16"/>
              </w:rPr>
              <w:t>1.075.335</w:t>
            </w:r>
            <w:r>
              <w:rPr>
                <w:rFonts w:ascii="Calibri" w:eastAsia="Times New Roman" w:hAnsi="Calibri" w:cs="Calibri"/>
                <w:color w:val="000000"/>
                <w:sz w:val="16"/>
                <w:szCs w:val="16"/>
              </w:rPr>
              <w:t>)</w:t>
            </w:r>
          </w:p>
        </w:tc>
        <w:tc>
          <w:tcPr>
            <w:tcW w:w="1134" w:type="dxa"/>
            <w:tcBorders>
              <w:top w:val="nil"/>
              <w:left w:val="nil"/>
              <w:bottom w:val="single" w:sz="8" w:space="0" w:color="auto"/>
              <w:right w:val="nil"/>
            </w:tcBorders>
            <w:shd w:val="clear" w:color="000000" w:fill="DEEAF6"/>
            <w:noWrap/>
            <w:vAlign w:val="center"/>
            <w:hideMark/>
          </w:tcPr>
          <w:p w14:paraId="367ED4F8" w14:textId="77777777" w:rsidR="00915D1B" w:rsidRPr="00915D1B" w:rsidRDefault="00915D1B" w:rsidP="00915D1B">
            <w:pPr>
              <w:spacing w:after="0" w:line="240" w:lineRule="auto"/>
              <w:jc w:val="right"/>
              <w:rPr>
                <w:rFonts w:ascii="Calibri" w:eastAsia="Times New Roman" w:hAnsi="Calibri" w:cs="Calibri"/>
                <w:b/>
                <w:bCs/>
                <w:color w:val="000000"/>
                <w:sz w:val="16"/>
                <w:szCs w:val="16"/>
              </w:rPr>
            </w:pPr>
            <w:r w:rsidRPr="00915D1B">
              <w:rPr>
                <w:rFonts w:ascii="Calibri" w:eastAsia="Times New Roman" w:hAnsi="Calibri" w:cs="Calibri"/>
                <w:b/>
                <w:bCs/>
                <w:color w:val="000000"/>
                <w:sz w:val="16"/>
                <w:szCs w:val="16"/>
              </w:rPr>
              <w:t>50.843.273</w:t>
            </w:r>
          </w:p>
        </w:tc>
      </w:tr>
      <w:tr w:rsidR="00915D1B" w:rsidRPr="00915D1B" w14:paraId="6C7E71EE" w14:textId="77777777" w:rsidTr="00B45DC0">
        <w:trPr>
          <w:trHeight w:val="227"/>
        </w:trPr>
        <w:tc>
          <w:tcPr>
            <w:tcW w:w="4178" w:type="dxa"/>
            <w:tcBorders>
              <w:top w:val="nil"/>
              <w:left w:val="nil"/>
              <w:bottom w:val="single" w:sz="8" w:space="0" w:color="auto"/>
              <w:right w:val="nil"/>
            </w:tcBorders>
            <w:shd w:val="clear" w:color="auto" w:fill="auto"/>
            <w:noWrap/>
            <w:vAlign w:val="center"/>
            <w:hideMark/>
          </w:tcPr>
          <w:p w14:paraId="7F735E2D"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Receita a Diferir – Passivo Circulante</w:t>
            </w:r>
          </w:p>
        </w:tc>
        <w:tc>
          <w:tcPr>
            <w:tcW w:w="1134" w:type="dxa"/>
            <w:tcBorders>
              <w:top w:val="nil"/>
              <w:left w:val="nil"/>
              <w:bottom w:val="single" w:sz="8" w:space="0" w:color="auto"/>
              <w:right w:val="nil"/>
            </w:tcBorders>
            <w:shd w:val="clear" w:color="auto" w:fill="auto"/>
            <w:noWrap/>
            <w:vAlign w:val="center"/>
            <w:hideMark/>
          </w:tcPr>
          <w:p w14:paraId="07F0DEA2"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3E99B11D"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4.119.960</w:t>
            </w:r>
          </w:p>
        </w:tc>
        <w:tc>
          <w:tcPr>
            <w:tcW w:w="1134" w:type="dxa"/>
            <w:tcBorders>
              <w:top w:val="nil"/>
              <w:left w:val="nil"/>
              <w:bottom w:val="single" w:sz="8" w:space="0" w:color="auto"/>
              <w:right w:val="nil"/>
            </w:tcBorders>
            <w:shd w:val="clear" w:color="auto" w:fill="auto"/>
            <w:noWrap/>
            <w:vAlign w:val="center"/>
            <w:hideMark/>
          </w:tcPr>
          <w:p w14:paraId="292C6B38"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281A1A56"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0C712AAA" w14:textId="5B28666E"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4.284.55</w:t>
            </w:r>
            <w:r w:rsidR="00E0671C">
              <w:rPr>
                <w:rFonts w:ascii="Calibri" w:eastAsia="Times New Roman" w:hAnsi="Calibri" w:cs="Calibri"/>
                <w:color w:val="000000"/>
                <w:sz w:val="16"/>
                <w:szCs w:val="16"/>
              </w:rPr>
              <w:t>8</w:t>
            </w:r>
          </w:p>
        </w:tc>
      </w:tr>
      <w:tr w:rsidR="00915D1B" w:rsidRPr="00915D1B" w14:paraId="1DA3BF61" w14:textId="77777777" w:rsidTr="00B45DC0">
        <w:trPr>
          <w:trHeight w:val="227"/>
        </w:trPr>
        <w:tc>
          <w:tcPr>
            <w:tcW w:w="4178" w:type="dxa"/>
            <w:tcBorders>
              <w:top w:val="nil"/>
              <w:left w:val="nil"/>
              <w:bottom w:val="single" w:sz="8" w:space="0" w:color="auto"/>
              <w:right w:val="nil"/>
            </w:tcBorders>
            <w:shd w:val="clear" w:color="auto" w:fill="auto"/>
            <w:noWrap/>
            <w:vAlign w:val="center"/>
            <w:hideMark/>
          </w:tcPr>
          <w:p w14:paraId="49E59DD0"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Receita a Diferir – Passivo Não Circulante</w:t>
            </w:r>
          </w:p>
        </w:tc>
        <w:tc>
          <w:tcPr>
            <w:tcW w:w="1134" w:type="dxa"/>
            <w:tcBorders>
              <w:top w:val="nil"/>
              <w:left w:val="nil"/>
              <w:bottom w:val="single" w:sz="8" w:space="0" w:color="auto"/>
              <w:right w:val="nil"/>
            </w:tcBorders>
            <w:shd w:val="clear" w:color="auto" w:fill="auto"/>
            <w:noWrap/>
            <w:vAlign w:val="center"/>
            <w:hideMark/>
          </w:tcPr>
          <w:p w14:paraId="08E41333" w14:textId="77777777" w:rsidR="00915D1B" w:rsidRPr="00915D1B" w:rsidRDefault="00915D1B" w:rsidP="00915D1B">
            <w:pPr>
              <w:spacing w:after="0" w:line="240" w:lineRule="auto"/>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30C14ED0"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45.415.969</w:t>
            </w:r>
          </w:p>
        </w:tc>
        <w:tc>
          <w:tcPr>
            <w:tcW w:w="1134" w:type="dxa"/>
            <w:tcBorders>
              <w:top w:val="nil"/>
              <w:left w:val="nil"/>
              <w:bottom w:val="single" w:sz="8" w:space="0" w:color="auto"/>
              <w:right w:val="nil"/>
            </w:tcBorders>
            <w:shd w:val="clear" w:color="auto" w:fill="auto"/>
            <w:noWrap/>
            <w:vAlign w:val="center"/>
            <w:hideMark/>
          </w:tcPr>
          <w:p w14:paraId="02F95FC0"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33DB0897" w14:textId="77777777"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74E55967" w14:textId="0530BB84" w:rsidR="00915D1B" w:rsidRPr="00915D1B" w:rsidRDefault="00915D1B" w:rsidP="00915D1B">
            <w:pPr>
              <w:spacing w:after="0" w:line="240" w:lineRule="auto"/>
              <w:jc w:val="right"/>
              <w:rPr>
                <w:rFonts w:ascii="Calibri" w:eastAsia="Times New Roman" w:hAnsi="Calibri" w:cs="Calibri"/>
                <w:color w:val="000000"/>
                <w:sz w:val="16"/>
                <w:szCs w:val="16"/>
              </w:rPr>
            </w:pPr>
            <w:r w:rsidRPr="00915D1B">
              <w:rPr>
                <w:rFonts w:ascii="Calibri" w:eastAsia="Times New Roman" w:hAnsi="Calibri" w:cs="Calibri"/>
                <w:color w:val="000000"/>
                <w:sz w:val="16"/>
                <w:szCs w:val="16"/>
              </w:rPr>
              <w:t>46.558.71</w:t>
            </w:r>
            <w:r w:rsidR="00E022AB">
              <w:rPr>
                <w:rFonts w:ascii="Calibri" w:eastAsia="Times New Roman" w:hAnsi="Calibri" w:cs="Calibri"/>
                <w:color w:val="000000"/>
                <w:sz w:val="16"/>
                <w:szCs w:val="16"/>
              </w:rPr>
              <w:t>5</w:t>
            </w:r>
          </w:p>
        </w:tc>
      </w:tr>
    </w:tbl>
    <w:p w14:paraId="701DAC4D" w14:textId="4555B506" w:rsidR="002C199F" w:rsidRDefault="00F9292D" w:rsidP="007A03F2">
      <w:pPr>
        <w:spacing w:before="120" w:after="0"/>
        <w:jc w:val="both"/>
        <w:rPr>
          <w:rFonts w:cs="Calibri"/>
          <w:sz w:val="20"/>
        </w:rPr>
      </w:pPr>
      <w:r w:rsidRPr="00F9292D">
        <w:rPr>
          <w:rFonts w:cstheme="minorHAnsi"/>
          <w:sz w:val="20"/>
        </w:rPr>
        <w:t xml:space="preserve">Além dos contratos acima evidenciados, a Infra S.A. possui o Termo de Permissão Especial de Uso nº 1/2020 firmado com a empresa ADM do Brasil Ltda., destinado ao acesso ao Polo de Cargas de Porto Franco/MA para operação de equipamentos de transbordo de graneis sólidos agrícolas e derivados, o prazo inicial da permissão é de 15 anos, prorrogável por igual período, sendo livre a revogação do instrumento. As receitas relativas ao referido Termo de Permissão são calculadas de acordo com a </w:t>
      </w:r>
      <w:r w:rsidRPr="00F9292D">
        <w:rPr>
          <w:rFonts w:cstheme="minorHAnsi"/>
          <w:sz w:val="20"/>
        </w:rPr>
        <w:lastRenderedPageBreak/>
        <w:t xml:space="preserve">movimentação realizada em cada período, sendo, portanto, variáveis. </w:t>
      </w:r>
      <w:r w:rsidR="002C199F">
        <w:rPr>
          <w:rFonts w:cs="Calibri"/>
          <w:sz w:val="20"/>
        </w:rPr>
        <w:t>Em 2024, a Infra S.A. recebeu R$ 91 mil no âmbito do referido contrato.</w:t>
      </w:r>
    </w:p>
    <w:p w14:paraId="3E16305B" w14:textId="77777777" w:rsidR="002C199F" w:rsidRPr="002C199F" w:rsidRDefault="002C199F" w:rsidP="002C199F">
      <w:pPr>
        <w:spacing w:after="0"/>
        <w:jc w:val="both"/>
        <w:rPr>
          <w:rFonts w:cs="Calibri"/>
          <w:sz w:val="20"/>
        </w:rPr>
      </w:pPr>
    </w:p>
    <w:p w14:paraId="182BA87E" w14:textId="2F4725AF" w:rsidR="00453BB9" w:rsidRPr="00D85639" w:rsidRDefault="00453BB9" w:rsidP="00D85639">
      <w:pPr>
        <w:pStyle w:val="Ttulo1"/>
      </w:pPr>
      <w:bookmarkStart w:id="61" w:name="_Toc184926688"/>
      <w:r w:rsidRPr="00211B7E">
        <w:t>1</w:t>
      </w:r>
      <w:r w:rsidR="001F54A0">
        <w:t>9</w:t>
      </w:r>
      <w:r w:rsidR="00285A37" w:rsidRPr="00211B7E">
        <w:t xml:space="preserve"> </w:t>
      </w:r>
      <w:r w:rsidR="004B6C8A" w:rsidRPr="00211B7E">
        <w:t>–</w:t>
      </w:r>
      <w:r w:rsidRPr="00211B7E">
        <w:t xml:space="preserve"> Receita </w:t>
      </w:r>
      <w:r w:rsidR="00B4406D" w:rsidRPr="00211B7E">
        <w:t>a</w:t>
      </w:r>
      <w:r w:rsidRPr="00211B7E">
        <w:t xml:space="preserve"> Diferir – Subconcessão </w:t>
      </w:r>
      <w:r w:rsidR="000048FC">
        <w:rPr>
          <w:rFonts w:cs="Calibri"/>
        </w:rPr>
        <w:t>–</w:t>
      </w:r>
      <w:r w:rsidRPr="00211B7E">
        <w:t xml:space="preserve"> FIOL I</w:t>
      </w:r>
      <w:bookmarkEnd w:id="61"/>
    </w:p>
    <w:p w14:paraId="45424984" w14:textId="77777777" w:rsidR="00000715" w:rsidRPr="00000715" w:rsidRDefault="00000715" w:rsidP="00000715">
      <w:pPr>
        <w:spacing w:before="120" w:line="240" w:lineRule="auto"/>
        <w:jc w:val="both"/>
        <w:rPr>
          <w:rFonts w:cstheme="minorHAnsi"/>
          <w:sz w:val="20"/>
        </w:rPr>
      </w:pPr>
      <w:r w:rsidRPr="00000715">
        <w:rPr>
          <w:rFonts w:cstheme="minorHAnsi"/>
          <w:sz w:val="20"/>
        </w:rPr>
        <w:t xml:space="preserve">O trecho da Ferrovia de Integração Oeste Leste, denominado FIOL I, compreendido entre os municípios de Ilhéus/BA e Caetité/BA foi </w:t>
      </w:r>
      <w:proofErr w:type="spellStart"/>
      <w:r w:rsidRPr="00000715">
        <w:rPr>
          <w:rFonts w:cstheme="minorHAnsi"/>
          <w:sz w:val="20"/>
        </w:rPr>
        <w:t>subconcedido</w:t>
      </w:r>
      <w:proofErr w:type="spellEnd"/>
      <w:r w:rsidRPr="00000715">
        <w:rPr>
          <w:rFonts w:cstheme="minorHAnsi"/>
          <w:sz w:val="20"/>
        </w:rPr>
        <w:t xml:space="preserve"> à Bahia Ferrovias S.A. pelo período de 35 anos. O Contrato foi assinado em 3 de setembro de 2021, no valor de R$ 32,7 milhões de reais. </w:t>
      </w:r>
    </w:p>
    <w:p w14:paraId="1B0B2EE3" w14:textId="77777777" w:rsidR="00000715" w:rsidRPr="00000715" w:rsidRDefault="00000715" w:rsidP="00000715">
      <w:pPr>
        <w:spacing w:before="120" w:line="240" w:lineRule="auto"/>
        <w:jc w:val="both"/>
        <w:rPr>
          <w:rFonts w:cstheme="minorHAnsi"/>
          <w:sz w:val="20"/>
        </w:rPr>
      </w:pPr>
      <w:r w:rsidRPr="00000715">
        <w:rPr>
          <w:rFonts w:cstheme="minorHAnsi"/>
          <w:sz w:val="20"/>
        </w:rPr>
        <w:t>Por ser um contrato de longo prazo, em atendimento ao regime de competência, o valor contratual foi registrado no passivo como Receita a Diferir – Subconcessão FIOL I e será diferido no resultado mensalmente pelo prazo contratual.</w:t>
      </w:r>
    </w:p>
    <w:p w14:paraId="0BBF7625" w14:textId="618A06A3" w:rsidR="00453BB9" w:rsidRPr="00D85639" w:rsidRDefault="00000715" w:rsidP="00000715">
      <w:pPr>
        <w:spacing w:before="120" w:line="240" w:lineRule="auto"/>
        <w:jc w:val="both"/>
        <w:rPr>
          <w:rFonts w:cstheme="minorHAnsi"/>
          <w:sz w:val="20"/>
        </w:rPr>
      </w:pPr>
      <w:r w:rsidRPr="00000715">
        <w:rPr>
          <w:rFonts w:cstheme="minorHAnsi"/>
          <w:sz w:val="20"/>
        </w:rPr>
        <w:t xml:space="preserve">No </w:t>
      </w:r>
      <w:r>
        <w:rPr>
          <w:rFonts w:cstheme="minorHAnsi"/>
          <w:sz w:val="20"/>
        </w:rPr>
        <w:t>primeiro trimestre de 2024</w:t>
      </w:r>
      <w:r w:rsidRPr="00000715">
        <w:rPr>
          <w:rFonts w:cstheme="minorHAnsi"/>
          <w:sz w:val="20"/>
        </w:rPr>
        <w:t>, as contas de Receita a Diferir – Subconcessão FIOL I,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5720"/>
        <w:gridCol w:w="1186"/>
        <w:gridCol w:w="1187"/>
        <w:gridCol w:w="1187"/>
        <w:gridCol w:w="1187"/>
      </w:tblGrid>
      <w:tr w:rsidR="003A4412" w:rsidRPr="00F74AE2" w14:paraId="390176D6" w14:textId="77777777" w:rsidTr="00461443">
        <w:trPr>
          <w:trHeight w:val="227"/>
        </w:trPr>
        <w:tc>
          <w:tcPr>
            <w:tcW w:w="5467" w:type="dxa"/>
            <w:tcBorders>
              <w:top w:val="nil"/>
              <w:left w:val="nil"/>
              <w:bottom w:val="single" w:sz="8" w:space="0" w:color="auto"/>
              <w:right w:val="nil"/>
            </w:tcBorders>
            <w:shd w:val="clear" w:color="000000" w:fill="DEEAF6"/>
            <w:vAlign w:val="center"/>
            <w:hideMark/>
          </w:tcPr>
          <w:p w14:paraId="477F9C35" w14:textId="2CDD86A9" w:rsidR="003A4412" w:rsidRPr="00F74AE2" w:rsidRDefault="003A441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Saldo de </w:t>
            </w:r>
            <w:r>
              <w:rPr>
                <w:rFonts w:ascii="Calibri" w:eastAsia="Times New Roman" w:hAnsi="Calibri" w:cs="Calibri"/>
                <w:b/>
                <w:bCs/>
                <w:color w:val="000000"/>
                <w:sz w:val="16"/>
                <w:szCs w:val="16"/>
              </w:rPr>
              <w:t>R</w:t>
            </w:r>
            <w:r w:rsidRPr="00F74AE2">
              <w:rPr>
                <w:rFonts w:ascii="Calibri" w:eastAsia="Times New Roman" w:hAnsi="Calibri" w:cs="Calibri"/>
                <w:b/>
                <w:bCs/>
                <w:color w:val="000000"/>
                <w:sz w:val="16"/>
                <w:szCs w:val="16"/>
              </w:rPr>
              <w:t xml:space="preserve">eceita a </w:t>
            </w:r>
            <w:r>
              <w:rPr>
                <w:rFonts w:ascii="Calibri" w:eastAsia="Times New Roman" w:hAnsi="Calibri" w:cs="Calibri"/>
                <w:b/>
                <w:bCs/>
                <w:color w:val="000000"/>
                <w:sz w:val="16"/>
                <w:szCs w:val="16"/>
              </w:rPr>
              <w:t>D</w:t>
            </w:r>
            <w:r w:rsidRPr="00F74AE2">
              <w:rPr>
                <w:rFonts w:ascii="Calibri" w:eastAsia="Times New Roman" w:hAnsi="Calibri" w:cs="Calibri"/>
                <w:b/>
                <w:bCs/>
                <w:color w:val="000000"/>
                <w:sz w:val="16"/>
                <w:szCs w:val="16"/>
              </w:rPr>
              <w:t xml:space="preserve">iferir por </w:t>
            </w:r>
            <w:r>
              <w:rPr>
                <w:rFonts w:ascii="Calibri" w:eastAsia="Times New Roman" w:hAnsi="Calibri" w:cs="Calibri"/>
                <w:b/>
                <w:bCs/>
                <w:color w:val="000000"/>
                <w:sz w:val="16"/>
                <w:szCs w:val="16"/>
              </w:rPr>
              <w:t>C</w:t>
            </w:r>
            <w:r w:rsidRPr="00F74AE2">
              <w:rPr>
                <w:rFonts w:ascii="Calibri" w:eastAsia="Times New Roman" w:hAnsi="Calibri" w:cs="Calibri"/>
                <w:b/>
                <w:bCs/>
                <w:color w:val="000000"/>
                <w:sz w:val="16"/>
                <w:szCs w:val="16"/>
              </w:rPr>
              <w:t>ontratos</w:t>
            </w:r>
          </w:p>
        </w:tc>
        <w:tc>
          <w:tcPr>
            <w:tcW w:w="1134" w:type="dxa"/>
            <w:tcBorders>
              <w:top w:val="nil"/>
              <w:left w:val="nil"/>
              <w:bottom w:val="single" w:sz="8" w:space="0" w:color="auto"/>
              <w:right w:val="nil"/>
            </w:tcBorders>
            <w:shd w:val="clear" w:color="000000" w:fill="DEEAF6"/>
            <w:vAlign w:val="center"/>
            <w:hideMark/>
          </w:tcPr>
          <w:p w14:paraId="059865CA" w14:textId="6108AF48" w:rsidR="003A4412" w:rsidRPr="00F74AE2" w:rsidRDefault="003A441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Prazo a </w:t>
            </w:r>
            <w:r>
              <w:rPr>
                <w:rFonts w:ascii="Calibri" w:eastAsia="Times New Roman" w:hAnsi="Calibri" w:cs="Calibri"/>
                <w:b/>
                <w:bCs/>
                <w:color w:val="000000"/>
                <w:sz w:val="16"/>
                <w:szCs w:val="16"/>
              </w:rPr>
              <w:t>D</w:t>
            </w:r>
            <w:r w:rsidRPr="00F74AE2">
              <w:rPr>
                <w:rFonts w:ascii="Calibri" w:eastAsia="Times New Roman" w:hAnsi="Calibri" w:cs="Calibri"/>
                <w:b/>
                <w:bCs/>
                <w:color w:val="000000"/>
                <w:sz w:val="16"/>
                <w:szCs w:val="16"/>
              </w:rPr>
              <w:t>iferir (meses)</w:t>
            </w:r>
          </w:p>
        </w:tc>
        <w:tc>
          <w:tcPr>
            <w:tcW w:w="1134" w:type="dxa"/>
            <w:tcBorders>
              <w:top w:val="nil"/>
              <w:left w:val="nil"/>
              <w:bottom w:val="single" w:sz="8" w:space="0" w:color="auto"/>
              <w:right w:val="nil"/>
            </w:tcBorders>
            <w:shd w:val="clear" w:color="000000" w:fill="DEEAF6"/>
            <w:vAlign w:val="center"/>
            <w:hideMark/>
          </w:tcPr>
          <w:p w14:paraId="4285A344" w14:textId="7D3261D9" w:rsidR="003A4412" w:rsidRPr="00F74AE2" w:rsidRDefault="003A4412" w:rsidP="005A30A6">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Total do </w:t>
            </w:r>
            <w:r>
              <w:rPr>
                <w:rFonts w:ascii="Calibri" w:eastAsia="Times New Roman" w:hAnsi="Calibri" w:cs="Calibri"/>
                <w:b/>
                <w:bCs/>
                <w:color w:val="000000"/>
                <w:sz w:val="16"/>
                <w:szCs w:val="16"/>
              </w:rPr>
              <w:t>P</w:t>
            </w:r>
            <w:r w:rsidRPr="00F74AE2">
              <w:rPr>
                <w:rFonts w:ascii="Calibri" w:eastAsia="Times New Roman" w:hAnsi="Calibri" w:cs="Calibri"/>
                <w:b/>
                <w:bCs/>
                <w:color w:val="000000"/>
                <w:sz w:val="16"/>
                <w:szCs w:val="16"/>
              </w:rPr>
              <w:t>assivo 31/12/202</w:t>
            </w:r>
            <w:r>
              <w:rPr>
                <w:rFonts w:ascii="Calibri" w:eastAsia="Times New Roman" w:hAnsi="Calibri" w:cs="Calibri"/>
                <w:b/>
                <w:bCs/>
                <w:color w:val="000000"/>
                <w:sz w:val="16"/>
                <w:szCs w:val="16"/>
              </w:rPr>
              <w:t>3</w:t>
            </w:r>
          </w:p>
        </w:tc>
        <w:tc>
          <w:tcPr>
            <w:tcW w:w="1134" w:type="dxa"/>
            <w:tcBorders>
              <w:top w:val="nil"/>
              <w:left w:val="nil"/>
              <w:bottom w:val="single" w:sz="8" w:space="0" w:color="auto"/>
              <w:right w:val="nil"/>
            </w:tcBorders>
            <w:shd w:val="clear" w:color="000000" w:fill="DEEAF6"/>
            <w:vAlign w:val="center"/>
            <w:hideMark/>
          </w:tcPr>
          <w:p w14:paraId="1BD539FA" w14:textId="3C4801B7" w:rsidR="003A4412" w:rsidRPr="00F74AE2" w:rsidRDefault="003A4412" w:rsidP="005A30A6">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Apropriação em </w:t>
            </w:r>
            <w:r>
              <w:rPr>
                <w:rFonts w:ascii="Calibri" w:eastAsia="Times New Roman" w:hAnsi="Calibri" w:cs="Calibri"/>
                <w:b/>
                <w:bCs/>
                <w:color w:val="000000"/>
                <w:sz w:val="16"/>
                <w:szCs w:val="16"/>
              </w:rPr>
              <w:t>R</w:t>
            </w:r>
            <w:r w:rsidRPr="00F74AE2">
              <w:rPr>
                <w:rFonts w:ascii="Calibri" w:eastAsia="Times New Roman" w:hAnsi="Calibri" w:cs="Calibri"/>
                <w:b/>
                <w:bCs/>
                <w:color w:val="000000"/>
                <w:sz w:val="16"/>
                <w:szCs w:val="16"/>
              </w:rPr>
              <w:t>esultado</w:t>
            </w:r>
          </w:p>
        </w:tc>
        <w:tc>
          <w:tcPr>
            <w:tcW w:w="1134" w:type="dxa"/>
            <w:tcBorders>
              <w:top w:val="nil"/>
              <w:left w:val="nil"/>
              <w:bottom w:val="single" w:sz="8" w:space="0" w:color="auto"/>
              <w:right w:val="nil"/>
            </w:tcBorders>
            <w:shd w:val="clear" w:color="000000" w:fill="DEEAF6"/>
            <w:vAlign w:val="center"/>
            <w:hideMark/>
          </w:tcPr>
          <w:p w14:paraId="3D95DB0E" w14:textId="20C6F7EC" w:rsidR="003A4412" w:rsidRPr="00F74AE2" w:rsidRDefault="003A4412" w:rsidP="005A30A6">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Total do </w:t>
            </w:r>
            <w:r>
              <w:rPr>
                <w:rFonts w:ascii="Calibri" w:eastAsia="Times New Roman" w:hAnsi="Calibri" w:cs="Calibri"/>
                <w:b/>
                <w:bCs/>
                <w:color w:val="000000"/>
                <w:sz w:val="16"/>
                <w:szCs w:val="16"/>
              </w:rPr>
              <w:t>P</w:t>
            </w:r>
            <w:r w:rsidRPr="00F74AE2">
              <w:rPr>
                <w:rFonts w:ascii="Calibri" w:eastAsia="Times New Roman" w:hAnsi="Calibri" w:cs="Calibri"/>
                <w:b/>
                <w:bCs/>
                <w:color w:val="000000"/>
                <w:sz w:val="16"/>
                <w:szCs w:val="16"/>
              </w:rPr>
              <w:t>assivo 3</w:t>
            </w:r>
            <w:r>
              <w:rPr>
                <w:rFonts w:ascii="Calibri" w:eastAsia="Times New Roman" w:hAnsi="Calibri" w:cs="Calibri"/>
                <w:b/>
                <w:bCs/>
                <w:color w:val="000000"/>
                <w:sz w:val="16"/>
                <w:szCs w:val="16"/>
              </w:rPr>
              <w:t>1</w:t>
            </w:r>
            <w:r w:rsidRPr="00F74AE2">
              <w:rPr>
                <w:rFonts w:ascii="Calibri" w:eastAsia="Times New Roman" w:hAnsi="Calibri" w:cs="Calibri"/>
                <w:b/>
                <w:bCs/>
                <w:color w:val="000000"/>
                <w:sz w:val="16"/>
                <w:szCs w:val="16"/>
              </w:rPr>
              <w:t>/</w:t>
            </w:r>
            <w:r>
              <w:rPr>
                <w:rFonts w:ascii="Calibri" w:eastAsia="Times New Roman" w:hAnsi="Calibri" w:cs="Calibri"/>
                <w:b/>
                <w:bCs/>
                <w:color w:val="000000"/>
                <w:sz w:val="16"/>
                <w:szCs w:val="16"/>
              </w:rPr>
              <w:t>03</w:t>
            </w:r>
            <w:r w:rsidRPr="00F74AE2">
              <w:rPr>
                <w:rFonts w:ascii="Calibri" w:eastAsia="Times New Roman" w:hAnsi="Calibri" w:cs="Calibri"/>
                <w:b/>
                <w:bCs/>
                <w:color w:val="000000"/>
                <w:sz w:val="16"/>
                <w:szCs w:val="16"/>
              </w:rPr>
              <w:t>/202</w:t>
            </w:r>
            <w:r>
              <w:rPr>
                <w:rFonts w:ascii="Calibri" w:eastAsia="Times New Roman" w:hAnsi="Calibri" w:cs="Calibri"/>
                <w:b/>
                <w:bCs/>
                <w:color w:val="000000"/>
                <w:sz w:val="16"/>
                <w:szCs w:val="16"/>
              </w:rPr>
              <w:t>4</w:t>
            </w:r>
          </w:p>
        </w:tc>
      </w:tr>
      <w:tr w:rsidR="003A4412" w:rsidRPr="00F74AE2" w14:paraId="72DE6A1E" w14:textId="77777777" w:rsidTr="00461443">
        <w:trPr>
          <w:trHeight w:val="227"/>
        </w:trPr>
        <w:tc>
          <w:tcPr>
            <w:tcW w:w="5467" w:type="dxa"/>
            <w:tcBorders>
              <w:top w:val="single" w:sz="8" w:space="0" w:color="auto"/>
              <w:left w:val="nil"/>
              <w:bottom w:val="single" w:sz="8" w:space="0" w:color="auto"/>
              <w:right w:val="nil"/>
            </w:tcBorders>
            <w:shd w:val="clear" w:color="auto" w:fill="auto"/>
            <w:noWrap/>
            <w:vAlign w:val="center"/>
            <w:hideMark/>
          </w:tcPr>
          <w:p w14:paraId="0838C5EA" w14:textId="7323EDFC" w:rsidR="003A4412" w:rsidRPr="00F74AE2" w:rsidRDefault="003A4412" w:rsidP="00C56436">
            <w:pPr>
              <w:spacing w:after="0" w:line="240" w:lineRule="auto"/>
              <w:rPr>
                <w:rFonts w:ascii="Calibri" w:eastAsia="Times New Roman" w:hAnsi="Calibri" w:cs="Calibri"/>
                <w:color w:val="000000"/>
                <w:sz w:val="16"/>
                <w:szCs w:val="16"/>
              </w:rPr>
            </w:pPr>
            <w:r w:rsidRPr="00F74AE2">
              <w:rPr>
                <w:rFonts w:ascii="Calibri" w:eastAsia="Times New Roman" w:hAnsi="Calibri" w:cs="Calibri"/>
                <w:color w:val="000000"/>
                <w:sz w:val="16"/>
                <w:szCs w:val="16"/>
              </w:rPr>
              <w:t>Subconcessão FIOL Edital n</w:t>
            </w:r>
            <w:r>
              <w:rPr>
                <w:rFonts w:ascii="Calibri" w:eastAsia="Times New Roman" w:hAnsi="Calibri" w:cs="Calibri"/>
                <w:color w:val="000000"/>
                <w:sz w:val="16"/>
                <w:szCs w:val="16"/>
              </w:rPr>
              <w:t>°</w:t>
            </w:r>
            <w:r w:rsidRPr="00F74AE2">
              <w:rPr>
                <w:rFonts w:ascii="Calibri" w:eastAsia="Times New Roman" w:hAnsi="Calibri" w:cs="Calibri"/>
                <w:color w:val="000000"/>
                <w:sz w:val="16"/>
                <w:szCs w:val="16"/>
              </w:rPr>
              <w:t xml:space="preserve"> 01/2020 - Bahia Ferrovias</w:t>
            </w:r>
          </w:p>
        </w:tc>
        <w:tc>
          <w:tcPr>
            <w:tcW w:w="1134" w:type="dxa"/>
            <w:tcBorders>
              <w:top w:val="single" w:sz="8" w:space="0" w:color="auto"/>
              <w:left w:val="nil"/>
              <w:bottom w:val="single" w:sz="8" w:space="0" w:color="auto"/>
              <w:right w:val="nil"/>
            </w:tcBorders>
            <w:shd w:val="clear" w:color="auto" w:fill="auto"/>
            <w:noWrap/>
            <w:vAlign w:val="center"/>
            <w:hideMark/>
          </w:tcPr>
          <w:p w14:paraId="050D5124" w14:textId="1980A505" w:rsidR="003A4412" w:rsidRPr="00F74AE2" w:rsidRDefault="003A4412" w:rsidP="00C56436">
            <w:pPr>
              <w:spacing w:after="0" w:line="240" w:lineRule="auto"/>
              <w:jc w:val="center"/>
              <w:rPr>
                <w:rFonts w:ascii="Calibri" w:eastAsia="Times New Roman" w:hAnsi="Calibri" w:cs="Calibri"/>
                <w:color w:val="000000"/>
                <w:sz w:val="16"/>
                <w:szCs w:val="16"/>
              </w:rPr>
            </w:pPr>
            <w:r w:rsidRPr="00F74AE2">
              <w:rPr>
                <w:rFonts w:ascii="Calibri" w:eastAsia="Times New Roman" w:hAnsi="Calibri" w:cs="Calibri"/>
                <w:color w:val="000000"/>
                <w:sz w:val="16"/>
                <w:szCs w:val="16"/>
              </w:rPr>
              <w:t>39</w:t>
            </w:r>
            <w:r>
              <w:rPr>
                <w:rFonts w:ascii="Calibri" w:eastAsia="Times New Roman" w:hAnsi="Calibri" w:cs="Calibri"/>
                <w:color w:val="000000"/>
                <w:sz w:val="16"/>
                <w:szCs w:val="16"/>
              </w:rPr>
              <w:t>0</w:t>
            </w:r>
          </w:p>
        </w:tc>
        <w:tc>
          <w:tcPr>
            <w:tcW w:w="1134" w:type="dxa"/>
            <w:tcBorders>
              <w:top w:val="single" w:sz="8" w:space="0" w:color="auto"/>
              <w:left w:val="nil"/>
              <w:bottom w:val="single" w:sz="8" w:space="0" w:color="auto"/>
              <w:right w:val="nil"/>
            </w:tcBorders>
            <w:shd w:val="clear" w:color="auto" w:fill="auto"/>
            <w:noWrap/>
            <w:vAlign w:val="center"/>
            <w:hideMark/>
          </w:tcPr>
          <w:p w14:paraId="6AEE8F38" w14:textId="31EAA6A8" w:rsidR="003A4412" w:rsidRPr="00F74AE2" w:rsidRDefault="003A4412" w:rsidP="005A30A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30.</w:t>
            </w:r>
            <w:r w:rsidRPr="006B2213">
              <w:rPr>
                <w:rFonts w:ascii="Calibri" w:eastAsia="Times New Roman" w:hAnsi="Calibri" w:cs="Calibri"/>
                <w:color w:val="000000"/>
                <w:sz w:val="16"/>
                <w:szCs w:val="16"/>
              </w:rPr>
              <w:t>625.929</w:t>
            </w:r>
          </w:p>
        </w:tc>
        <w:tc>
          <w:tcPr>
            <w:tcW w:w="1134" w:type="dxa"/>
            <w:tcBorders>
              <w:top w:val="single" w:sz="8" w:space="0" w:color="auto"/>
              <w:left w:val="nil"/>
              <w:bottom w:val="single" w:sz="8" w:space="0" w:color="auto"/>
              <w:right w:val="nil"/>
            </w:tcBorders>
            <w:shd w:val="clear" w:color="auto" w:fill="auto"/>
            <w:noWrap/>
            <w:vAlign w:val="center"/>
            <w:hideMark/>
          </w:tcPr>
          <w:p w14:paraId="5CF93993" w14:textId="7D481481" w:rsidR="003A4412" w:rsidRPr="00F74AE2" w:rsidRDefault="003A4412" w:rsidP="005A30A6">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w:t>
            </w:r>
            <w:r w:rsidR="00FC0234">
              <w:rPr>
                <w:rFonts w:ascii="Calibri" w:eastAsia="Times New Roman" w:hAnsi="Calibri" w:cs="Calibri"/>
                <w:color w:val="000000"/>
                <w:sz w:val="16"/>
                <w:szCs w:val="16"/>
              </w:rPr>
              <w:t>233.786</w:t>
            </w:r>
            <w:r w:rsidRPr="00F74AE2">
              <w:rPr>
                <w:rFonts w:ascii="Calibri" w:eastAsia="Times New Roman" w:hAnsi="Calibri" w:cs="Calibri"/>
                <w:color w:val="000000"/>
                <w:sz w:val="16"/>
                <w:szCs w:val="16"/>
              </w:rPr>
              <w:t>)</w:t>
            </w:r>
          </w:p>
        </w:tc>
        <w:tc>
          <w:tcPr>
            <w:tcW w:w="1134" w:type="dxa"/>
            <w:tcBorders>
              <w:top w:val="single" w:sz="8" w:space="0" w:color="auto"/>
              <w:left w:val="nil"/>
              <w:bottom w:val="single" w:sz="8" w:space="0" w:color="auto"/>
              <w:right w:val="nil"/>
            </w:tcBorders>
            <w:shd w:val="clear" w:color="auto" w:fill="auto"/>
            <w:noWrap/>
            <w:vAlign w:val="center"/>
            <w:hideMark/>
          </w:tcPr>
          <w:p w14:paraId="2AAE1167" w14:textId="47436D6E" w:rsidR="003A4412" w:rsidRPr="00F74AE2" w:rsidRDefault="003A4412" w:rsidP="005A30A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30.</w:t>
            </w:r>
            <w:r w:rsidR="00F62F48">
              <w:rPr>
                <w:rFonts w:ascii="Calibri" w:eastAsia="Times New Roman" w:hAnsi="Calibri" w:cs="Calibri"/>
                <w:color w:val="000000"/>
                <w:sz w:val="16"/>
                <w:szCs w:val="16"/>
              </w:rPr>
              <w:t>392</w:t>
            </w:r>
            <w:r w:rsidRPr="006B2213">
              <w:rPr>
                <w:rFonts w:ascii="Calibri" w:eastAsia="Times New Roman" w:hAnsi="Calibri" w:cs="Calibri"/>
                <w:color w:val="000000"/>
                <w:sz w:val="16"/>
                <w:szCs w:val="16"/>
              </w:rPr>
              <w:t>.</w:t>
            </w:r>
            <w:r w:rsidR="00F62F48">
              <w:rPr>
                <w:rFonts w:ascii="Calibri" w:eastAsia="Times New Roman" w:hAnsi="Calibri" w:cs="Calibri"/>
                <w:color w:val="000000"/>
                <w:sz w:val="16"/>
                <w:szCs w:val="16"/>
              </w:rPr>
              <w:t>143</w:t>
            </w:r>
          </w:p>
        </w:tc>
      </w:tr>
      <w:tr w:rsidR="003A4412" w:rsidRPr="00F74AE2" w14:paraId="07D81A8D" w14:textId="77777777" w:rsidTr="00461443">
        <w:trPr>
          <w:trHeight w:val="227"/>
        </w:trPr>
        <w:tc>
          <w:tcPr>
            <w:tcW w:w="5467" w:type="dxa"/>
            <w:tcBorders>
              <w:top w:val="single" w:sz="8" w:space="0" w:color="auto"/>
              <w:left w:val="nil"/>
              <w:bottom w:val="single" w:sz="4" w:space="0" w:color="auto"/>
              <w:right w:val="nil"/>
            </w:tcBorders>
            <w:shd w:val="clear" w:color="000000" w:fill="DEEAF6"/>
            <w:noWrap/>
            <w:vAlign w:val="center"/>
            <w:hideMark/>
          </w:tcPr>
          <w:p w14:paraId="5999E899" w14:textId="77777777" w:rsidR="003A4412" w:rsidRPr="00F74AE2" w:rsidRDefault="003A4412" w:rsidP="00C56436">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Total </w:t>
            </w:r>
          </w:p>
        </w:tc>
        <w:tc>
          <w:tcPr>
            <w:tcW w:w="1134" w:type="dxa"/>
            <w:tcBorders>
              <w:top w:val="single" w:sz="8" w:space="0" w:color="auto"/>
              <w:left w:val="nil"/>
              <w:bottom w:val="single" w:sz="4" w:space="0" w:color="auto"/>
              <w:right w:val="nil"/>
            </w:tcBorders>
            <w:shd w:val="clear" w:color="000000" w:fill="DEEAF6"/>
            <w:noWrap/>
            <w:vAlign w:val="center"/>
            <w:hideMark/>
          </w:tcPr>
          <w:p w14:paraId="007D1E69" w14:textId="4144BA3B" w:rsidR="003A4412" w:rsidRPr="00F74AE2" w:rsidRDefault="003A4412" w:rsidP="00C56436">
            <w:pPr>
              <w:spacing w:after="0" w:line="240" w:lineRule="auto"/>
              <w:rPr>
                <w:rFonts w:ascii="Calibri" w:eastAsia="Times New Roman" w:hAnsi="Calibri" w:cs="Calibri"/>
                <w:b/>
                <w:bCs/>
                <w:color w:val="000000"/>
                <w:sz w:val="16"/>
                <w:szCs w:val="16"/>
              </w:rPr>
            </w:pPr>
          </w:p>
        </w:tc>
        <w:tc>
          <w:tcPr>
            <w:tcW w:w="1134" w:type="dxa"/>
            <w:tcBorders>
              <w:top w:val="single" w:sz="8" w:space="0" w:color="auto"/>
              <w:left w:val="nil"/>
              <w:bottom w:val="single" w:sz="4" w:space="0" w:color="auto"/>
              <w:right w:val="nil"/>
            </w:tcBorders>
            <w:shd w:val="clear" w:color="000000" w:fill="DEEAF6"/>
            <w:noWrap/>
            <w:vAlign w:val="center"/>
            <w:hideMark/>
          </w:tcPr>
          <w:p w14:paraId="5B045A0A" w14:textId="63FA88B3" w:rsidR="003A4412" w:rsidRPr="00F74AE2" w:rsidRDefault="003A4412" w:rsidP="005A30A6">
            <w:pPr>
              <w:spacing w:after="0" w:line="240" w:lineRule="auto"/>
              <w:jc w:val="right"/>
              <w:rPr>
                <w:rFonts w:ascii="Calibri" w:eastAsia="Times New Roman" w:hAnsi="Calibri" w:cs="Calibri"/>
                <w:b/>
                <w:bCs/>
                <w:color w:val="000000"/>
                <w:sz w:val="16"/>
                <w:szCs w:val="16"/>
              </w:rPr>
            </w:pPr>
            <w:r w:rsidRPr="006B2213">
              <w:rPr>
                <w:rFonts w:ascii="Calibri" w:eastAsia="Times New Roman" w:hAnsi="Calibri" w:cs="Calibri"/>
                <w:b/>
                <w:bCs/>
                <w:color w:val="000000"/>
                <w:sz w:val="16"/>
                <w:szCs w:val="16"/>
              </w:rPr>
              <w:t>30.625.929</w:t>
            </w:r>
          </w:p>
        </w:tc>
        <w:tc>
          <w:tcPr>
            <w:tcW w:w="1134" w:type="dxa"/>
            <w:tcBorders>
              <w:top w:val="single" w:sz="8" w:space="0" w:color="auto"/>
              <w:left w:val="nil"/>
              <w:bottom w:val="single" w:sz="4" w:space="0" w:color="auto"/>
              <w:right w:val="nil"/>
            </w:tcBorders>
            <w:shd w:val="clear" w:color="000000" w:fill="DEEAF6"/>
            <w:noWrap/>
            <w:vAlign w:val="center"/>
            <w:hideMark/>
          </w:tcPr>
          <w:p w14:paraId="50FF1ECE" w14:textId="77AB1D6A" w:rsidR="003A4412" w:rsidRPr="00F74AE2" w:rsidRDefault="003A4412" w:rsidP="005A30A6">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w:t>
            </w:r>
            <w:r w:rsidR="00FC0234">
              <w:rPr>
                <w:rFonts w:ascii="Calibri" w:eastAsia="Times New Roman" w:hAnsi="Calibri" w:cs="Calibri"/>
                <w:b/>
                <w:bCs/>
                <w:color w:val="000000"/>
                <w:sz w:val="16"/>
                <w:szCs w:val="16"/>
              </w:rPr>
              <w:t>233.786</w:t>
            </w:r>
            <w:r w:rsidRPr="00F74AE2">
              <w:rPr>
                <w:rFonts w:ascii="Calibri" w:eastAsia="Times New Roman" w:hAnsi="Calibri" w:cs="Calibri"/>
                <w:b/>
                <w:bCs/>
                <w:color w:val="000000"/>
                <w:sz w:val="16"/>
                <w:szCs w:val="16"/>
              </w:rPr>
              <w:t>)</w:t>
            </w:r>
          </w:p>
        </w:tc>
        <w:tc>
          <w:tcPr>
            <w:tcW w:w="1134" w:type="dxa"/>
            <w:tcBorders>
              <w:top w:val="single" w:sz="8" w:space="0" w:color="auto"/>
              <w:left w:val="nil"/>
              <w:bottom w:val="single" w:sz="4" w:space="0" w:color="auto"/>
              <w:right w:val="nil"/>
            </w:tcBorders>
            <w:shd w:val="clear" w:color="000000" w:fill="DEEAF6"/>
            <w:noWrap/>
            <w:vAlign w:val="center"/>
            <w:hideMark/>
          </w:tcPr>
          <w:p w14:paraId="4A8267E2" w14:textId="07E4BC45" w:rsidR="003A4412" w:rsidRPr="00F74AE2" w:rsidRDefault="003A4412" w:rsidP="005A30A6">
            <w:pPr>
              <w:spacing w:after="0" w:line="240" w:lineRule="auto"/>
              <w:jc w:val="right"/>
              <w:rPr>
                <w:rFonts w:ascii="Calibri" w:eastAsia="Times New Roman" w:hAnsi="Calibri" w:cs="Calibri"/>
                <w:b/>
                <w:bCs/>
                <w:color w:val="000000"/>
                <w:sz w:val="16"/>
                <w:szCs w:val="16"/>
              </w:rPr>
            </w:pPr>
            <w:r w:rsidRPr="006B2213">
              <w:rPr>
                <w:rFonts w:ascii="Calibri" w:eastAsia="Times New Roman" w:hAnsi="Calibri" w:cs="Calibri"/>
                <w:b/>
                <w:bCs/>
                <w:color w:val="000000"/>
                <w:sz w:val="16"/>
                <w:szCs w:val="16"/>
              </w:rPr>
              <w:t>30.</w:t>
            </w:r>
            <w:r w:rsidR="00F62F48">
              <w:rPr>
                <w:rFonts w:ascii="Calibri" w:eastAsia="Times New Roman" w:hAnsi="Calibri" w:cs="Calibri"/>
                <w:b/>
                <w:bCs/>
                <w:color w:val="000000"/>
                <w:sz w:val="16"/>
                <w:szCs w:val="16"/>
              </w:rPr>
              <w:t>392</w:t>
            </w:r>
            <w:r w:rsidRPr="006B2213">
              <w:rPr>
                <w:rFonts w:ascii="Calibri" w:eastAsia="Times New Roman" w:hAnsi="Calibri" w:cs="Calibri"/>
                <w:b/>
                <w:bCs/>
                <w:color w:val="000000"/>
                <w:sz w:val="16"/>
                <w:szCs w:val="16"/>
              </w:rPr>
              <w:t>.</w:t>
            </w:r>
            <w:r w:rsidR="00F62F48">
              <w:rPr>
                <w:rFonts w:ascii="Calibri" w:eastAsia="Times New Roman" w:hAnsi="Calibri" w:cs="Calibri"/>
                <w:b/>
                <w:bCs/>
                <w:color w:val="000000"/>
                <w:sz w:val="16"/>
                <w:szCs w:val="16"/>
              </w:rPr>
              <w:t>143</w:t>
            </w:r>
          </w:p>
        </w:tc>
      </w:tr>
      <w:tr w:rsidR="003A4412" w:rsidRPr="00F74AE2" w14:paraId="5903BC90" w14:textId="77777777" w:rsidTr="00461443">
        <w:trPr>
          <w:trHeight w:val="227"/>
        </w:trPr>
        <w:tc>
          <w:tcPr>
            <w:tcW w:w="5467" w:type="dxa"/>
            <w:tcBorders>
              <w:top w:val="single" w:sz="4" w:space="0" w:color="auto"/>
              <w:left w:val="nil"/>
              <w:bottom w:val="single" w:sz="4" w:space="0" w:color="auto"/>
              <w:right w:val="nil"/>
            </w:tcBorders>
            <w:shd w:val="clear" w:color="auto" w:fill="auto"/>
            <w:noWrap/>
            <w:vAlign w:val="center"/>
          </w:tcPr>
          <w:p w14:paraId="382C3910" w14:textId="7FCECA42" w:rsidR="003A4412" w:rsidRPr="00FB354A" w:rsidRDefault="003A4412" w:rsidP="00C56436">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Circulante</w:t>
            </w:r>
          </w:p>
        </w:tc>
        <w:tc>
          <w:tcPr>
            <w:tcW w:w="1134" w:type="dxa"/>
            <w:tcBorders>
              <w:top w:val="single" w:sz="4" w:space="0" w:color="auto"/>
              <w:left w:val="nil"/>
              <w:bottom w:val="single" w:sz="4" w:space="0" w:color="auto"/>
              <w:right w:val="nil"/>
            </w:tcBorders>
            <w:shd w:val="clear" w:color="auto" w:fill="auto"/>
            <w:noWrap/>
            <w:vAlign w:val="center"/>
          </w:tcPr>
          <w:p w14:paraId="1395DBC7" w14:textId="77777777" w:rsidR="003A4412" w:rsidRPr="00FB354A" w:rsidRDefault="003A4412" w:rsidP="00C56436">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771D2746" w14:textId="4DF6AF62" w:rsidR="003A4412" w:rsidRPr="00FB354A" w:rsidRDefault="003A4412" w:rsidP="00C56436">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935.143</w:t>
            </w:r>
          </w:p>
        </w:tc>
        <w:tc>
          <w:tcPr>
            <w:tcW w:w="1134" w:type="dxa"/>
            <w:tcBorders>
              <w:top w:val="single" w:sz="4" w:space="0" w:color="auto"/>
              <w:left w:val="nil"/>
              <w:bottom w:val="single" w:sz="4" w:space="0" w:color="auto"/>
              <w:right w:val="nil"/>
            </w:tcBorders>
            <w:shd w:val="clear" w:color="auto" w:fill="auto"/>
            <w:noWrap/>
            <w:vAlign w:val="center"/>
          </w:tcPr>
          <w:p w14:paraId="34789B4C" w14:textId="77777777" w:rsidR="003A4412" w:rsidRPr="00FB354A" w:rsidRDefault="003A4412" w:rsidP="00C56436">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6AFBCD66" w14:textId="38522E25" w:rsidR="003A4412" w:rsidRPr="00FB354A" w:rsidRDefault="003A4412" w:rsidP="00C56436">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935.143</w:t>
            </w:r>
          </w:p>
        </w:tc>
      </w:tr>
      <w:tr w:rsidR="003A4412" w:rsidRPr="00F74AE2" w14:paraId="481BC33B" w14:textId="77777777" w:rsidTr="00461443">
        <w:trPr>
          <w:trHeight w:val="227"/>
        </w:trPr>
        <w:tc>
          <w:tcPr>
            <w:tcW w:w="5467" w:type="dxa"/>
            <w:tcBorders>
              <w:top w:val="single" w:sz="4" w:space="0" w:color="auto"/>
              <w:left w:val="nil"/>
              <w:bottom w:val="single" w:sz="4" w:space="0" w:color="auto"/>
              <w:right w:val="nil"/>
            </w:tcBorders>
            <w:shd w:val="clear" w:color="auto" w:fill="auto"/>
            <w:noWrap/>
            <w:vAlign w:val="center"/>
          </w:tcPr>
          <w:p w14:paraId="7F2EBB78" w14:textId="4A2EFF3F" w:rsidR="003A4412" w:rsidRPr="00FB354A" w:rsidRDefault="003A4412" w:rsidP="00C56436">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Não Circulante</w:t>
            </w:r>
          </w:p>
        </w:tc>
        <w:tc>
          <w:tcPr>
            <w:tcW w:w="1134" w:type="dxa"/>
            <w:tcBorders>
              <w:top w:val="single" w:sz="4" w:space="0" w:color="auto"/>
              <w:left w:val="nil"/>
              <w:bottom w:val="single" w:sz="4" w:space="0" w:color="auto"/>
              <w:right w:val="nil"/>
            </w:tcBorders>
            <w:shd w:val="clear" w:color="auto" w:fill="auto"/>
            <w:noWrap/>
            <w:vAlign w:val="center"/>
          </w:tcPr>
          <w:p w14:paraId="3EDAEE05" w14:textId="77777777" w:rsidR="003A4412" w:rsidRPr="00FB354A" w:rsidRDefault="003A4412" w:rsidP="00C56436">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6FEA005E" w14:textId="73341740" w:rsidR="003A4412" w:rsidRPr="00FB354A" w:rsidRDefault="003A4412" w:rsidP="00C56436">
            <w:pPr>
              <w:spacing w:after="0" w:line="240" w:lineRule="auto"/>
              <w:jc w:val="right"/>
              <w:rPr>
                <w:rFonts w:ascii="Calibri" w:eastAsia="Times New Roman" w:hAnsi="Calibri" w:cs="Calibri"/>
                <w:color w:val="000000"/>
                <w:sz w:val="16"/>
                <w:szCs w:val="16"/>
              </w:rPr>
            </w:pPr>
            <w:r w:rsidRPr="00C9570A">
              <w:rPr>
                <w:rFonts w:ascii="Calibri" w:eastAsia="Times New Roman" w:hAnsi="Calibri" w:cs="Calibri"/>
                <w:color w:val="000000"/>
                <w:sz w:val="16"/>
                <w:szCs w:val="16"/>
              </w:rPr>
              <w:t>29.690.786</w:t>
            </w:r>
          </w:p>
        </w:tc>
        <w:tc>
          <w:tcPr>
            <w:tcW w:w="1134" w:type="dxa"/>
            <w:tcBorders>
              <w:top w:val="single" w:sz="4" w:space="0" w:color="auto"/>
              <w:left w:val="nil"/>
              <w:bottom w:val="single" w:sz="4" w:space="0" w:color="auto"/>
              <w:right w:val="nil"/>
            </w:tcBorders>
            <w:shd w:val="clear" w:color="auto" w:fill="auto"/>
            <w:noWrap/>
            <w:vAlign w:val="center"/>
          </w:tcPr>
          <w:p w14:paraId="7F1D0C15" w14:textId="77777777" w:rsidR="003A4412" w:rsidRPr="00FB354A" w:rsidRDefault="003A4412" w:rsidP="00C56436">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08A8A056" w14:textId="26F9352B" w:rsidR="003A4412" w:rsidRPr="00FB354A" w:rsidRDefault="003A4412" w:rsidP="00C56436">
            <w:pPr>
              <w:spacing w:after="0" w:line="240" w:lineRule="auto"/>
              <w:jc w:val="right"/>
              <w:rPr>
                <w:rFonts w:ascii="Calibri" w:eastAsia="Times New Roman" w:hAnsi="Calibri" w:cs="Calibri"/>
                <w:color w:val="000000"/>
                <w:sz w:val="16"/>
                <w:szCs w:val="16"/>
              </w:rPr>
            </w:pPr>
            <w:r w:rsidRPr="00C9570A">
              <w:rPr>
                <w:rFonts w:ascii="Calibri" w:eastAsia="Times New Roman" w:hAnsi="Calibri" w:cs="Calibri"/>
                <w:color w:val="000000"/>
                <w:sz w:val="16"/>
                <w:szCs w:val="16"/>
              </w:rPr>
              <w:t>29.</w:t>
            </w:r>
            <w:r w:rsidR="00B44168">
              <w:rPr>
                <w:rFonts w:ascii="Calibri" w:eastAsia="Times New Roman" w:hAnsi="Calibri" w:cs="Calibri"/>
                <w:color w:val="000000"/>
                <w:sz w:val="16"/>
                <w:szCs w:val="16"/>
              </w:rPr>
              <w:t>457.000</w:t>
            </w:r>
          </w:p>
        </w:tc>
      </w:tr>
    </w:tbl>
    <w:p w14:paraId="05CA4CBF" w14:textId="77777777" w:rsidR="00A011B5" w:rsidRPr="001A08F6" w:rsidRDefault="00A011B5" w:rsidP="00FC3196">
      <w:pPr>
        <w:pStyle w:val="Textoembloco"/>
        <w:spacing w:after="0" w:line="240" w:lineRule="auto"/>
        <w:ind w:left="0" w:right="0"/>
        <w:contextualSpacing/>
        <w:rPr>
          <w:rFonts w:ascii="Calibri" w:hAnsi="Calibri" w:cs="Calibri"/>
          <w:sz w:val="21"/>
          <w:szCs w:val="21"/>
          <w:shd w:val="clear" w:color="auto" w:fill="FFFFFF"/>
        </w:rPr>
      </w:pPr>
    </w:p>
    <w:p w14:paraId="11252163" w14:textId="0D59E61E" w:rsidR="003929EF" w:rsidRPr="00D85639" w:rsidRDefault="001F54A0" w:rsidP="00D85639">
      <w:pPr>
        <w:pStyle w:val="Ttulo1"/>
      </w:pPr>
      <w:bookmarkStart w:id="62" w:name="_Toc184926689"/>
      <w:r>
        <w:t>20</w:t>
      </w:r>
      <w:r w:rsidR="00543C53" w:rsidRPr="00D85639">
        <w:t xml:space="preserve"> </w:t>
      </w:r>
      <w:r w:rsidR="004B6C8A" w:rsidRPr="00D85639">
        <w:t>–</w:t>
      </w:r>
      <w:r w:rsidR="003929EF" w:rsidRPr="00D85639">
        <w:t xml:space="preserve"> Termos de Execução Descentralizad</w:t>
      </w:r>
      <w:r w:rsidR="00516D4F" w:rsidRPr="00D85639">
        <w:t>a</w:t>
      </w:r>
      <w:r w:rsidR="003929EF" w:rsidRPr="00D85639">
        <w:t xml:space="preserve"> </w:t>
      </w:r>
      <w:r w:rsidR="000048FC">
        <w:rPr>
          <w:rFonts w:cs="Calibri"/>
        </w:rPr>
        <w:t>–</w:t>
      </w:r>
      <w:r w:rsidR="007B6C2B">
        <w:t xml:space="preserve"> </w:t>
      </w:r>
      <w:r w:rsidR="004F2131">
        <w:t xml:space="preserve">TEDs </w:t>
      </w:r>
      <w:r w:rsidR="003929EF" w:rsidRPr="00D85639">
        <w:t>e Convênios</w:t>
      </w:r>
      <w:bookmarkEnd w:id="62"/>
    </w:p>
    <w:p w14:paraId="1E00BB45" w14:textId="59FF94ED" w:rsidR="00FC3EA7" w:rsidRDefault="00371ED5" w:rsidP="00A011B5">
      <w:pPr>
        <w:pStyle w:val="Textoembloco"/>
        <w:spacing w:line="240" w:lineRule="auto"/>
        <w:ind w:left="0" w:right="0"/>
        <w:rPr>
          <w:rFonts w:ascii="Calibri" w:hAnsi="Calibri" w:cs="Calibri"/>
          <w:sz w:val="21"/>
          <w:szCs w:val="21"/>
          <w:shd w:val="clear" w:color="auto" w:fill="FFFFFF"/>
        </w:rPr>
      </w:pPr>
      <w:r w:rsidRPr="00261C79">
        <w:rPr>
          <w:rFonts w:ascii="Calibri" w:hAnsi="Calibri" w:cs="Calibri"/>
          <w:sz w:val="21"/>
          <w:szCs w:val="21"/>
          <w:shd w:val="clear" w:color="auto" w:fill="FFFFFF"/>
        </w:rPr>
        <w:t xml:space="preserve">O saldo dos </w:t>
      </w:r>
      <w:r w:rsidR="007B6C2B">
        <w:rPr>
          <w:rFonts w:ascii="Calibri" w:hAnsi="Calibri" w:cs="Calibri"/>
          <w:sz w:val="21"/>
          <w:szCs w:val="21"/>
          <w:shd w:val="clear" w:color="auto" w:fill="FFFFFF"/>
        </w:rPr>
        <w:t>TED</w:t>
      </w:r>
      <w:r w:rsidR="00CD7538">
        <w:rPr>
          <w:rFonts w:ascii="Calibri" w:hAnsi="Calibri" w:cs="Calibri"/>
          <w:sz w:val="21"/>
          <w:szCs w:val="21"/>
          <w:shd w:val="clear" w:color="auto" w:fill="FFFFFF"/>
        </w:rPr>
        <w:t>s</w:t>
      </w:r>
      <w:r w:rsidRPr="00261C79">
        <w:rPr>
          <w:rFonts w:ascii="Calibri" w:hAnsi="Calibri" w:cs="Calibri"/>
          <w:sz w:val="21"/>
          <w:szCs w:val="21"/>
          <w:shd w:val="clear" w:color="auto" w:fill="FFFFFF"/>
        </w:rPr>
        <w:t xml:space="preserve"> e Convênios </w:t>
      </w:r>
      <w:r w:rsidR="001E6596">
        <w:rPr>
          <w:rFonts w:ascii="Calibri" w:hAnsi="Calibri" w:cs="Calibri"/>
          <w:sz w:val="21"/>
          <w:szCs w:val="21"/>
          <w:shd w:val="clear" w:color="auto" w:fill="FFFFFF"/>
        </w:rPr>
        <w:t>é</w:t>
      </w:r>
      <w:r w:rsidRPr="00261C79">
        <w:rPr>
          <w:rFonts w:ascii="Calibri" w:hAnsi="Calibri" w:cs="Calibri"/>
          <w:sz w:val="21"/>
          <w:szCs w:val="21"/>
          <w:shd w:val="clear" w:color="auto" w:fill="FFFFFF"/>
        </w:rPr>
        <w:t xml:space="preserve"> de R$ </w:t>
      </w:r>
      <w:r w:rsidR="00324901">
        <w:rPr>
          <w:rFonts w:ascii="Calibri" w:hAnsi="Calibri" w:cs="Calibri"/>
          <w:sz w:val="21"/>
          <w:szCs w:val="21"/>
          <w:shd w:val="clear" w:color="auto" w:fill="FFFFFF"/>
        </w:rPr>
        <w:t>22,6</w:t>
      </w:r>
      <w:r w:rsidR="000A31D5">
        <w:rPr>
          <w:rFonts w:ascii="Calibri" w:hAnsi="Calibri" w:cs="Calibri"/>
          <w:sz w:val="21"/>
          <w:szCs w:val="21"/>
          <w:shd w:val="clear" w:color="auto" w:fill="FFFFFF"/>
        </w:rPr>
        <w:t>6</w:t>
      </w:r>
      <w:r w:rsidRPr="00261C79">
        <w:rPr>
          <w:rFonts w:ascii="Calibri" w:hAnsi="Calibri" w:cs="Calibri"/>
          <w:sz w:val="21"/>
          <w:szCs w:val="21"/>
          <w:shd w:val="clear" w:color="auto" w:fill="FFFFFF"/>
        </w:rPr>
        <w:t xml:space="preserve"> milhões, conforme tabela a seguir:</w:t>
      </w:r>
    </w:p>
    <w:tbl>
      <w:tblPr>
        <w:tblW w:w="5000" w:type="pct"/>
        <w:tblCellMar>
          <w:left w:w="70" w:type="dxa"/>
          <w:right w:w="70" w:type="dxa"/>
        </w:tblCellMar>
        <w:tblLook w:val="04A0" w:firstRow="1" w:lastRow="0" w:firstColumn="1" w:lastColumn="0" w:noHBand="0" w:noVBand="1"/>
      </w:tblPr>
      <w:tblGrid>
        <w:gridCol w:w="1227"/>
        <w:gridCol w:w="874"/>
        <w:gridCol w:w="4937"/>
        <w:gridCol w:w="1143"/>
        <w:gridCol w:w="1143"/>
        <w:gridCol w:w="1143"/>
      </w:tblGrid>
      <w:tr w:rsidR="008E6A48" w:rsidRPr="00FC3EA7" w14:paraId="78EFAD48" w14:textId="77777777" w:rsidTr="00E771BE">
        <w:trPr>
          <w:trHeight w:val="227"/>
        </w:trPr>
        <w:tc>
          <w:tcPr>
            <w:tcW w:w="1218" w:type="dxa"/>
            <w:tcBorders>
              <w:top w:val="single" w:sz="8" w:space="0" w:color="auto"/>
              <w:left w:val="nil"/>
              <w:bottom w:val="single" w:sz="8" w:space="0" w:color="auto"/>
              <w:right w:val="nil"/>
            </w:tcBorders>
            <w:shd w:val="clear" w:color="000000" w:fill="DEEAF6"/>
            <w:noWrap/>
            <w:vAlign w:val="center"/>
            <w:hideMark/>
          </w:tcPr>
          <w:p w14:paraId="4F6E9C01" w14:textId="0832342A" w:rsidR="004D7212" w:rsidRDefault="00FC3EA7" w:rsidP="00FC3EA7">
            <w:pPr>
              <w:spacing w:after="0" w:line="240" w:lineRule="auto"/>
              <w:jc w:val="center"/>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N° TED/</w:t>
            </w:r>
          </w:p>
          <w:p w14:paraId="651BF82B" w14:textId="7395A883" w:rsidR="00FC3EA7" w:rsidRPr="00FC3EA7" w:rsidRDefault="00FC3EA7" w:rsidP="00FC3EA7">
            <w:pPr>
              <w:spacing w:after="0" w:line="240" w:lineRule="auto"/>
              <w:jc w:val="center"/>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Convênio</w:t>
            </w:r>
          </w:p>
        </w:tc>
        <w:tc>
          <w:tcPr>
            <w:tcW w:w="867" w:type="dxa"/>
            <w:tcBorders>
              <w:top w:val="single" w:sz="8" w:space="0" w:color="auto"/>
              <w:left w:val="nil"/>
              <w:bottom w:val="single" w:sz="8" w:space="0" w:color="auto"/>
              <w:right w:val="nil"/>
            </w:tcBorders>
            <w:shd w:val="clear" w:color="000000" w:fill="DEEAF6"/>
            <w:noWrap/>
            <w:vAlign w:val="center"/>
            <w:hideMark/>
          </w:tcPr>
          <w:p w14:paraId="7D0C640E" w14:textId="77777777" w:rsidR="00FC3EA7" w:rsidRPr="00FC3EA7" w:rsidRDefault="00FC3EA7" w:rsidP="00FC3EA7">
            <w:pPr>
              <w:spacing w:after="0" w:line="240" w:lineRule="auto"/>
              <w:jc w:val="center"/>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SIAFI</w:t>
            </w:r>
          </w:p>
        </w:tc>
        <w:tc>
          <w:tcPr>
            <w:tcW w:w="4899" w:type="dxa"/>
            <w:tcBorders>
              <w:top w:val="single" w:sz="8" w:space="0" w:color="auto"/>
              <w:left w:val="nil"/>
              <w:bottom w:val="single" w:sz="8" w:space="0" w:color="auto"/>
              <w:right w:val="nil"/>
            </w:tcBorders>
            <w:shd w:val="clear" w:color="000000" w:fill="DEEAF6"/>
            <w:noWrap/>
            <w:vAlign w:val="center"/>
            <w:hideMark/>
          </w:tcPr>
          <w:p w14:paraId="5F677681" w14:textId="77777777" w:rsidR="00FC3EA7" w:rsidRPr="00FC3EA7" w:rsidRDefault="00FC3EA7" w:rsidP="00FC3EA7">
            <w:pPr>
              <w:spacing w:after="0" w:line="240" w:lineRule="auto"/>
              <w:jc w:val="center"/>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 xml:space="preserve">Órgão/Ministério </w:t>
            </w:r>
            <w:r w:rsidRPr="00FC3EA7">
              <w:rPr>
                <w:rFonts w:ascii="Calibri" w:eastAsia="Times New Roman" w:hAnsi="Calibri" w:cs="Calibri"/>
                <w:color w:val="0070C0"/>
                <w:sz w:val="14"/>
                <w:szCs w:val="14"/>
              </w:rPr>
              <w:t>(a)</w:t>
            </w:r>
          </w:p>
        </w:tc>
        <w:tc>
          <w:tcPr>
            <w:tcW w:w="1134" w:type="dxa"/>
            <w:tcBorders>
              <w:top w:val="single" w:sz="8" w:space="0" w:color="auto"/>
              <w:left w:val="nil"/>
              <w:bottom w:val="single" w:sz="8" w:space="0" w:color="auto"/>
              <w:right w:val="nil"/>
            </w:tcBorders>
            <w:shd w:val="clear" w:color="000000" w:fill="DEEAF6"/>
            <w:noWrap/>
            <w:vAlign w:val="center"/>
            <w:hideMark/>
          </w:tcPr>
          <w:p w14:paraId="1F3A11CD" w14:textId="50D5708E" w:rsidR="00FC3EA7" w:rsidRPr="00FC3EA7" w:rsidRDefault="00FC3EA7" w:rsidP="00FC3EA7">
            <w:pPr>
              <w:spacing w:after="0" w:line="240" w:lineRule="auto"/>
              <w:jc w:val="right"/>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Vigência</w:t>
            </w:r>
          </w:p>
        </w:tc>
        <w:tc>
          <w:tcPr>
            <w:tcW w:w="1134" w:type="dxa"/>
            <w:tcBorders>
              <w:top w:val="single" w:sz="8" w:space="0" w:color="auto"/>
              <w:left w:val="nil"/>
              <w:bottom w:val="single" w:sz="8" w:space="0" w:color="auto"/>
              <w:right w:val="nil"/>
            </w:tcBorders>
            <w:shd w:val="clear" w:color="000000" w:fill="DEEAF6"/>
            <w:vAlign w:val="center"/>
            <w:hideMark/>
          </w:tcPr>
          <w:p w14:paraId="11C99E45" w14:textId="77777777" w:rsidR="00FC3EA7" w:rsidRPr="00FC3EA7" w:rsidRDefault="00FC3EA7" w:rsidP="00FC3EA7">
            <w:pPr>
              <w:spacing w:after="0" w:line="240" w:lineRule="auto"/>
              <w:jc w:val="right"/>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31/12/2023</w:t>
            </w:r>
          </w:p>
        </w:tc>
        <w:tc>
          <w:tcPr>
            <w:tcW w:w="1134" w:type="dxa"/>
            <w:tcBorders>
              <w:top w:val="single" w:sz="8" w:space="0" w:color="auto"/>
              <w:left w:val="nil"/>
              <w:bottom w:val="single" w:sz="8" w:space="0" w:color="auto"/>
              <w:right w:val="nil"/>
            </w:tcBorders>
            <w:shd w:val="clear" w:color="000000" w:fill="DEEAF6"/>
            <w:noWrap/>
            <w:vAlign w:val="center"/>
            <w:hideMark/>
          </w:tcPr>
          <w:p w14:paraId="0D0E4EBF" w14:textId="77777777" w:rsidR="00FC3EA7" w:rsidRPr="00FC3EA7" w:rsidRDefault="00FC3EA7" w:rsidP="00FC3EA7">
            <w:pPr>
              <w:spacing w:after="0" w:line="240" w:lineRule="auto"/>
              <w:jc w:val="right"/>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31/03/2024</w:t>
            </w:r>
          </w:p>
        </w:tc>
      </w:tr>
      <w:tr w:rsidR="00DC2F6A" w:rsidRPr="00FC3EA7" w14:paraId="672D3890" w14:textId="77777777" w:rsidTr="00E771BE">
        <w:trPr>
          <w:trHeight w:val="227"/>
        </w:trPr>
        <w:tc>
          <w:tcPr>
            <w:tcW w:w="1218" w:type="dxa"/>
            <w:tcBorders>
              <w:top w:val="nil"/>
              <w:left w:val="nil"/>
              <w:bottom w:val="nil"/>
              <w:right w:val="nil"/>
            </w:tcBorders>
            <w:shd w:val="clear" w:color="auto" w:fill="auto"/>
            <w:noWrap/>
            <w:vAlign w:val="center"/>
            <w:hideMark/>
          </w:tcPr>
          <w:p w14:paraId="1DD79054" w14:textId="4A5073EC"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001/2021</w:t>
            </w:r>
          </w:p>
        </w:tc>
        <w:tc>
          <w:tcPr>
            <w:tcW w:w="867" w:type="dxa"/>
            <w:tcBorders>
              <w:top w:val="nil"/>
              <w:left w:val="nil"/>
              <w:bottom w:val="nil"/>
              <w:right w:val="nil"/>
            </w:tcBorders>
            <w:shd w:val="clear" w:color="auto" w:fill="auto"/>
            <w:noWrap/>
            <w:vAlign w:val="center"/>
            <w:hideMark/>
          </w:tcPr>
          <w:p w14:paraId="71C8B304" w14:textId="3544B299"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1AAFB</w:t>
            </w:r>
            <w:r w:rsidR="006C7DBD">
              <w:rPr>
                <w:rFonts w:ascii="Calibri" w:eastAsia="Times New Roman" w:hAnsi="Calibri" w:cs="Calibri"/>
                <w:color w:val="000000"/>
                <w:sz w:val="16"/>
                <w:szCs w:val="16"/>
              </w:rPr>
              <w:t>W</w:t>
            </w:r>
          </w:p>
        </w:tc>
        <w:tc>
          <w:tcPr>
            <w:tcW w:w="4899" w:type="dxa"/>
            <w:tcBorders>
              <w:top w:val="nil"/>
              <w:left w:val="nil"/>
              <w:bottom w:val="nil"/>
              <w:right w:val="nil"/>
            </w:tcBorders>
            <w:shd w:val="clear" w:color="auto" w:fill="auto"/>
            <w:noWrap/>
            <w:vAlign w:val="center"/>
            <w:hideMark/>
          </w:tcPr>
          <w:p w14:paraId="3B888BC0" w14:textId="48B8B75F"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Transporte Rodoviário</w:t>
            </w:r>
            <w:r w:rsidR="001F51D0" w:rsidRPr="00F253CF">
              <w:rPr>
                <w:rFonts w:eastAsia="Times New Roman" w:cs="Calibri"/>
                <w:color w:val="000000"/>
                <w:sz w:val="16"/>
                <w:szCs w:val="16"/>
              </w:rPr>
              <w:t xml:space="preserve"> – SNTR/MT</w:t>
            </w:r>
            <w:r w:rsidRPr="00FC3EA7">
              <w:rPr>
                <w:rFonts w:ascii="Calibri" w:eastAsia="Times New Roman" w:hAnsi="Calibri" w:cs="Calibri"/>
                <w:color w:val="000000"/>
                <w:sz w:val="16"/>
                <w:szCs w:val="16"/>
              </w:rPr>
              <w:t xml:space="preserve"> SNTR/MT</w:t>
            </w:r>
          </w:p>
        </w:tc>
        <w:tc>
          <w:tcPr>
            <w:tcW w:w="1134" w:type="dxa"/>
            <w:tcBorders>
              <w:top w:val="nil"/>
              <w:left w:val="nil"/>
              <w:bottom w:val="nil"/>
              <w:right w:val="nil"/>
            </w:tcBorders>
            <w:shd w:val="clear" w:color="auto" w:fill="auto"/>
            <w:noWrap/>
            <w:vAlign w:val="center"/>
            <w:hideMark/>
          </w:tcPr>
          <w:p w14:paraId="006622CA" w14:textId="2BB3E623" w:rsidR="00FC3EA7" w:rsidRPr="00FC3EA7" w:rsidRDefault="006C7DBD" w:rsidP="00FC3EA7">
            <w:pPr>
              <w:spacing w:after="0" w:line="240" w:lineRule="auto"/>
              <w:jc w:val="right"/>
              <w:rPr>
                <w:rFonts w:ascii="Calibri" w:eastAsia="Times New Roman" w:hAnsi="Calibri" w:cs="Calibri"/>
                <w:color w:val="000000"/>
                <w:sz w:val="16"/>
                <w:szCs w:val="16"/>
              </w:rPr>
            </w:pPr>
            <w:proofErr w:type="spellStart"/>
            <w:r>
              <w:rPr>
                <w:rFonts w:ascii="Calibri" w:eastAsia="Times New Roman" w:hAnsi="Calibri" w:cs="Calibri"/>
                <w:sz w:val="16"/>
                <w:szCs w:val="16"/>
              </w:rPr>
              <w:t>mai</w:t>
            </w:r>
            <w:proofErr w:type="spellEnd"/>
            <w:r>
              <w:rPr>
                <w:rFonts w:ascii="Calibri" w:eastAsia="Times New Roman" w:hAnsi="Calibri" w:cs="Calibri"/>
                <w:sz w:val="16"/>
                <w:szCs w:val="16"/>
              </w:rPr>
              <w:t>/25</w:t>
            </w:r>
          </w:p>
        </w:tc>
        <w:tc>
          <w:tcPr>
            <w:tcW w:w="1134" w:type="dxa"/>
            <w:tcBorders>
              <w:top w:val="nil"/>
              <w:left w:val="nil"/>
              <w:bottom w:val="nil"/>
              <w:right w:val="nil"/>
            </w:tcBorders>
            <w:shd w:val="clear" w:color="auto" w:fill="auto"/>
            <w:noWrap/>
            <w:vAlign w:val="center"/>
            <w:hideMark/>
          </w:tcPr>
          <w:p w14:paraId="69515148" w14:textId="1AD9CD67"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4.800.773</w:t>
            </w:r>
          </w:p>
        </w:tc>
        <w:tc>
          <w:tcPr>
            <w:tcW w:w="1134" w:type="dxa"/>
            <w:tcBorders>
              <w:top w:val="nil"/>
              <w:left w:val="nil"/>
              <w:bottom w:val="nil"/>
              <w:right w:val="nil"/>
            </w:tcBorders>
            <w:shd w:val="clear" w:color="auto" w:fill="auto"/>
            <w:noWrap/>
            <w:vAlign w:val="center"/>
            <w:hideMark/>
          </w:tcPr>
          <w:p w14:paraId="45B90CCF" w14:textId="56C20435"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4.800.773</w:t>
            </w:r>
          </w:p>
        </w:tc>
      </w:tr>
      <w:tr w:rsidR="00DC2F6A" w:rsidRPr="00FC3EA7" w14:paraId="55DABCDE" w14:textId="77777777" w:rsidTr="00E771BE">
        <w:trPr>
          <w:trHeight w:val="227"/>
        </w:trPr>
        <w:tc>
          <w:tcPr>
            <w:tcW w:w="1218" w:type="dxa"/>
            <w:tcBorders>
              <w:top w:val="nil"/>
              <w:left w:val="nil"/>
              <w:bottom w:val="nil"/>
              <w:right w:val="nil"/>
            </w:tcBorders>
            <w:shd w:val="clear" w:color="auto" w:fill="auto"/>
            <w:noWrap/>
            <w:vAlign w:val="center"/>
            <w:hideMark/>
          </w:tcPr>
          <w:p w14:paraId="4CDFE492" w14:textId="749CF140"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002/2021</w:t>
            </w:r>
          </w:p>
        </w:tc>
        <w:tc>
          <w:tcPr>
            <w:tcW w:w="867" w:type="dxa"/>
            <w:tcBorders>
              <w:top w:val="nil"/>
              <w:left w:val="nil"/>
              <w:bottom w:val="nil"/>
              <w:right w:val="nil"/>
            </w:tcBorders>
            <w:shd w:val="clear" w:color="auto" w:fill="auto"/>
            <w:noWrap/>
            <w:vAlign w:val="center"/>
            <w:hideMark/>
          </w:tcPr>
          <w:p w14:paraId="4450A355" w14:textId="77777777"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1AAFBY</w:t>
            </w:r>
          </w:p>
        </w:tc>
        <w:tc>
          <w:tcPr>
            <w:tcW w:w="4899" w:type="dxa"/>
            <w:tcBorders>
              <w:top w:val="nil"/>
              <w:left w:val="nil"/>
              <w:bottom w:val="nil"/>
              <w:right w:val="nil"/>
            </w:tcBorders>
            <w:shd w:val="clear" w:color="auto" w:fill="auto"/>
            <w:noWrap/>
            <w:vAlign w:val="center"/>
            <w:hideMark/>
          </w:tcPr>
          <w:p w14:paraId="6496DC1A" w14:textId="02A18866"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Transporte Rodoviário</w:t>
            </w:r>
            <w:r w:rsidR="001F51D0" w:rsidRPr="00F253CF">
              <w:rPr>
                <w:rFonts w:eastAsia="Times New Roman" w:cs="Calibri"/>
                <w:color w:val="000000"/>
                <w:sz w:val="16"/>
                <w:szCs w:val="16"/>
              </w:rPr>
              <w:t xml:space="preserve"> – SNTR/MT</w:t>
            </w:r>
            <w:r w:rsidRPr="00FC3EA7">
              <w:rPr>
                <w:rFonts w:ascii="Calibri" w:eastAsia="Times New Roman" w:hAnsi="Calibri" w:cs="Calibri"/>
                <w:color w:val="000000"/>
                <w:sz w:val="16"/>
                <w:szCs w:val="16"/>
              </w:rPr>
              <w:t xml:space="preserve"> SNTR/MT</w:t>
            </w:r>
          </w:p>
        </w:tc>
        <w:tc>
          <w:tcPr>
            <w:tcW w:w="1134" w:type="dxa"/>
            <w:tcBorders>
              <w:top w:val="nil"/>
              <w:left w:val="nil"/>
              <w:bottom w:val="nil"/>
              <w:right w:val="nil"/>
            </w:tcBorders>
            <w:shd w:val="clear" w:color="auto" w:fill="auto"/>
            <w:noWrap/>
            <w:vAlign w:val="center"/>
            <w:hideMark/>
          </w:tcPr>
          <w:p w14:paraId="0A86C4B0" w14:textId="389DD414" w:rsidR="00FC3EA7" w:rsidRPr="00FC3EA7" w:rsidRDefault="006C7DBD" w:rsidP="00FC3EA7">
            <w:pPr>
              <w:spacing w:after="0" w:line="240" w:lineRule="auto"/>
              <w:jc w:val="right"/>
              <w:rPr>
                <w:rFonts w:ascii="Calibri" w:eastAsia="Times New Roman" w:hAnsi="Calibri" w:cs="Calibri"/>
                <w:color w:val="000000"/>
                <w:sz w:val="16"/>
                <w:szCs w:val="16"/>
              </w:rPr>
            </w:pPr>
            <w:proofErr w:type="spellStart"/>
            <w:r>
              <w:rPr>
                <w:rFonts w:ascii="Calibri" w:eastAsia="Times New Roman" w:hAnsi="Calibri" w:cs="Calibri"/>
                <w:sz w:val="16"/>
                <w:szCs w:val="16"/>
              </w:rPr>
              <w:t>mai</w:t>
            </w:r>
            <w:proofErr w:type="spellEnd"/>
            <w:r>
              <w:rPr>
                <w:rFonts w:ascii="Calibri" w:eastAsia="Times New Roman" w:hAnsi="Calibri" w:cs="Calibri"/>
                <w:sz w:val="16"/>
                <w:szCs w:val="16"/>
              </w:rPr>
              <w:t>/25</w:t>
            </w:r>
          </w:p>
        </w:tc>
        <w:tc>
          <w:tcPr>
            <w:tcW w:w="1134" w:type="dxa"/>
            <w:tcBorders>
              <w:top w:val="nil"/>
              <w:left w:val="nil"/>
              <w:bottom w:val="nil"/>
              <w:right w:val="nil"/>
            </w:tcBorders>
            <w:shd w:val="clear" w:color="auto" w:fill="auto"/>
            <w:noWrap/>
            <w:vAlign w:val="center"/>
            <w:hideMark/>
          </w:tcPr>
          <w:p w14:paraId="6F345559" w14:textId="498AAB0D"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4.160.644</w:t>
            </w:r>
          </w:p>
        </w:tc>
        <w:tc>
          <w:tcPr>
            <w:tcW w:w="1134" w:type="dxa"/>
            <w:tcBorders>
              <w:top w:val="nil"/>
              <w:left w:val="nil"/>
              <w:bottom w:val="nil"/>
              <w:right w:val="nil"/>
            </w:tcBorders>
            <w:shd w:val="clear" w:color="auto" w:fill="auto"/>
            <w:noWrap/>
            <w:vAlign w:val="center"/>
            <w:hideMark/>
          </w:tcPr>
          <w:p w14:paraId="13CDB663" w14:textId="2C776723"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4.160.644</w:t>
            </w:r>
          </w:p>
        </w:tc>
      </w:tr>
      <w:tr w:rsidR="00DC2F6A" w:rsidRPr="00FC3EA7" w14:paraId="6297566C" w14:textId="77777777" w:rsidTr="00E771BE">
        <w:trPr>
          <w:trHeight w:val="227"/>
        </w:trPr>
        <w:tc>
          <w:tcPr>
            <w:tcW w:w="1218" w:type="dxa"/>
            <w:tcBorders>
              <w:top w:val="nil"/>
              <w:left w:val="nil"/>
              <w:bottom w:val="nil"/>
              <w:right w:val="nil"/>
            </w:tcBorders>
            <w:shd w:val="clear" w:color="auto" w:fill="auto"/>
            <w:noWrap/>
            <w:vAlign w:val="center"/>
            <w:hideMark/>
          </w:tcPr>
          <w:p w14:paraId="438C86BC" w14:textId="01A70211"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ASGA/2021</w:t>
            </w:r>
          </w:p>
        </w:tc>
        <w:tc>
          <w:tcPr>
            <w:tcW w:w="867" w:type="dxa"/>
            <w:tcBorders>
              <w:top w:val="nil"/>
              <w:left w:val="nil"/>
              <w:bottom w:val="nil"/>
              <w:right w:val="nil"/>
            </w:tcBorders>
            <w:shd w:val="clear" w:color="auto" w:fill="auto"/>
            <w:noWrap/>
            <w:vAlign w:val="center"/>
            <w:hideMark/>
          </w:tcPr>
          <w:p w14:paraId="0119BE55" w14:textId="77777777"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1AAFZU</w:t>
            </w:r>
          </w:p>
        </w:tc>
        <w:tc>
          <w:tcPr>
            <w:tcW w:w="4899" w:type="dxa"/>
            <w:tcBorders>
              <w:top w:val="nil"/>
              <w:left w:val="nil"/>
              <w:bottom w:val="nil"/>
              <w:right w:val="nil"/>
            </w:tcBorders>
            <w:shd w:val="clear" w:color="auto" w:fill="auto"/>
            <w:noWrap/>
            <w:vAlign w:val="center"/>
            <w:hideMark/>
          </w:tcPr>
          <w:p w14:paraId="53A762CC" w14:textId="77777777"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Aviação Civil – SAC/MPOR</w:t>
            </w:r>
          </w:p>
        </w:tc>
        <w:tc>
          <w:tcPr>
            <w:tcW w:w="1134" w:type="dxa"/>
            <w:tcBorders>
              <w:top w:val="nil"/>
              <w:left w:val="nil"/>
              <w:bottom w:val="nil"/>
              <w:right w:val="nil"/>
            </w:tcBorders>
            <w:shd w:val="clear" w:color="auto" w:fill="auto"/>
            <w:noWrap/>
            <w:vAlign w:val="center"/>
            <w:hideMark/>
          </w:tcPr>
          <w:p w14:paraId="5786147C" w14:textId="77777777"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out/22</w:t>
            </w:r>
          </w:p>
        </w:tc>
        <w:tc>
          <w:tcPr>
            <w:tcW w:w="1134" w:type="dxa"/>
            <w:tcBorders>
              <w:top w:val="nil"/>
              <w:left w:val="nil"/>
              <w:bottom w:val="nil"/>
              <w:right w:val="nil"/>
            </w:tcBorders>
            <w:shd w:val="clear" w:color="auto" w:fill="auto"/>
            <w:noWrap/>
            <w:vAlign w:val="center"/>
            <w:hideMark/>
          </w:tcPr>
          <w:p w14:paraId="4DCCBF53" w14:textId="19F305E3"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1.505.719</w:t>
            </w:r>
          </w:p>
        </w:tc>
        <w:tc>
          <w:tcPr>
            <w:tcW w:w="1134" w:type="dxa"/>
            <w:tcBorders>
              <w:top w:val="nil"/>
              <w:left w:val="nil"/>
              <w:bottom w:val="nil"/>
              <w:right w:val="nil"/>
            </w:tcBorders>
            <w:shd w:val="clear" w:color="auto" w:fill="auto"/>
            <w:noWrap/>
            <w:vAlign w:val="center"/>
            <w:hideMark/>
          </w:tcPr>
          <w:p w14:paraId="7F8313B0" w14:textId="21A9A71A"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1.505.719</w:t>
            </w:r>
          </w:p>
        </w:tc>
      </w:tr>
      <w:tr w:rsidR="00DC2F6A" w:rsidRPr="00FC3EA7" w14:paraId="19D61BD2" w14:textId="77777777" w:rsidTr="00E771BE">
        <w:trPr>
          <w:trHeight w:val="227"/>
        </w:trPr>
        <w:tc>
          <w:tcPr>
            <w:tcW w:w="1218" w:type="dxa"/>
            <w:tcBorders>
              <w:top w:val="nil"/>
              <w:left w:val="nil"/>
              <w:bottom w:val="nil"/>
              <w:right w:val="nil"/>
            </w:tcBorders>
            <w:shd w:val="clear" w:color="auto" w:fill="auto"/>
            <w:noWrap/>
            <w:vAlign w:val="center"/>
            <w:hideMark/>
          </w:tcPr>
          <w:p w14:paraId="62DB6771" w14:textId="1249840C"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VCP/2021</w:t>
            </w:r>
          </w:p>
        </w:tc>
        <w:tc>
          <w:tcPr>
            <w:tcW w:w="867" w:type="dxa"/>
            <w:tcBorders>
              <w:top w:val="nil"/>
              <w:left w:val="nil"/>
              <w:bottom w:val="nil"/>
              <w:right w:val="nil"/>
            </w:tcBorders>
            <w:shd w:val="clear" w:color="auto" w:fill="auto"/>
            <w:noWrap/>
            <w:vAlign w:val="center"/>
            <w:hideMark/>
          </w:tcPr>
          <w:p w14:paraId="161C3DB5" w14:textId="77777777"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1AAFZW</w:t>
            </w:r>
          </w:p>
        </w:tc>
        <w:tc>
          <w:tcPr>
            <w:tcW w:w="4899" w:type="dxa"/>
            <w:tcBorders>
              <w:top w:val="nil"/>
              <w:left w:val="nil"/>
              <w:bottom w:val="nil"/>
              <w:right w:val="nil"/>
            </w:tcBorders>
            <w:shd w:val="clear" w:color="auto" w:fill="auto"/>
            <w:noWrap/>
            <w:vAlign w:val="center"/>
            <w:hideMark/>
          </w:tcPr>
          <w:p w14:paraId="5478128F" w14:textId="77777777"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Aviação Civil – SAC/MPOR</w:t>
            </w:r>
          </w:p>
        </w:tc>
        <w:tc>
          <w:tcPr>
            <w:tcW w:w="1134" w:type="dxa"/>
            <w:tcBorders>
              <w:top w:val="nil"/>
              <w:left w:val="nil"/>
              <w:bottom w:val="nil"/>
              <w:right w:val="nil"/>
            </w:tcBorders>
            <w:shd w:val="clear" w:color="auto" w:fill="auto"/>
            <w:noWrap/>
            <w:vAlign w:val="center"/>
            <w:hideMark/>
          </w:tcPr>
          <w:p w14:paraId="1D6CCE92" w14:textId="77777777"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out/22</w:t>
            </w:r>
          </w:p>
        </w:tc>
        <w:tc>
          <w:tcPr>
            <w:tcW w:w="1134" w:type="dxa"/>
            <w:tcBorders>
              <w:top w:val="nil"/>
              <w:left w:val="nil"/>
              <w:bottom w:val="nil"/>
              <w:right w:val="nil"/>
            </w:tcBorders>
            <w:shd w:val="clear" w:color="auto" w:fill="auto"/>
            <w:noWrap/>
            <w:vAlign w:val="center"/>
            <w:hideMark/>
          </w:tcPr>
          <w:p w14:paraId="723D699D" w14:textId="5ACF31D0"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2.526.156</w:t>
            </w:r>
          </w:p>
        </w:tc>
        <w:tc>
          <w:tcPr>
            <w:tcW w:w="1134" w:type="dxa"/>
            <w:tcBorders>
              <w:top w:val="nil"/>
              <w:left w:val="nil"/>
              <w:bottom w:val="nil"/>
              <w:right w:val="nil"/>
            </w:tcBorders>
            <w:shd w:val="clear" w:color="auto" w:fill="auto"/>
            <w:noWrap/>
            <w:vAlign w:val="center"/>
            <w:hideMark/>
          </w:tcPr>
          <w:p w14:paraId="5FD56D7C" w14:textId="3574E5AD"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2.526.156</w:t>
            </w:r>
          </w:p>
        </w:tc>
      </w:tr>
      <w:tr w:rsidR="00DC2F6A" w:rsidRPr="00FC3EA7" w14:paraId="6EB82CB7" w14:textId="77777777" w:rsidTr="00E771BE">
        <w:trPr>
          <w:trHeight w:val="227"/>
        </w:trPr>
        <w:tc>
          <w:tcPr>
            <w:tcW w:w="1218" w:type="dxa"/>
            <w:tcBorders>
              <w:top w:val="nil"/>
              <w:left w:val="nil"/>
              <w:bottom w:val="nil"/>
              <w:right w:val="nil"/>
            </w:tcBorders>
            <w:shd w:val="clear" w:color="auto" w:fill="auto"/>
            <w:noWrap/>
            <w:vAlign w:val="center"/>
            <w:hideMark/>
          </w:tcPr>
          <w:p w14:paraId="45F5FEBC" w14:textId="47CE422C"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001/2022</w:t>
            </w:r>
          </w:p>
        </w:tc>
        <w:tc>
          <w:tcPr>
            <w:tcW w:w="867" w:type="dxa"/>
            <w:tcBorders>
              <w:top w:val="nil"/>
              <w:left w:val="nil"/>
              <w:bottom w:val="nil"/>
              <w:right w:val="nil"/>
            </w:tcBorders>
            <w:shd w:val="clear" w:color="auto" w:fill="auto"/>
            <w:noWrap/>
            <w:vAlign w:val="center"/>
            <w:hideMark/>
          </w:tcPr>
          <w:p w14:paraId="093A5C06" w14:textId="77777777"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935736</w:t>
            </w:r>
          </w:p>
        </w:tc>
        <w:tc>
          <w:tcPr>
            <w:tcW w:w="4899" w:type="dxa"/>
            <w:tcBorders>
              <w:top w:val="nil"/>
              <w:left w:val="nil"/>
              <w:bottom w:val="nil"/>
              <w:right w:val="nil"/>
            </w:tcBorders>
            <w:shd w:val="clear" w:color="auto" w:fill="auto"/>
            <w:noWrap/>
            <w:vAlign w:val="center"/>
            <w:hideMark/>
          </w:tcPr>
          <w:p w14:paraId="1EE910F9" w14:textId="2E067DDF"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Transporte Rodoviário</w:t>
            </w:r>
            <w:r w:rsidR="001F51D0" w:rsidRPr="00F253CF">
              <w:rPr>
                <w:rFonts w:eastAsia="Times New Roman" w:cs="Calibri"/>
                <w:color w:val="000000"/>
                <w:sz w:val="16"/>
                <w:szCs w:val="16"/>
              </w:rPr>
              <w:t xml:space="preserve"> – SNTR/MT</w:t>
            </w:r>
            <w:r w:rsidRPr="00FC3EA7">
              <w:rPr>
                <w:rFonts w:ascii="Calibri" w:eastAsia="Times New Roman" w:hAnsi="Calibri" w:cs="Calibri"/>
                <w:color w:val="000000"/>
                <w:sz w:val="16"/>
                <w:szCs w:val="16"/>
              </w:rPr>
              <w:t xml:space="preserve"> SNTR/MT</w:t>
            </w:r>
          </w:p>
        </w:tc>
        <w:tc>
          <w:tcPr>
            <w:tcW w:w="1134" w:type="dxa"/>
            <w:tcBorders>
              <w:top w:val="nil"/>
              <w:left w:val="nil"/>
              <w:bottom w:val="nil"/>
              <w:right w:val="nil"/>
            </w:tcBorders>
            <w:shd w:val="clear" w:color="auto" w:fill="auto"/>
            <w:noWrap/>
            <w:vAlign w:val="center"/>
            <w:hideMark/>
          </w:tcPr>
          <w:p w14:paraId="6E3CDC2C" w14:textId="11568A00" w:rsidR="00FC3EA7" w:rsidRPr="00FC3EA7" w:rsidRDefault="006C7DBD" w:rsidP="00FC3EA7">
            <w:pPr>
              <w:spacing w:after="0" w:line="240" w:lineRule="auto"/>
              <w:jc w:val="right"/>
              <w:rPr>
                <w:rFonts w:ascii="Calibri" w:eastAsia="Times New Roman" w:hAnsi="Calibri" w:cs="Calibri"/>
                <w:color w:val="000000"/>
                <w:sz w:val="16"/>
                <w:szCs w:val="16"/>
              </w:rPr>
            </w:pPr>
            <w:proofErr w:type="spellStart"/>
            <w:r>
              <w:rPr>
                <w:rFonts w:ascii="Calibri" w:eastAsia="Times New Roman" w:hAnsi="Calibri" w:cs="Calibri"/>
                <w:sz w:val="16"/>
                <w:szCs w:val="16"/>
              </w:rPr>
              <w:t>jan</w:t>
            </w:r>
            <w:proofErr w:type="spellEnd"/>
            <w:r w:rsidRPr="00460551">
              <w:rPr>
                <w:rFonts w:ascii="Calibri" w:eastAsia="Times New Roman" w:hAnsi="Calibri" w:cs="Calibri"/>
                <w:sz w:val="16"/>
                <w:szCs w:val="16"/>
              </w:rPr>
              <w:t>/2</w:t>
            </w:r>
            <w:r>
              <w:rPr>
                <w:rFonts w:ascii="Calibri" w:eastAsia="Times New Roman" w:hAnsi="Calibri" w:cs="Calibri"/>
                <w:sz w:val="16"/>
                <w:szCs w:val="16"/>
              </w:rPr>
              <w:t>5</w:t>
            </w:r>
          </w:p>
        </w:tc>
        <w:tc>
          <w:tcPr>
            <w:tcW w:w="1134" w:type="dxa"/>
            <w:tcBorders>
              <w:top w:val="nil"/>
              <w:left w:val="nil"/>
              <w:bottom w:val="nil"/>
              <w:right w:val="nil"/>
            </w:tcBorders>
            <w:shd w:val="clear" w:color="auto" w:fill="auto"/>
            <w:noWrap/>
            <w:vAlign w:val="center"/>
            <w:hideMark/>
          </w:tcPr>
          <w:p w14:paraId="2FD77B46" w14:textId="1A6F1E6A"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4.082.107</w:t>
            </w:r>
          </w:p>
        </w:tc>
        <w:tc>
          <w:tcPr>
            <w:tcW w:w="1134" w:type="dxa"/>
            <w:tcBorders>
              <w:top w:val="nil"/>
              <w:left w:val="nil"/>
              <w:bottom w:val="nil"/>
              <w:right w:val="nil"/>
            </w:tcBorders>
            <w:shd w:val="clear" w:color="auto" w:fill="auto"/>
            <w:noWrap/>
            <w:vAlign w:val="center"/>
            <w:hideMark/>
          </w:tcPr>
          <w:p w14:paraId="4FBF088F" w14:textId="2F145DC0"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4.082.107</w:t>
            </w:r>
          </w:p>
        </w:tc>
      </w:tr>
      <w:tr w:rsidR="00DC2F6A" w:rsidRPr="00FC3EA7" w14:paraId="067787BE" w14:textId="77777777" w:rsidTr="00E771BE">
        <w:trPr>
          <w:trHeight w:val="227"/>
        </w:trPr>
        <w:tc>
          <w:tcPr>
            <w:tcW w:w="1218" w:type="dxa"/>
            <w:tcBorders>
              <w:top w:val="nil"/>
              <w:left w:val="nil"/>
              <w:bottom w:val="nil"/>
              <w:right w:val="nil"/>
            </w:tcBorders>
            <w:shd w:val="clear" w:color="auto" w:fill="auto"/>
            <w:noWrap/>
            <w:vAlign w:val="center"/>
            <w:hideMark/>
          </w:tcPr>
          <w:p w14:paraId="2A984F5C" w14:textId="386B6480"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002/2022</w:t>
            </w:r>
          </w:p>
        </w:tc>
        <w:tc>
          <w:tcPr>
            <w:tcW w:w="867" w:type="dxa"/>
            <w:tcBorders>
              <w:top w:val="nil"/>
              <w:left w:val="nil"/>
              <w:bottom w:val="nil"/>
              <w:right w:val="nil"/>
            </w:tcBorders>
            <w:shd w:val="clear" w:color="auto" w:fill="auto"/>
            <w:noWrap/>
            <w:vAlign w:val="center"/>
            <w:hideMark/>
          </w:tcPr>
          <w:p w14:paraId="30293F09" w14:textId="77777777" w:rsidR="00FC3EA7" w:rsidRPr="00FC3EA7" w:rsidRDefault="00FC3EA7" w:rsidP="00FC3EA7">
            <w:pPr>
              <w:spacing w:after="0" w:line="240" w:lineRule="auto"/>
              <w:jc w:val="center"/>
              <w:rPr>
                <w:rFonts w:ascii="Calibri" w:eastAsia="Times New Roman" w:hAnsi="Calibri" w:cs="Calibri"/>
                <w:color w:val="000000"/>
                <w:sz w:val="16"/>
                <w:szCs w:val="16"/>
              </w:rPr>
            </w:pPr>
            <w:r w:rsidRPr="00FC3EA7">
              <w:rPr>
                <w:rFonts w:ascii="Calibri" w:eastAsia="Times New Roman" w:hAnsi="Calibri" w:cs="Calibri"/>
                <w:color w:val="000000"/>
                <w:sz w:val="16"/>
                <w:szCs w:val="16"/>
              </w:rPr>
              <w:t>935737</w:t>
            </w:r>
          </w:p>
        </w:tc>
        <w:tc>
          <w:tcPr>
            <w:tcW w:w="4899" w:type="dxa"/>
            <w:tcBorders>
              <w:top w:val="nil"/>
              <w:left w:val="nil"/>
              <w:bottom w:val="nil"/>
              <w:right w:val="nil"/>
            </w:tcBorders>
            <w:shd w:val="clear" w:color="auto" w:fill="auto"/>
            <w:noWrap/>
            <w:vAlign w:val="center"/>
            <w:hideMark/>
          </w:tcPr>
          <w:p w14:paraId="3964021A" w14:textId="4C941084" w:rsidR="00FC3EA7" w:rsidRPr="00FC3EA7" w:rsidRDefault="00FC3EA7" w:rsidP="00FC3EA7">
            <w:pPr>
              <w:spacing w:after="0" w:line="240" w:lineRule="auto"/>
              <w:rPr>
                <w:rFonts w:ascii="Calibri" w:eastAsia="Times New Roman" w:hAnsi="Calibri" w:cs="Calibri"/>
                <w:color w:val="000000"/>
                <w:sz w:val="16"/>
                <w:szCs w:val="16"/>
              </w:rPr>
            </w:pPr>
            <w:r w:rsidRPr="00FC3EA7">
              <w:rPr>
                <w:rFonts w:ascii="Calibri" w:eastAsia="Times New Roman" w:hAnsi="Calibri" w:cs="Calibri"/>
                <w:color w:val="000000"/>
                <w:sz w:val="16"/>
                <w:szCs w:val="16"/>
              </w:rPr>
              <w:t>Secretaria Nacional de Transporte Rodoviário</w:t>
            </w:r>
            <w:r w:rsidR="001F51D0" w:rsidRPr="00F253CF">
              <w:rPr>
                <w:rFonts w:eastAsia="Times New Roman" w:cs="Calibri"/>
                <w:color w:val="000000"/>
                <w:sz w:val="16"/>
                <w:szCs w:val="16"/>
              </w:rPr>
              <w:t xml:space="preserve"> – SNTR/MT</w:t>
            </w:r>
            <w:r w:rsidRPr="00FC3EA7">
              <w:rPr>
                <w:rFonts w:ascii="Calibri" w:eastAsia="Times New Roman" w:hAnsi="Calibri" w:cs="Calibri"/>
                <w:color w:val="000000"/>
                <w:sz w:val="16"/>
                <w:szCs w:val="16"/>
              </w:rPr>
              <w:t xml:space="preserve"> SNTR/MT</w:t>
            </w:r>
          </w:p>
        </w:tc>
        <w:tc>
          <w:tcPr>
            <w:tcW w:w="1134" w:type="dxa"/>
            <w:tcBorders>
              <w:top w:val="nil"/>
              <w:left w:val="nil"/>
              <w:bottom w:val="nil"/>
              <w:right w:val="nil"/>
            </w:tcBorders>
            <w:shd w:val="clear" w:color="auto" w:fill="auto"/>
            <w:noWrap/>
            <w:vAlign w:val="center"/>
            <w:hideMark/>
          </w:tcPr>
          <w:p w14:paraId="4CB18460" w14:textId="25D23270" w:rsidR="00FC3EA7" w:rsidRPr="00FC3EA7" w:rsidRDefault="006C7DBD" w:rsidP="00FC3EA7">
            <w:pPr>
              <w:spacing w:after="0" w:line="240" w:lineRule="auto"/>
              <w:jc w:val="right"/>
              <w:rPr>
                <w:rFonts w:ascii="Calibri" w:eastAsia="Times New Roman" w:hAnsi="Calibri" w:cs="Calibri"/>
                <w:color w:val="000000"/>
                <w:sz w:val="16"/>
                <w:szCs w:val="16"/>
              </w:rPr>
            </w:pPr>
            <w:proofErr w:type="spellStart"/>
            <w:r>
              <w:rPr>
                <w:rFonts w:ascii="Calibri" w:eastAsia="Times New Roman" w:hAnsi="Calibri" w:cs="Calibri"/>
                <w:sz w:val="16"/>
                <w:szCs w:val="16"/>
              </w:rPr>
              <w:t>j</w:t>
            </w:r>
            <w:r w:rsidR="00075CEA">
              <w:rPr>
                <w:rFonts w:ascii="Calibri" w:eastAsia="Times New Roman" w:hAnsi="Calibri" w:cs="Calibri"/>
                <w:sz w:val="16"/>
                <w:szCs w:val="16"/>
              </w:rPr>
              <w:t>u</w:t>
            </w:r>
            <w:r>
              <w:rPr>
                <w:rFonts w:ascii="Calibri" w:eastAsia="Times New Roman" w:hAnsi="Calibri" w:cs="Calibri"/>
                <w:sz w:val="16"/>
                <w:szCs w:val="16"/>
              </w:rPr>
              <w:t>n</w:t>
            </w:r>
            <w:proofErr w:type="spellEnd"/>
            <w:r w:rsidRPr="00460551">
              <w:rPr>
                <w:rFonts w:ascii="Calibri" w:eastAsia="Times New Roman" w:hAnsi="Calibri" w:cs="Calibri"/>
                <w:sz w:val="16"/>
                <w:szCs w:val="16"/>
              </w:rPr>
              <w:t>/2</w:t>
            </w:r>
            <w:r>
              <w:rPr>
                <w:rFonts w:ascii="Calibri" w:eastAsia="Times New Roman" w:hAnsi="Calibri" w:cs="Calibri"/>
                <w:sz w:val="16"/>
                <w:szCs w:val="16"/>
              </w:rPr>
              <w:t>5</w:t>
            </w:r>
          </w:p>
        </w:tc>
        <w:tc>
          <w:tcPr>
            <w:tcW w:w="1134" w:type="dxa"/>
            <w:tcBorders>
              <w:top w:val="nil"/>
              <w:left w:val="nil"/>
              <w:bottom w:val="nil"/>
              <w:right w:val="nil"/>
            </w:tcBorders>
            <w:shd w:val="clear" w:color="auto" w:fill="auto"/>
            <w:noWrap/>
            <w:vAlign w:val="center"/>
            <w:hideMark/>
          </w:tcPr>
          <w:p w14:paraId="5130240D" w14:textId="6541747B"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5.583.499</w:t>
            </w:r>
          </w:p>
        </w:tc>
        <w:tc>
          <w:tcPr>
            <w:tcW w:w="1134" w:type="dxa"/>
            <w:tcBorders>
              <w:top w:val="nil"/>
              <w:left w:val="nil"/>
              <w:bottom w:val="nil"/>
              <w:right w:val="nil"/>
            </w:tcBorders>
            <w:shd w:val="clear" w:color="auto" w:fill="auto"/>
            <w:noWrap/>
            <w:vAlign w:val="center"/>
            <w:hideMark/>
          </w:tcPr>
          <w:p w14:paraId="1FA134E9" w14:textId="0FF3C227" w:rsidR="00FC3EA7" w:rsidRPr="00FC3EA7" w:rsidRDefault="00FC3EA7" w:rsidP="00FC3EA7">
            <w:pPr>
              <w:spacing w:after="0" w:line="240" w:lineRule="auto"/>
              <w:jc w:val="right"/>
              <w:rPr>
                <w:rFonts w:ascii="Calibri" w:eastAsia="Times New Roman" w:hAnsi="Calibri" w:cs="Calibri"/>
                <w:color w:val="000000"/>
                <w:sz w:val="16"/>
                <w:szCs w:val="16"/>
              </w:rPr>
            </w:pPr>
            <w:r w:rsidRPr="00FC3EA7">
              <w:rPr>
                <w:rFonts w:ascii="Calibri" w:eastAsia="Times New Roman" w:hAnsi="Calibri" w:cs="Calibri"/>
                <w:color w:val="000000"/>
                <w:sz w:val="16"/>
                <w:szCs w:val="16"/>
              </w:rPr>
              <w:t>5.583.499</w:t>
            </w:r>
          </w:p>
        </w:tc>
      </w:tr>
      <w:tr w:rsidR="008E6A48" w:rsidRPr="00FC3EA7" w14:paraId="6FF6DC34" w14:textId="77777777" w:rsidTr="00E771BE">
        <w:trPr>
          <w:trHeight w:val="227"/>
        </w:trPr>
        <w:tc>
          <w:tcPr>
            <w:tcW w:w="1218" w:type="dxa"/>
            <w:tcBorders>
              <w:top w:val="single" w:sz="8" w:space="0" w:color="auto"/>
              <w:left w:val="nil"/>
              <w:bottom w:val="single" w:sz="8" w:space="0" w:color="auto"/>
              <w:right w:val="nil"/>
            </w:tcBorders>
            <w:shd w:val="clear" w:color="000000" w:fill="DEEAF6"/>
            <w:noWrap/>
            <w:vAlign w:val="center"/>
            <w:hideMark/>
          </w:tcPr>
          <w:p w14:paraId="329F473C" w14:textId="77777777" w:rsidR="00FC3EA7" w:rsidRPr="00FC3EA7" w:rsidRDefault="00FC3EA7" w:rsidP="00FC3EA7">
            <w:pPr>
              <w:spacing w:after="0" w:line="240" w:lineRule="auto"/>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Total</w:t>
            </w:r>
          </w:p>
        </w:tc>
        <w:tc>
          <w:tcPr>
            <w:tcW w:w="867" w:type="dxa"/>
            <w:tcBorders>
              <w:top w:val="single" w:sz="8" w:space="0" w:color="auto"/>
              <w:left w:val="nil"/>
              <w:bottom w:val="single" w:sz="8" w:space="0" w:color="auto"/>
              <w:right w:val="nil"/>
            </w:tcBorders>
            <w:shd w:val="clear" w:color="000000" w:fill="DEEAF6"/>
            <w:noWrap/>
            <w:vAlign w:val="center"/>
            <w:hideMark/>
          </w:tcPr>
          <w:p w14:paraId="237CA004" w14:textId="77777777" w:rsidR="00FC3EA7" w:rsidRPr="00FC3EA7" w:rsidRDefault="00FC3EA7" w:rsidP="00FC3EA7">
            <w:pPr>
              <w:spacing w:after="0" w:line="240" w:lineRule="auto"/>
              <w:rPr>
                <w:rFonts w:ascii="Calibri" w:eastAsia="Times New Roman" w:hAnsi="Calibri" w:cs="Calibri"/>
                <w:b/>
                <w:bCs/>
                <w:color w:val="000000"/>
                <w:sz w:val="22"/>
                <w:szCs w:val="22"/>
              </w:rPr>
            </w:pPr>
            <w:r w:rsidRPr="00FC3EA7">
              <w:rPr>
                <w:rFonts w:ascii="Calibri" w:eastAsia="Times New Roman" w:hAnsi="Calibri" w:cs="Calibri"/>
                <w:b/>
                <w:bCs/>
                <w:color w:val="000000"/>
                <w:sz w:val="22"/>
                <w:szCs w:val="22"/>
              </w:rPr>
              <w:t> </w:t>
            </w:r>
          </w:p>
        </w:tc>
        <w:tc>
          <w:tcPr>
            <w:tcW w:w="4899" w:type="dxa"/>
            <w:tcBorders>
              <w:top w:val="single" w:sz="8" w:space="0" w:color="auto"/>
              <w:left w:val="nil"/>
              <w:bottom w:val="single" w:sz="8" w:space="0" w:color="auto"/>
              <w:right w:val="nil"/>
            </w:tcBorders>
            <w:shd w:val="clear" w:color="000000" w:fill="DEEAF6"/>
            <w:noWrap/>
            <w:vAlign w:val="center"/>
            <w:hideMark/>
          </w:tcPr>
          <w:p w14:paraId="7F137D69" w14:textId="77777777" w:rsidR="00FC3EA7" w:rsidRPr="00FC3EA7" w:rsidRDefault="00FC3EA7" w:rsidP="00FC3EA7">
            <w:pPr>
              <w:spacing w:after="0" w:line="240" w:lineRule="auto"/>
              <w:rPr>
                <w:rFonts w:ascii="Calibri" w:eastAsia="Times New Roman" w:hAnsi="Calibri" w:cs="Calibri"/>
                <w:b/>
                <w:bCs/>
                <w:color w:val="000000"/>
                <w:sz w:val="22"/>
                <w:szCs w:val="22"/>
              </w:rPr>
            </w:pPr>
            <w:r w:rsidRPr="00FC3EA7">
              <w:rPr>
                <w:rFonts w:ascii="Calibri" w:eastAsia="Times New Roman" w:hAnsi="Calibri" w:cs="Calibri"/>
                <w:b/>
                <w:bCs/>
                <w:color w:val="000000"/>
                <w:sz w:val="22"/>
                <w:szCs w:val="22"/>
              </w:rPr>
              <w:t> </w:t>
            </w:r>
          </w:p>
        </w:tc>
        <w:tc>
          <w:tcPr>
            <w:tcW w:w="1134" w:type="dxa"/>
            <w:tcBorders>
              <w:top w:val="single" w:sz="8" w:space="0" w:color="auto"/>
              <w:left w:val="nil"/>
              <w:bottom w:val="single" w:sz="8" w:space="0" w:color="auto"/>
              <w:right w:val="nil"/>
            </w:tcBorders>
            <w:shd w:val="clear" w:color="000000" w:fill="DEEAF6"/>
            <w:noWrap/>
            <w:vAlign w:val="center"/>
            <w:hideMark/>
          </w:tcPr>
          <w:p w14:paraId="29BF1BAF" w14:textId="77777777" w:rsidR="00FC3EA7" w:rsidRPr="00FC3EA7" w:rsidRDefault="00FC3EA7" w:rsidP="00FC3EA7">
            <w:pPr>
              <w:spacing w:after="0" w:line="240" w:lineRule="auto"/>
              <w:rPr>
                <w:rFonts w:ascii="Calibri" w:eastAsia="Times New Roman" w:hAnsi="Calibri" w:cs="Calibri"/>
                <w:b/>
                <w:bCs/>
                <w:color w:val="000000"/>
                <w:sz w:val="22"/>
                <w:szCs w:val="22"/>
              </w:rPr>
            </w:pPr>
            <w:r w:rsidRPr="00FC3EA7">
              <w:rPr>
                <w:rFonts w:ascii="Calibri" w:eastAsia="Times New Roman" w:hAnsi="Calibri" w:cs="Calibri"/>
                <w:b/>
                <w:bCs/>
                <w:color w:val="000000"/>
                <w:sz w:val="22"/>
                <w:szCs w:val="22"/>
              </w:rPr>
              <w:t> </w:t>
            </w:r>
          </w:p>
        </w:tc>
        <w:tc>
          <w:tcPr>
            <w:tcW w:w="1134" w:type="dxa"/>
            <w:tcBorders>
              <w:top w:val="single" w:sz="8" w:space="0" w:color="auto"/>
              <w:left w:val="nil"/>
              <w:bottom w:val="single" w:sz="8" w:space="0" w:color="auto"/>
              <w:right w:val="nil"/>
            </w:tcBorders>
            <w:shd w:val="clear" w:color="000000" w:fill="DEEAF6"/>
            <w:vAlign w:val="center"/>
            <w:hideMark/>
          </w:tcPr>
          <w:p w14:paraId="2395C9D7" w14:textId="27617C4E" w:rsidR="00FC3EA7" w:rsidRPr="00FC3EA7" w:rsidRDefault="00FC3EA7" w:rsidP="00FC3EA7">
            <w:pPr>
              <w:spacing w:after="0" w:line="240" w:lineRule="auto"/>
              <w:jc w:val="right"/>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22.658.898</w:t>
            </w:r>
          </w:p>
        </w:tc>
        <w:tc>
          <w:tcPr>
            <w:tcW w:w="1134" w:type="dxa"/>
            <w:tcBorders>
              <w:top w:val="single" w:sz="8" w:space="0" w:color="auto"/>
              <w:left w:val="nil"/>
              <w:bottom w:val="single" w:sz="8" w:space="0" w:color="auto"/>
              <w:right w:val="nil"/>
            </w:tcBorders>
            <w:shd w:val="clear" w:color="000000" w:fill="DEEAF6"/>
            <w:vAlign w:val="center"/>
            <w:hideMark/>
          </w:tcPr>
          <w:p w14:paraId="7C94B529" w14:textId="0CA91F2C" w:rsidR="00FC3EA7" w:rsidRPr="00FC3EA7" w:rsidRDefault="00FC3EA7" w:rsidP="00FC3EA7">
            <w:pPr>
              <w:spacing w:after="0" w:line="240" w:lineRule="auto"/>
              <w:jc w:val="right"/>
              <w:rPr>
                <w:rFonts w:ascii="Calibri" w:eastAsia="Times New Roman" w:hAnsi="Calibri" w:cs="Calibri"/>
                <w:b/>
                <w:bCs/>
                <w:color w:val="000000"/>
                <w:sz w:val="16"/>
                <w:szCs w:val="16"/>
              </w:rPr>
            </w:pPr>
            <w:r w:rsidRPr="00FC3EA7">
              <w:rPr>
                <w:rFonts w:ascii="Calibri" w:eastAsia="Times New Roman" w:hAnsi="Calibri" w:cs="Calibri"/>
                <w:b/>
                <w:bCs/>
                <w:color w:val="000000"/>
                <w:sz w:val="16"/>
                <w:szCs w:val="16"/>
              </w:rPr>
              <w:t>22.658.898</w:t>
            </w:r>
          </w:p>
        </w:tc>
      </w:tr>
    </w:tbl>
    <w:p w14:paraId="38D3CF03" w14:textId="3225A04F" w:rsidR="000A6C38" w:rsidRPr="000A6C38" w:rsidRDefault="000A6C38" w:rsidP="000A6C38">
      <w:pPr>
        <w:pStyle w:val="Textoembloco"/>
        <w:spacing w:before="40" w:line="240" w:lineRule="auto"/>
        <w:ind w:left="0" w:right="0"/>
        <w:rPr>
          <w:rFonts w:ascii="Calibri" w:hAnsi="Calibri" w:cs="Calibri"/>
          <w:sz w:val="21"/>
          <w:szCs w:val="21"/>
          <w:shd w:val="clear" w:color="auto" w:fill="FFFFFF"/>
        </w:rPr>
      </w:pPr>
      <w:bookmarkStart w:id="63" w:name="_Hlk139478111"/>
      <w:r w:rsidRPr="000B4E0C">
        <w:rPr>
          <w:rFonts w:ascii="Calibri" w:hAnsi="Calibri" w:cs="Calibri"/>
          <w:color w:val="0070C0"/>
          <w:sz w:val="14"/>
          <w:szCs w:val="14"/>
        </w:rPr>
        <w:t xml:space="preserve">(a) </w:t>
      </w:r>
      <w:r w:rsidR="00E96BB0" w:rsidRPr="00E96BB0">
        <w:rPr>
          <w:rFonts w:ascii="Calibri" w:hAnsi="Calibri" w:cs="Calibri"/>
          <w:sz w:val="14"/>
          <w:szCs w:val="14"/>
        </w:rPr>
        <w:t xml:space="preserve">Siglas: </w:t>
      </w:r>
      <w:r>
        <w:rPr>
          <w:rFonts w:ascii="Calibri" w:hAnsi="Calibri" w:cs="Calibri"/>
          <w:sz w:val="14"/>
          <w:szCs w:val="14"/>
        </w:rPr>
        <w:t>M</w:t>
      </w:r>
      <w:r w:rsidR="00F83CE0">
        <w:rPr>
          <w:rFonts w:ascii="Calibri" w:hAnsi="Calibri" w:cs="Calibri"/>
          <w:sz w:val="14"/>
          <w:szCs w:val="14"/>
        </w:rPr>
        <w:t xml:space="preserve">inistério dos Transportes </w:t>
      </w:r>
      <w:r w:rsidR="00E96BB0">
        <w:rPr>
          <w:rFonts w:ascii="Calibri" w:hAnsi="Calibri" w:cs="Calibri"/>
          <w:sz w:val="14"/>
          <w:szCs w:val="14"/>
        </w:rPr>
        <w:t>–</w:t>
      </w:r>
      <w:r w:rsidR="00F83CE0">
        <w:rPr>
          <w:rFonts w:ascii="Calibri" w:hAnsi="Calibri" w:cs="Calibri"/>
          <w:sz w:val="14"/>
          <w:szCs w:val="14"/>
        </w:rPr>
        <w:t xml:space="preserve"> MT; </w:t>
      </w:r>
      <w:r w:rsidR="00E96BB0">
        <w:rPr>
          <w:rFonts w:ascii="Calibri" w:hAnsi="Calibri" w:cs="Calibri"/>
          <w:sz w:val="14"/>
          <w:szCs w:val="14"/>
        </w:rPr>
        <w:t xml:space="preserve">Ministério dos Portos e Aeroportos – </w:t>
      </w:r>
      <w:r w:rsidR="007F2677">
        <w:rPr>
          <w:rFonts w:ascii="Calibri" w:hAnsi="Calibri" w:cs="Calibri"/>
          <w:sz w:val="14"/>
          <w:szCs w:val="14"/>
        </w:rPr>
        <w:t>MPOR</w:t>
      </w:r>
      <w:r w:rsidR="00E96BB0">
        <w:rPr>
          <w:rFonts w:ascii="Calibri" w:hAnsi="Calibri" w:cs="Calibri"/>
          <w:sz w:val="14"/>
          <w:szCs w:val="14"/>
        </w:rPr>
        <w:t>.</w:t>
      </w:r>
    </w:p>
    <w:p w14:paraId="062A3887" w14:textId="03D93B2E" w:rsidR="0062531D" w:rsidRPr="00D85639" w:rsidRDefault="0062531D" w:rsidP="0062531D">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Entre os exercícios </w:t>
      </w:r>
      <w:r w:rsidRPr="00215B21">
        <w:rPr>
          <w:rFonts w:asciiTheme="minorHAnsi" w:hAnsiTheme="minorHAnsi" w:cstheme="minorHAnsi"/>
          <w:szCs w:val="21"/>
        </w:rPr>
        <w:t>de 2020 e 2023 foram</w:t>
      </w:r>
      <w:r w:rsidRPr="00D85639">
        <w:rPr>
          <w:rFonts w:asciiTheme="minorHAnsi" w:hAnsiTheme="minorHAnsi" w:cstheme="minorHAnsi"/>
          <w:szCs w:val="21"/>
          <w:shd w:val="clear" w:color="auto" w:fill="FFFFFF"/>
        </w:rPr>
        <w:t xml:space="preserve"> recebidos recursos oriundos dos TED</w:t>
      </w:r>
      <w:r>
        <w:rPr>
          <w:rFonts w:asciiTheme="minorHAnsi" w:hAnsiTheme="minorHAnsi" w:cstheme="minorHAnsi"/>
          <w:szCs w:val="21"/>
          <w:shd w:val="clear" w:color="auto" w:fill="FFFFFF"/>
        </w:rPr>
        <w:t>s</w:t>
      </w:r>
      <w:r w:rsidRPr="00D85639">
        <w:rPr>
          <w:rFonts w:asciiTheme="minorHAnsi" w:hAnsiTheme="minorHAnsi" w:cstheme="minorHAnsi"/>
          <w:szCs w:val="21"/>
          <w:shd w:val="clear" w:color="auto" w:fill="FFFFFF"/>
        </w:rPr>
        <w:t xml:space="preserve"> acima apresentados, os quais foram cedidos pelo</w:t>
      </w:r>
      <w:r>
        <w:rPr>
          <w:rFonts w:asciiTheme="minorHAnsi" w:hAnsiTheme="minorHAnsi" w:cstheme="minorHAnsi"/>
          <w:szCs w:val="21"/>
          <w:shd w:val="clear" w:color="auto" w:fill="FFFFFF"/>
        </w:rPr>
        <w:t>s Ministérios</w:t>
      </w:r>
      <w:r w:rsidRPr="00D85639">
        <w:rPr>
          <w:rFonts w:asciiTheme="minorHAnsi" w:hAnsiTheme="minorHAnsi" w:cstheme="minorHAnsi"/>
          <w:szCs w:val="21"/>
          <w:shd w:val="clear" w:color="auto" w:fill="FFFFFF"/>
        </w:rPr>
        <w:t>, visando a contratação de pessoa jurídica para apoio ao encerramento de concessões, avaliação independente do cumprimento de obrigações constantes em termos de relicitação, bem como apoio especializado no acompanhamento de relicitações.</w:t>
      </w:r>
    </w:p>
    <w:p w14:paraId="1CC74C37" w14:textId="77777777" w:rsidR="0062531D" w:rsidRPr="00D85639" w:rsidRDefault="0062531D" w:rsidP="0062531D">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O montante de R$ 12,9 milhões, relativos aos TEDs n</w:t>
      </w:r>
      <w:bookmarkStart w:id="64" w:name="_Hlk183818043"/>
      <w:r w:rsidRPr="00EB5C64">
        <w:rPr>
          <w:rFonts w:asciiTheme="minorHAnsi" w:hAnsiTheme="minorHAnsi" w:cstheme="minorHAnsi"/>
          <w:u w:val="single"/>
          <w:shd w:val="clear" w:color="auto" w:fill="FFFFFF"/>
          <w:vertAlign w:val="superscript"/>
        </w:rPr>
        <w:t>os</w:t>
      </w:r>
      <w:r w:rsidRPr="00D85639">
        <w:rPr>
          <w:rFonts w:asciiTheme="minorHAnsi" w:hAnsiTheme="minorHAnsi" w:cstheme="minorHAnsi"/>
          <w:szCs w:val="21"/>
          <w:shd w:val="clear" w:color="auto" w:fill="FFFFFF"/>
        </w:rPr>
        <w:t xml:space="preserve"> </w:t>
      </w:r>
      <w:bookmarkEnd w:id="64"/>
      <w:r w:rsidRPr="00D85639">
        <w:rPr>
          <w:rFonts w:asciiTheme="minorHAnsi" w:hAnsiTheme="minorHAnsi" w:cstheme="minorHAnsi"/>
          <w:szCs w:val="21"/>
          <w:shd w:val="clear" w:color="auto" w:fill="FFFFFF"/>
        </w:rPr>
        <w:t>01/2021; 02/2021; VCP/2021 e ASGA/2021, foi aportado ao PNUD. O valor do TED n</w:t>
      </w:r>
      <w:r>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01/2022 foi utilizado na contratação da empresa </w:t>
      </w:r>
      <w:proofErr w:type="spellStart"/>
      <w:r w:rsidRPr="00D85639">
        <w:rPr>
          <w:rFonts w:asciiTheme="minorHAnsi" w:hAnsiTheme="minorHAnsi" w:cstheme="minorHAnsi"/>
          <w:szCs w:val="21"/>
          <w:shd w:val="clear" w:color="auto" w:fill="FFFFFF"/>
        </w:rPr>
        <w:t>Strata</w:t>
      </w:r>
      <w:proofErr w:type="spellEnd"/>
      <w:r w:rsidRPr="00D85639">
        <w:rPr>
          <w:rFonts w:asciiTheme="minorHAnsi" w:hAnsiTheme="minorHAnsi" w:cstheme="minorHAnsi"/>
          <w:szCs w:val="21"/>
          <w:shd w:val="clear" w:color="auto" w:fill="FFFFFF"/>
        </w:rPr>
        <w:t xml:space="preserve"> Engenharia </w:t>
      </w:r>
      <w:r>
        <w:rPr>
          <w:rFonts w:asciiTheme="minorHAnsi" w:hAnsiTheme="minorHAnsi" w:cstheme="minorHAnsi"/>
          <w:szCs w:val="21"/>
          <w:shd w:val="clear" w:color="auto" w:fill="FFFFFF"/>
        </w:rPr>
        <w:t xml:space="preserve">Ltda. </w:t>
      </w:r>
      <w:r w:rsidRPr="00D85639">
        <w:rPr>
          <w:rFonts w:asciiTheme="minorHAnsi" w:hAnsiTheme="minorHAnsi" w:cstheme="minorHAnsi"/>
          <w:szCs w:val="21"/>
          <w:shd w:val="clear" w:color="auto" w:fill="FFFFFF"/>
        </w:rPr>
        <w:t>(Contrato n</w:t>
      </w:r>
      <w:r>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011/2022) e o valor do TED n</w:t>
      </w:r>
      <w:r>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02/2022 na contratação da empresa Humberto Santana </w:t>
      </w:r>
      <w:r w:rsidRPr="00780439">
        <w:rPr>
          <w:rFonts w:asciiTheme="minorHAnsi" w:hAnsiTheme="minorHAnsi" w:cstheme="minorHAnsi"/>
          <w:szCs w:val="21"/>
          <w:shd w:val="clear" w:color="auto" w:fill="FFFFFF"/>
        </w:rPr>
        <w:t>Engenheiros Consultores Ltda</w:t>
      </w:r>
      <w:r>
        <w:rPr>
          <w:rFonts w:asciiTheme="minorHAnsi" w:hAnsiTheme="minorHAnsi" w:cstheme="minorHAnsi"/>
          <w:szCs w:val="21"/>
          <w:shd w:val="clear" w:color="auto" w:fill="FFFFFF"/>
        </w:rPr>
        <w:t xml:space="preserve">. </w:t>
      </w:r>
      <w:r w:rsidRPr="00D85639">
        <w:rPr>
          <w:rFonts w:asciiTheme="minorHAnsi" w:hAnsiTheme="minorHAnsi" w:cstheme="minorHAnsi"/>
          <w:szCs w:val="21"/>
          <w:shd w:val="clear" w:color="auto" w:fill="FFFFFF"/>
        </w:rPr>
        <w:t>(Contrato n</w:t>
      </w:r>
      <w:r>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012/2022). </w:t>
      </w:r>
    </w:p>
    <w:p w14:paraId="24C3A429" w14:textId="77777777" w:rsidR="0062531D" w:rsidRDefault="0062531D" w:rsidP="0062531D">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w:t>
      </w:r>
      <w:r>
        <w:rPr>
          <w:rFonts w:asciiTheme="minorHAnsi" w:hAnsiTheme="minorHAnsi" w:cstheme="minorHAnsi"/>
          <w:szCs w:val="21"/>
          <w:shd w:val="clear" w:color="auto" w:fill="FFFFFF"/>
        </w:rPr>
        <w:t>Nota Explicativa</w:t>
      </w:r>
      <w:r w:rsidRPr="00D85639">
        <w:rPr>
          <w:rFonts w:asciiTheme="minorHAnsi" w:hAnsiTheme="minorHAnsi" w:cstheme="minorHAnsi"/>
          <w:szCs w:val="21"/>
          <w:shd w:val="clear" w:color="auto" w:fill="FFFFFF"/>
        </w:rPr>
        <w:t xml:space="preserve"> 7 - b), bem como de um passivo pelo TED a comprovar recebido pela Infra S.A., os quais serão baixados concomitantemente quando da aprovação da prestação de contas.</w:t>
      </w:r>
    </w:p>
    <w:p w14:paraId="3A87A1A0" w14:textId="4A9C6FB1" w:rsidR="00894525" w:rsidRDefault="00DF5D7D" w:rsidP="0062531D">
      <w:pPr>
        <w:pStyle w:val="Textoembloco"/>
        <w:spacing w:before="120" w:line="264" w:lineRule="auto"/>
        <w:ind w:left="0" w:right="0"/>
        <w:rPr>
          <w:rFonts w:asciiTheme="minorHAnsi" w:hAnsiTheme="minorHAnsi" w:cstheme="minorHAnsi"/>
          <w:szCs w:val="21"/>
          <w:shd w:val="clear" w:color="auto" w:fill="FFFFFF"/>
        </w:rPr>
      </w:pPr>
      <w:r w:rsidRPr="00ED757C">
        <w:rPr>
          <w:rFonts w:asciiTheme="minorHAnsi" w:hAnsiTheme="minorHAnsi" w:cstheme="minorHAnsi"/>
          <w:szCs w:val="21"/>
          <w:shd w:val="clear" w:color="auto" w:fill="FFFFFF"/>
        </w:rPr>
        <w:t xml:space="preserve">Destaca-se que, segundo informações da </w:t>
      </w:r>
      <w:r>
        <w:rPr>
          <w:rFonts w:asciiTheme="minorHAnsi" w:hAnsiTheme="minorHAnsi" w:cstheme="minorHAnsi"/>
          <w:szCs w:val="21"/>
          <w:shd w:val="clear" w:color="auto" w:fill="FFFFFF"/>
        </w:rPr>
        <w:t>Á</w:t>
      </w:r>
      <w:r w:rsidRPr="00ED757C">
        <w:rPr>
          <w:rFonts w:asciiTheme="minorHAnsi" w:hAnsiTheme="minorHAnsi" w:cstheme="minorHAnsi"/>
          <w:szCs w:val="21"/>
          <w:shd w:val="clear" w:color="auto" w:fill="FFFFFF"/>
        </w:rPr>
        <w:t xml:space="preserve">rea </w:t>
      </w:r>
      <w:r>
        <w:rPr>
          <w:rFonts w:asciiTheme="minorHAnsi" w:hAnsiTheme="minorHAnsi" w:cstheme="minorHAnsi"/>
          <w:szCs w:val="21"/>
          <w:shd w:val="clear" w:color="auto" w:fill="FFFFFF"/>
        </w:rPr>
        <w:t>T</w:t>
      </w:r>
      <w:r w:rsidRPr="00ED757C">
        <w:rPr>
          <w:rFonts w:asciiTheme="minorHAnsi" w:hAnsiTheme="minorHAnsi" w:cstheme="minorHAnsi"/>
          <w:szCs w:val="21"/>
          <w:shd w:val="clear" w:color="auto" w:fill="FFFFFF"/>
        </w:rPr>
        <w:t xml:space="preserve">écnica, </w:t>
      </w:r>
      <w:r>
        <w:rPr>
          <w:rFonts w:asciiTheme="minorHAnsi" w:hAnsiTheme="minorHAnsi" w:cstheme="minorHAnsi"/>
          <w:szCs w:val="21"/>
          <w:shd w:val="clear" w:color="auto" w:fill="FFFFFF"/>
        </w:rPr>
        <w:t xml:space="preserve">tanto </w:t>
      </w:r>
      <w:r w:rsidRPr="00ED757C">
        <w:rPr>
          <w:rFonts w:asciiTheme="minorHAnsi" w:hAnsiTheme="minorHAnsi" w:cstheme="minorHAnsi"/>
          <w:szCs w:val="21"/>
          <w:shd w:val="clear" w:color="auto" w:fill="FFFFFF"/>
        </w:rPr>
        <w:t xml:space="preserve">os serviços técnicos referentes </w:t>
      </w:r>
      <w:r w:rsidR="00894525">
        <w:rPr>
          <w:rFonts w:asciiTheme="minorHAnsi" w:hAnsiTheme="minorHAnsi" w:cstheme="minorHAnsi"/>
          <w:szCs w:val="21"/>
          <w:shd w:val="clear" w:color="auto" w:fill="FFFFFF"/>
        </w:rPr>
        <w:t>ao</w:t>
      </w:r>
      <w:r w:rsidRPr="00ED757C">
        <w:rPr>
          <w:rFonts w:asciiTheme="minorHAnsi" w:hAnsiTheme="minorHAnsi" w:cstheme="minorHAnsi"/>
          <w:szCs w:val="21"/>
          <w:shd w:val="clear" w:color="auto" w:fill="FFFFFF"/>
        </w:rPr>
        <w:t xml:space="preserve"> TED n</w:t>
      </w:r>
      <w:r>
        <w:rPr>
          <w:rFonts w:asciiTheme="minorHAnsi" w:hAnsiTheme="minorHAnsi" w:cstheme="minorHAnsi"/>
          <w:szCs w:val="21"/>
          <w:shd w:val="clear" w:color="auto" w:fill="FFFFFF"/>
        </w:rPr>
        <w:t>°</w:t>
      </w:r>
      <w:r w:rsidRPr="00ED757C">
        <w:rPr>
          <w:rFonts w:asciiTheme="minorHAnsi" w:hAnsiTheme="minorHAnsi" w:cstheme="minorHAnsi"/>
          <w:szCs w:val="21"/>
          <w:shd w:val="clear" w:color="auto" w:fill="FFFFFF"/>
        </w:rPr>
        <w:t xml:space="preserve"> ASGA/2021</w:t>
      </w:r>
      <w:r>
        <w:rPr>
          <w:rFonts w:asciiTheme="minorHAnsi" w:hAnsiTheme="minorHAnsi" w:cstheme="minorHAnsi"/>
          <w:szCs w:val="21"/>
          <w:shd w:val="clear" w:color="auto" w:fill="FFFFFF"/>
        </w:rPr>
        <w:t xml:space="preserve">, quanto </w:t>
      </w:r>
      <w:r w:rsidR="00894525">
        <w:rPr>
          <w:rFonts w:asciiTheme="minorHAnsi" w:hAnsiTheme="minorHAnsi" w:cstheme="minorHAnsi"/>
          <w:szCs w:val="21"/>
          <w:shd w:val="clear" w:color="auto" w:fill="FFFFFF"/>
        </w:rPr>
        <w:t>os</w:t>
      </w:r>
      <w:r>
        <w:rPr>
          <w:rFonts w:asciiTheme="minorHAnsi" w:hAnsiTheme="minorHAnsi" w:cstheme="minorHAnsi"/>
          <w:szCs w:val="21"/>
          <w:shd w:val="clear" w:color="auto" w:fill="FFFFFF"/>
        </w:rPr>
        <w:t xml:space="preserve"> do</w:t>
      </w:r>
      <w:r w:rsidR="00894525">
        <w:rPr>
          <w:rFonts w:asciiTheme="minorHAnsi" w:hAnsiTheme="minorHAnsi" w:cstheme="minorHAnsi"/>
          <w:szCs w:val="21"/>
          <w:shd w:val="clear" w:color="auto" w:fill="FFFFFF"/>
        </w:rPr>
        <w:t xml:space="preserve"> </w:t>
      </w:r>
      <w:r w:rsidR="00894525" w:rsidRPr="00ED757C">
        <w:rPr>
          <w:rFonts w:asciiTheme="minorHAnsi" w:hAnsiTheme="minorHAnsi" w:cstheme="minorHAnsi"/>
          <w:szCs w:val="21"/>
          <w:shd w:val="clear" w:color="auto" w:fill="FFFFFF"/>
        </w:rPr>
        <w:t>TED n</w:t>
      </w:r>
      <w:r w:rsidR="00894525">
        <w:rPr>
          <w:rFonts w:asciiTheme="minorHAnsi" w:hAnsiTheme="minorHAnsi" w:cstheme="minorHAnsi"/>
          <w:szCs w:val="21"/>
          <w:shd w:val="clear" w:color="auto" w:fill="FFFFFF"/>
        </w:rPr>
        <w:t>°</w:t>
      </w:r>
      <w:r w:rsidR="00894525" w:rsidRPr="00ED757C">
        <w:rPr>
          <w:rFonts w:asciiTheme="minorHAnsi" w:hAnsiTheme="minorHAnsi" w:cstheme="minorHAnsi"/>
          <w:szCs w:val="21"/>
          <w:shd w:val="clear" w:color="auto" w:fill="FFFFFF"/>
        </w:rPr>
        <w:t xml:space="preserve"> </w:t>
      </w:r>
      <w:r w:rsidRPr="00B12ED4">
        <w:rPr>
          <w:rFonts w:asciiTheme="minorHAnsi" w:hAnsiTheme="minorHAnsi" w:cstheme="minorHAnsi"/>
          <w:szCs w:val="21"/>
          <w:shd w:val="clear" w:color="auto" w:fill="FFFFFF"/>
        </w:rPr>
        <w:t>VCP/2021</w:t>
      </w:r>
      <w:r w:rsidRPr="00ED757C">
        <w:rPr>
          <w:rFonts w:asciiTheme="minorHAnsi" w:hAnsiTheme="minorHAnsi" w:cstheme="minorHAnsi"/>
          <w:szCs w:val="21"/>
          <w:shd w:val="clear" w:color="auto" w:fill="FFFFFF"/>
        </w:rPr>
        <w:t xml:space="preserve"> foram encerrados</w:t>
      </w:r>
      <w:r>
        <w:rPr>
          <w:rFonts w:asciiTheme="minorHAnsi" w:hAnsiTheme="minorHAnsi" w:cstheme="minorHAnsi"/>
          <w:szCs w:val="21"/>
          <w:shd w:val="clear" w:color="auto" w:fill="FFFFFF"/>
        </w:rPr>
        <w:t>, sendo os</w:t>
      </w:r>
      <w:r w:rsidRPr="00ED757C">
        <w:rPr>
          <w:rFonts w:asciiTheme="minorHAnsi" w:hAnsiTheme="minorHAnsi" w:cstheme="minorHAnsi"/>
          <w:szCs w:val="21"/>
          <w:shd w:val="clear" w:color="auto" w:fill="FFFFFF"/>
        </w:rPr>
        <w:t xml:space="preserve"> Relatório</w:t>
      </w:r>
      <w:r>
        <w:rPr>
          <w:rFonts w:asciiTheme="minorHAnsi" w:hAnsiTheme="minorHAnsi" w:cstheme="minorHAnsi"/>
          <w:szCs w:val="21"/>
          <w:shd w:val="clear" w:color="auto" w:fill="FFFFFF"/>
        </w:rPr>
        <w:t>s</w:t>
      </w:r>
      <w:r w:rsidRPr="00ED757C">
        <w:rPr>
          <w:rFonts w:asciiTheme="minorHAnsi" w:hAnsiTheme="minorHAnsi" w:cstheme="minorHAnsi"/>
          <w:szCs w:val="21"/>
          <w:shd w:val="clear" w:color="auto" w:fill="FFFFFF"/>
        </w:rPr>
        <w:t xml:space="preserve"> Fina</w:t>
      </w:r>
      <w:r>
        <w:rPr>
          <w:rFonts w:asciiTheme="minorHAnsi" w:hAnsiTheme="minorHAnsi" w:cstheme="minorHAnsi"/>
          <w:szCs w:val="21"/>
          <w:shd w:val="clear" w:color="auto" w:fill="FFFFFF"/>
        </w:rPr>
        <w:t>is</w:t>
      </w:r>
      <w:r w:rsidRPr="00ED757C">
        <w:rPr>
          <w:rFonts w:asciiTheme="minorHAnsi" w:hAnsiTheme="minorHAnsi" w:cstheme="minorHAnsi"/>
          <w:szCs w:val="21"/>
          <w:shd w:val="clear" w:color="auto" w:fill="FFFFFF"/>
        </w:rPr>
        <w:t xml:space="preserve"> de Cumprimento do Objeto </w:t>
      </w:r>
      <w:r>
        <w:rPr>
          <w:rFonts w:asciiTheme="minorHAnsi" w:hAnsiTheme="minorHAnsi" w:cstheme="minorHAnsi"/>
          <w:szCs w:val="21"/>
          <w:shd w:val="clear" w:color="auto" w:fill="FFFFFF"/>
        </w:rPr>
        <w:t>disponibilizados em</w:t>
      </w:r>
      <w:r w:rsidRPr="00ED757C">
        <w:rPr>
          <w:rFonts w:asciiTheme="minorHAnsi" w:hAnsiTheme="minorHAnsi" w:cstheme="minorHAnsi"/>
          <w:szCs w:val="21"/>
          <w:shd w:val="clear" w:color="auto" w:fill="FFFFFF"/>
        </w:rPr>
        <w:t xml:space="preserve"> 10/08/2023</w:t>
      </w:r>
      <w:r>
        <w:rPr>
          <w:rFonts w:asciiTheme="minorHAnsi" w:hAnsiTheme="minorHAnsi" w:cstheme="minorHAnsi"/>
          <w:szCs w:val="21"/>
          <w:shd w:val="clear" w:color="auto" w:fill="FFFFFF"/>
        </w:rPr>
        <w:t xml:space="preserve"> e 17/09/2024, respectivamente</w:t>
      </w:r>
      <w:r w:rsidRPr="00ED757C">
        <w:rPr>
          <w:rFonts w:asciiTheme="minorHAnsi" w:hAnsiTheme="minorHAnsi" w:cstheme="minorHAnsi"/>
          <w:szCs w:val="21"/>
          <w:shd w:val="clear" w:color="auto" w:fill="FFFFFF"/>
        </w:rPr>
        <w:t xml:space="preserve">, </w:t>
      </w:r>
      <w:r w:rsidR="00894525">
        <w:rPr>
          <w:rFonts w:asciiTheme="minorHAnsi" w:hAnsiTheme="minorHAnsi" w:cstheme="minorHAnsi"/>
          <w:szCs w:val="21"/>
          <w:shd w:val="clear" w:color="auto" w:fill="FFFFFF"/>
        </w:rPr>
        <w:t xml:space="preserve">ao </w:t>
      </w:r>
      <w:r w:rsidR="00894525" w:rsidRPr="00B12ED4">
        <w:rPr>
          <w:rFonts w:asciiTheme="minorHAnsi" w:hAnsiTheme="minorHAnsi" w:cstheme="minorHAnsi"/>
          <w:szCs w:val="21"/>
          <w:shd w:val="clear" w:color="auto" w:fill="FFFFFF"/>
        </w:rPr>
        <w:t>Departamento de Outorgas, Patrimônio e Políticas Regulatórias Aeroportuárias da Secretaria Nacional de Aviação Civil</w:t>
      </w:r>
      <w:r w:rsidR="00894525">
        <w:rPr>
          <w:rFonts w:asciiTheme="minorHAnsi" w:hAnsiTheme="minorHAnsi" w:cstheme="minorHAnsi"/>
          <w:szCs w:val="21"/>
          <w:shd w:val="clear" w:color="auto" w:fill="FFFFFF"/>
        </w:rPr>
        <w:t xml:space="preserve"> </w:t>
      </w:r>
      <w:r>
        <w:rPr>
          <w:rFonts w:asciiTheme="minorHAnsi" w:hAnsiTheme="minorHAnsi" w:cstheme="minorHAnsi"/>
          <w:szCs w:val="21"/>
          <w:shd w:val="clear" w:color="auto" w:fill="FFFFFF"/>
        </w:rPr>
        <w:t>r</w:t>
      </w:r>
      <w:r w:rsidRPr="00ED757C">
        <w:rPr>
          <w:rFonts w:asciiTheme="minorHAnsi" w:hAnsiTheme="minorHAnsi" w:cstheme="minorHAnsi"/>
          <w:szCs w:val="21"/>
          <w:shd w:val="clear" w:color="auto" w:fill="FFFFFF"/>
        </w:rPr>
        <w:t xml:space="preserve">estando pendente a aprovação do Ministério no SIAFI. </w:t>
      </w:r>
    </w:p>
    <w:p w14:paraId="007D8BFF" w14:textId="6E6E3268" w:rsidR="0062531D" w:rsidRPr="00ED757C" w:rsidRDefault="0062531D" w:rsidP="00B33B5E">
      <w:pPr>
        <w:pStyle w:val="Textoembloco"/>
        <w:spacing w:before="120" w:after="0" w:line="264" w:lineRule="auto"/>
        <w:ind w:left="0" w:right="0"/>
        <w:rPr>
          <w:rFonts w:asciiTheme="minorHAnsi" w:hAnsiTheme="minorHAnsi" w:cstheme="minorHAnsi"/>
          <w:szCs w:val="21"/>
          <w:shd w:val="clear" w:color="auto" w:fill="FFFFFF"/>
        </w:rPr>
      </w:pPr>
      <w:r w:rsidRPr="00ED757C">
        <w:rPr>
          <w:rFonts w:asciiTheme="minorHAnsi" w:hAnsiTheme="minorHAnsi" w:cstheme="minorHAnsi"/>
          <w:szCs w:val="21"/>
          <w:shd w:val="clear" w:color="auto" w:fill="FFFFFF"/>
        </w:rPr>
        <w:lastRenderedPageBreak/>
        <w:t>Os TEDs n</w:t>
      </w:r>
      <w:r w:rsidRPr="00EB5C64">
        <w:rPr>
          <w:rFonts w:asciiTheme="minorHAnsi" w:hAnsiTheme="minorHAnsi" w:cstheme="minorHAnsi"/>
          <w:u w:val="single"/>
          <w:shd w:val="clear" w:color="auto" w:fill="FFFFFF"/>
          <w:vertAlign w:val="superscript"/>
        </w:rPr>
        <w:t>os</w:t>
      </w:r>
      <w:r w:rsidRPr="00ED757C">
        <w:rPr>
          <w:rFonts w:asciiTheme="minorHAnsi" w:hAnsiTheme="minorHAnsi" w:cstheme="minorHAnsi"/>
          <w:szCs w:val="21"/>
          <w:shd w:val="clear" w:color="auto" w:fill="FFFFFF"/>
        </w:rPr>
        <w:t xml:space="preserve"> 001/2021 e 002/2021 ainda estão em andamento, </w:t>
      </w:r>
      <w:r w:rsidR="00DF5D7D">
        <w:rPr>
          <w:rFonts w:asciiTheme="minorHAnsi" w:hAnsiTheme="minorHAnsi" w:cstheme="minorHAnsi"/>
          <w:szCs w:val="21"/>
          <w:shd w:val="clear" w:color="auto" w:fill="FFFFFF"/>
        </w:rPr>
        <w:t>e tiveram vigência prorrogada para maio de 2025</w:t>
      </w:r>
      <w:r w:rsidR="00894525">
        <w:rPr>
          <w:rFonts w:asciiTheme="minorHAnsi" w:hAnsiTheme="minorHAnsi" w:cstheme="minorHAnsi"/>
          <w:szCs w:val="21"/>
          <w:shd w:val="clear" w:color="auto" w:fill="FFFFFF"/>
        </w:rPr>
        <w:t xml:space="preserve">. Enquanto os </w:t>
      </w:r>
      <w:r w:rsidR="00894525" w:rsidRPr="00ED757C">
        <w:rPr>
          <w:rFonts w:asciiTheme="minorHAnsi" w:hAnsiTheme="minorHAnsi" w:cstheme="minorHAnsi"/>
          <w:szCs w:val="21"/>
          <w:shd w:val="clear" w:color="auto" w:fill="FFFFFF"/>
        </w:rPr>
        <w:t>TEDs n</w:t>
      </w:r>
      <w:r w:rsidR="00894525" w:rsidRPr="00EB5C64">
        <w:rPr>
          <w:rFonts w:asciiTheme="minorHAnsi" w:hAnsiTheme="minorHAnsi" w:cstheme="minorHAnsi"/>
          <w:u w:val="single"/>
          <w:shd w:val="clear" w:color="auto" w:fill="FFFFFF"/>
          <w:vertAlign w:val="superscript"/>
        </w:rPr>
        <w:t>os</w:t>
      </w:r>
      <w:r w:rsidR="00894525" w:rsidRPr="00ED757C">
        <w:rPr>
          <w:rFonts w:asciiTheme="minorHAnsi" w:hAnsiTheme="minorHAnsi" w:cstheme="minorHAnsi"/>
          <w:szCs w:val="21"/>
          <w:shd w:val="clear" w:color="auto" w:fill="FFFFFF"/>
        </w:rPr>
        <w:t xml:space="preserve"> 001/202</w:t>
      </w:r>
      <w:r w:rsidR="00894525">
        <w:rPr>
          <w:rFonts w:asciiTheme="minorHAnsi" w:hAnsiTheme="minorHAnsi" w:cstheme="minorHAnsi"/>
          <w:szCs w:val="21"/>
          <w:shd w:val="clear" w:color="auto" w:fill="FFFFFF"/>
        </w:rPr>
        <w:t>2</w:t>
      </w:r>
      <w:r w:rsidR="00894525" w:rsidRPr="00ED757C">
        <w:rPr>
          <w:rFonts w:asciiTheme="minorHAnsi" w:hAnsiTheme="minorHAnsi" w:cstheme="minorHAnsi"/>
          <w:szCs w:val="21"/>
          <w:shd w:val="clear" w:color="auto" w:fill="FFFFFF"/>
        </w:rPr>
        <w:t xml:space="preserve"> e 002/202</w:t>
      </w:r>
      <w:r w:rsidR="00894525">
        <w:rPr>
          <w:rFonts w:asciiTheme="minorHAnsi" w:hAnsiTheme="minorHAnsi" w:cstheme="minorHAnsi"/>
          <w:szCs w:val="21"/>
          <w:shd w:val="clear" w:color="auto" w:fill="FFFFFF"/>
        </w:rPr>
        <w:t>2 tiveram vigência prorrogada para janeiro e junho de 2025, respectivamente.</w:t>
      </w:r>
    </w:p>
    <w:p w14:paraId="5D1102C5" w14:textId="77777777" w:rsidR="0062531D" w:rsidRPr="00ED757C" w:rsidRDefault="0062531D" w:rsidP="0062531D">
      <w:pPr>
        <w:pStyle w:val="Textoembloco"/>
        <w:spacing w:after="0" w:line="264" w:lineRule="auto"/>
        <w:ind w:left="0" w:right="0"/>
        <w:rPr>
          <w:rFonts w:asciiTheme="minorHAnsi" w:hAnsiTheme="minorHAnsi" w:cstheme="minorHAnsi"/>
          <w:szCs w:val="21"/>
          <w:shd w:val="clear" w:color="auto" w:fill="FFFFFF"/>
        </w:rPr>
      </w:pPr>
    </w:p>
    <w:p w14:paraId="4CD2B6D6" w14:textId="14AB64A8" w:rsidR="00F52ACF" w:rsidRPr="004E0040" w:rsidRDefault="00520030" w:rsidP="00D85639">
      <w:pPr>
        <w:pStyle w:val="Ttulo1"/>
        <w:rPr>
          <w:color w:val="0070C0"/>
        </w:rPr>
      </w:pPr>
      <w:bookmarkStart w:id="65" w:name="_Toc184926690"/>
      <w:r w:rsidRPr="004E0040">
        <w:rPr>
          <w:color w:val="0070C0"/>
        </w:rPr>
        <w:t>2</w:t>
      </w:r>
      <w:r w:rsidR="001F54A0">
        <w:rPr>
          <w:color w:val="0070C0"/>
        </w:rPr>
        <w:t>1</w:t>
      </w:r>
      <w:r w:rsidR="00F52ACF" w:rsidRPr="004E0040">
        <w:rPr>
          <w:color w:val="0070C0"/>
        </w:rPr>
        <w:t xml:space="preserve"> – </w:t>
      </w:r>
      <w:r w:rsidR="00942C3A" w:rsidRPr="004E0040">
        <w:rPr>
          <w:color w:val="0070C0"/>
        </w:rPr>
        <w:t>Arrendamentos de Ativos de Direito de Uso</w:t>
      </w:r>
      <w:bookmarkEnd w:id="65"/>
    </w:p>
    <w:p w14:paraId="297A93F3" w14:textId="77777777" w:rsidR="00F510AE" w:rsidRPr="00C51111" w:rsidRDefault="00F510AE" w:rsidP="00C51111">
      <w:pPr>
        <w:pStyle w:val="Textoembloco"/>
        <w:spacing w:before="120" w:line="264" w:lineRule="auto"/>
        <w:ind w:left="0" w:right="0"/>
        <w:rPr>
          <w:rFonts w:asciiTheme="minorHAnsi" w:hAnsiTheme="minorHAnsi" w:cstheme="minorHAnsi"/>
          <w:szCs w:val="21"/>
          <w:shd w:val="clear" w:color="auto" w:fill="FFFFFF"/>
        </w:rPr>
      </w:pPr>
      <w:r w:rsidRPr="00F510AE">
        <w:rPr>
          <w:rFonts w:cstheme="minorHAnsi"/>
        </w:rPr>
        <w:t xml:space="preserve">O </w:t>
      </w:r>
      <w:r w:rsidRPr="00C51111">
        <w:rPr>
          <w:rFonts w:asciiTheme="minorHAnsi" w:hAnsiTheme="minorHAnsi" w:cstheme="minorHAnsi"/>
          <w:szCs w:val="21"/>
          <w:shd w:val="clear" w:color="auto" w:fill="FFFFFF"/>
        </w:rPr>
        <w:t>Pronunciamento Técnico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5E8A898C" w14:textId="77777777" w:rsidR="00F510AE" w:rsidRPr="00C51111" w:rsidRDefault="00F510AE" w:rsidP="00C51111">
      <w:pPr>
        <w:pStyle w:val="Textoembloco"/>
        <w:spacing w:before="120" w:line="264" w:lineRule="auto"/>
        <w:ind w:left="0" w:right="0"/>
        <w:rPr>
          <w:rFonts w:asciiTheme="minorHAnsi" w:hAnsiTheme="minorHAnsi" w:cstheme="minorHAnsi"/>
          <w:szCs w:val="21"/>
          <w:shd w:val="clear" w:color="auto" w:fill="FFFFFF"/>
        </w:rPr>
      </w:pPr>
      <w:r w:rsidRPr="00C51111">
        <w:rPr>
          <w:rFonts w:asciiTheme="minorHAnsi" w:hAnsiTheme="minorHAnsi" w:cstheme="minorHAnsi"/>
          <w:szCs w:val="21"/>
          <w:shd w:val="clear" w:color="auto" w:fill="FFFFFF"/>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03CBA983" w14:textId="06583B51" w:rsidR="00F510AE" w:rsidRPr="00C51111" w:rsidRDefault="00F510AE" w:rsidP="00C51111">
      <w:pPr>
        <w:pStyle w:val="Textoembloco"/>
        <w:spacing w:before="120" w:line="264" w:lineRule="auto"/>
        <w:ind w:left="0" w:right="0"/>
        <w:rPr>
          <w:rFonts w:asciiTheme="minorHAnsi" w:hAnsiTheme="minorHAnsi" w:cstheme="minorHAnsi"/>
          <w:szCs w:val="21"/>
          <w:shd w:val="clear" w:color="auto" w:fill="FFFFFF"/>
        </w:rPr>
      </w:pPr>
      <w:r w:rsidRPr="00C51111">
        <w:rPr>
          <w:rFonts w:asciiTheme="minorHAnsi" w:hAnsiTheme="minorHAnsi" w:cstheme="minorHAnsi"/>
          <w:szCs w:val="21"/>
          <w:shd w:val="clear" w:color="auto" w:fill="FFFFFF"/>
        </w:rPr>
        <w:t>Assim, a conta “Direito de Uso de Imóvel” trata-se de direitos com origem em contratos de locação de imóveis que, após análise nos contratos, verificou-se que somente o contrato de locação do imóvel onde se encontra a Sede da empresa preenche os requisitos estabelecidos no Pronunciamento Técnico CPC 06 (R2) – Arrendamentos. A Empresa optou por não reconhecer o direito de uso e o passivo de arrendamento relacionados a bens de baixo valor. Neste caso, a despesa de arrendamento é reconhecida de forma linear ao longo do período do contrato.</w:t>
      </w:r>
    </w:p>
    <w:p w14:paraId="3732BE6A" w14:textId="77777777" w:rsidR="00F510AE" w:rsidRPr="00C51111" w:rsidRDefault="00F510AE" w:rsidP="00C51111">
      <w:pPr>
        <w:pStyle w:val="Textoembloco"/>
        <w:spacing w:before="120" w:line="264" w:lineRule="auto"/>
        <w:ind w:left="0" w:right="0"/>
        <w:rPr>
          <w:rFonts w:asciiTheme="minorHAnsi" w:hAnsiTheme="minorHAnsi" w:cstheme="minorHAnsi"/>
          <w:szCs w:val="21"/>
          <w:shd w:val="clear" w:color="auto" w:fill="FFFFFF"/>
        </w:rPr>
      </w:pPr>
      <w:r w:rsidRPr="00C51111">
        <w:rPr>
          <w:rFonts w:asciiTheme="minorHAnsi" w:hAnsiTheme="minorHAnsi" w:cstheme="minorHAnsi"/>
          <w:szCs w:val="21"/>
          <w:shd w:val="clear" w:color="auto" w:fill="FFFFFF"/>
        </w:rPr>
        <w:t>Para atender ao previsto no Pronunciamento Técnico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30BFA859" w14:textId="77777777" w:rsidR="00F510AE" w:rsidRPr="00C51111" w:rsidRDefault="00F510AE" w:rsidP="00C51111">
      <w:pPr>
        <w:pStyle w:val="Textoembloco"/>
        <w:spacing w:before="120" w:line="264" w:lineRule="auto"/>
        <w:ind w:left="0" w:right="0"/>
        <w:rPr>
          <w:rFonts w:asciiTheme="minorHAnsi" w:hAnsiTheme="minorHAnsi" w:cstheme="minorHAnsi"/>
          <w:szCs w:val="21"/>
          <w:shd w:val="clear" w:color="auto" w:fill="FFFFFF"/>
        </w:rPr>
      </w:pPr>
      <w:r w:rsidRPr="00C51111">
        <w:rPr>
          <w:rFonts w:asciiTheme="minorHAnsi" w:hAnsiTheme="minorHAnsi" w:cstheme="minorHAnsi"/>
          <w:szCs w:val="21"/>
          <w:shd w:val="clear" w:color="auto" w:fill="FFFFFF"/>
        </w:rPr>
        <w:t>Considerando que o recurso disponibilizado à Infra S.A. tem como fonte o Tesouro Nacional, a taxa de desconto definida para o cálculo de valor presente dos contratos em questão foi a Taxa SELIC, visto que seria a taxa empregada no caso de uma captação de recursos (taxa incremental).</w:t>
      </w:r>
    </w:p>
    <w:p w14:paraId="3D94477A" w14:textId="1F6ED299" w:rsidR="00F510AE" w:rsidRPr="00436859" w:rsidRDefault="00F510AE" w:rsidP="00436859">
      <w:pPr>
        <w:pStyle w:val="Textoembloco"/>
        <w:spacing w:before="120" w:line="264" w:lineRule="auto"/>
        <w:ind w:left="0" w:right="0"/>
        <w:rPr>
          <w:rFonts w:asciiTheme="minorHAnsi" w:hAnsiTheme="minorHAnsi" w:cstheme="minorHAnsi"/>
          <w:szCs w:val="21"/>
          <w:shd w:val="clear" w:color="auto" w:fill="FFFFFF"/>
        </w:rPr>
      </w:pPr>
      <w:r w:rsidRPr="00C51111">
        <w:rPr>
          <w:rFonts w:asciiTheme="minorHAnsi" w:hAnsiTheme="minorHAnsi" w:cstheme="minorHAnsi"/>
          <w:szCs w:val="21"/>
          <w:shd w:val="clear" w:color="auto" w:fill="FFFFFF"/>
        </w:rPr>
        <w:t>A rubrica “Direito de uso”, registrada no ativo imobilizado e evidenciada na Nota Explicativa 13.2 – Bens Imóveis, apresentou a seguinte movimentação no primeiro trimestre de 202</w:t>
      </w:r>
      <w:r w:rsidR="00B037E5">
        <w:rPr>
          <w:rFonts w:asciiTheme="minorHAnsi" w:hAnsiTheme="minorHAnsi" w:cstheme="minorHAnsi"/>
          <w:szCs w:val="21"/>
          <w:shd w:val="clear" w:color="auto" w:fill="FFFFFF"/>
        </w:rPr>
        <w:t>4</w:t>
      </w:r>
      <w:r w:rsidRPr="00C51111">
        <w:rPr>
          <w:rFonts w:asciiTheme="minorHAnsi" w:hAnsiTheme="minorHAnsi" w:cstheme="minorHAnsi"/>
          <w:szCs w:val="21"/>
          <w:shd w:val="clear" w:color="auto" w:fill="FFFFFF"/>
        </w:rPr>
        <w:t>:</w:t>
      </w:r>
    </w:p>
    <w:tbl>
      <w:tblPr>
        <w:tblW w:w="5000" w:type="pct"/>
        <w:tblCellMar>
          <w:left w:w="70" w:type="dxa"/>
          <w:right w:w="70" w:type="dxa"/>
        </w:tblCellMar>
        <w:tblLook w:val="04A0" w:firstRow="1" w:lastRow="0" w:firstColumn="1" w:lastColumn="0" w:noHBand="0" w:noVBand="1"/>
      </w:tblPr>
      <w:tblGrid>
        <w:gridCol w:w="5379"/>
        <w:gridCol w:w="1273"/>
        <w:gridCol w:w="1273"/>
        <w:gridCol w:w="1273"/>
        <w:gridCol w:w="1269"/>
      </w:tblGrid>
      <w:tr w:rsidR="005E57A7" w:rsidRPr="00176ACA" w14:paraId="71064CCE" w14:textId="77777777" w:rsidTr="005A30A6">
        <w:trPr>
          <w:trHeight w:hRule="exact" w:val="227"/>
        </w:trPr>
        <w:tc>
          <w:tcPr>
            <w:tcW w:w="2570" w:type="pct"/>
            <w:vMerge w:val="restart"/>
            <w:tcBorders>
              <w:top w:val="single" w:sz="8" w:space="0" w:color="auto"/>
              <w:left w:val="nil"/>
              <w:bottom w:val="single" w:sz="8" w:space="0" w:color="000000"/>
              <w:right w:val="nil"/>
            </w:tcBorders>
            <w:shd w:val="clear" w:color="000000" w:fill="DDEBF7"/>
            <w:noWrap/>
            <w:vAlign w:val="center"/>
            <w:hideMark/>
          </w:tcPr>
          <w:p w14:paraId="149890E4" w14:textId="77777777" w:rsidR="005E57A7" w:rsidRPr="00176ACA" w:rsidRDefault="005E57A7" w:rsidP="003D2A45">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Direito de uso</w:t>
            </w:r>
          </w:p>
        </w:tc>
        <w:tc>
          <w:tcPr>
            <w:tcW w:w="608" w:type="pct"/>
            <w:vMerge w:val="restart"/>
            <w:tcBorders>
              <w:top w:val="single" w:sz="8" w:space="0" w:color="auto"/>
              <w:left w:val="nil"/>
              <w:right w:val="nil"/>
            </w:tcBorders>
            <w:shd w:val="clear" w:color="000000" w:fill="DDEBF7"/>
            <w:vAlign w:val="center"/>
          </w:tcPr>
          <w:p w14:paraId="63E8EE6C" w14:textId="5054B5CF" w:rsidR="005E57A7" w:rsidRPr="00176ACA"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Saldo em 31/12/2023</w:t>
            </w:r>
          </w:p>
        </w:tc>
        <w:tc>
          <w:tcPr>
            <w:tcW w:w="608" w:type="pct"/>
            <w:vMerge w:val="restart"/>
            <w:tcBorders>
              <w:top w:val="single" w:sz="8" w:space="0" w:color="auto"/>
              <w:left w:val="nil"/>
              <w:bottom w:val="single" w:sz="8" w:space="0" w:color="000000"/>
              <w:right w:val="nil"/>
            </w:tcBorders>
            <w:shd w:val="clear" w:color="000000" w:fill="DDEBF7"/>
            <w:vAlign w:val="center"/>
            <w:hideMark/>
          </w:tcPr>
          <w:p w14:paraId="5BC702C5" w14:textId="77777777" w:rsidR="005E57A7" w:rsidRPr="00176ACA"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Depreciação</w:t>
            </w:r>
          </w:p>
        </w:tc>
        <w:tc>
          <w:tcPr>
            <w:tcW w:w="608" w:type="pct"/>
            <w:tcBorders>
              <w:top w:val="single" w:sz="8" w:space="0" w:color="auto"/>
              <w:left w:val="nil"/>
              <w:bottom w:val="nil"/>
              <w:right w:val="nil"/>
            </w:tcBorders>
            <w:shd w:val="clear" w:color="000000" w:fill="DDEBF7"/>
            <w:vAlign w:val="center"/>
            <w:hideMark/>
          </w:tcPr>
          <w:p w14:paraId="7CC231E7" w14:textId="77777777" w:rsidR="005E57A7" w:rsidRPr="00176ACA"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Atualização</w:t>
            </w:r>
          </w:p>
        </w:tc>
        <w:tc>
          <w:tcPr>
            <w:tcW w:w="608" w:type="pct"/>
            <w:vMerge w:val="restart"/>
            <w:tcBorders>
              <w:top w:val="single" w:sz="8" w:space="0" w:color="auto"/>
              <w:left w:val="nil"/>
              <w:bottom w:val="single" w:sz="8" w:space="0" w:color="000000"/>
              <w:right w:val="nil"/>
            </w:tcBorders>
            <w:shd w:val="clear" w:color="000000" w:fill="DDEBF7"/>
            <w:vAlign w:val="center"/>
            <w:hideMark/>
          </w:tcPr>
          <w:p w14:paraId="42091877" w14:textId="77777777" w:rsidR="005A30A6"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 xml:space="preserve">Saldo em </w:t>
            </w:r>
          </w:p>
          <w:p w14:paraId="6F8589D9" w14:textId="503FFE3C" w:rsidR="005E57A7" w:rsidRPr="00176ACA"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31/</w:t>
            </w:r>
            <w:r>
              <w:rPr>
                <w:rFonts w:ascii="Calibri" w:hAnsi="Calibri" w:cs="Calibri"/>
                <w:b/>
                <w:bCs/>
                <w:color w:val="000000"/>
                <w:sz w:val="16"/>
                <w:szCs w:val="16"/>
              </w:rPr>
              <w:t>03/2024</w:t>
            </w:r>
          </w:p>
        </w:tc>
      </w:tr>
      <w:tr w:rsidR="005E57A7" w:rsidRPr="00176ACA" w14:paraId="2619E2C3" w14:textId="77777777" w:rsidTr="005A30A6">
        <w:trPr>
          <w:trHeight w:hRule="exact" w:val="227"/>
        </w:trPr>
        <w:tc>
          <w:tcPr>
            <w:tcW w:w="2570" w:type="pct"/>
            <w:vMerge/>
            <w:tcBorders>
              <w:top w:val="single" w:sz="8" w:space="0" w:color="auto"/>
              <w:left w:val="nil"/>
              <w:bottom w:val="single" w:sz="8" w:space="0" w:color="000000"/>
              <w:right w:val="nil"/>
            </w:tcBorders>
            <w:vAlign w:val="center"/>
            <w:hideMark/>
          </w:tcPr>
          <w:p w14:paraId="19BD6829" w14:textId="77777777" w:rsidR="005E57A7" w:rsidRPr="00176ACA" w:rsidRDefault="005E57A7" w:rsidP="003D2A45">
            <w:pPr>
              <w:spacing w:after="0" w:line="240" w:lineRule="auto"/>
              <w:rPr>
                <w:rFonts w:ascii="Calibri" w:eastAsia="Times New Roman" w:hAnsi="Calibri" w:cs="Calibri"/>
                <w:b/>
                <w:bCs/>
                <w:color w:val="000000"/>
                <w:sz w:val="16"/>
                <w:szCs w:val="16"/>
              </w:rPr>
            </w:pPr>
          </w:p>
        </w:tc>
        <w:tc>
          <w:tcPr>
            <w:tcW w:w="608" w:type="pct"/>
            <w:vMerge/>
            <w:tcBorders>
              <w:left w:val="nil"/>
              <w:bottom w:val="single" w:sz="8" w:space="0" w:color="000000"/>
              <w:right w:val="nil"/>
            </w:tcBorders>
            <w:vAlign w:val="center"/>
          </w:tcPr>
          <w:p w14:paraId="64F75639" w14:textId="77777777" w:rsidR="005E57A7" w:rsidRPr="00176ACA" w:rsidRDefault="005E57A7" w:rsidP="005A30A6">
            <w:pPr>
              <w:spacing w:after="0" w:line="240" w:lineRule="auto"/>
              <w:jc w:val="right"/>
              <w:rPr>
                <w:rFonts w:ascii="Calibri" w:eastAsia="Times New Roman" w:hAnsi="Calibri" w:cs="Calibri"/>
                <w:b/>
                <w:bCs/>
                <w:color w:val="000000"/>
                <w:sz w:val="16"/>
                <w:szCs w:val="16"/>
              </w:rPr>
            </w:pPr>
          </w:p>
        </w:tc>
        <w:tc>
          <w:tcPr>
            <w:tcW w:w="608" w:type="pct"/>
            <w:vMerge/>
            <w:tcBorders>
              <w:top w:val="single" w:sz="8" w:space="0" w:color="auto"/>
              <w:left w:val="nil"/>
              <w:bottom w:val="single" w:sz="8" w:space="0" w:color="000000"/>
              <w:right w:val="nil"/>
            </w:tcBorders>
            <w:vAlign w:val="center"/>
            <w:hideMark/>
          </w:tcPr>
          <w:p w14:paraId="6F65E996" w14:textId="77777777" w:rsidR="005E57A7" w:rsidRPr="00176ACA" w:rsidRDefault="005E57A7" w:rsidP="005A30A6">
            <w:pPr>
              <w:spacing w:after="0" w:line="240" w:lineRule="auto"/>
              <w:jc w:val="right"/>
              <w:rPr>
                <w:rFonts w:ascii="Calibri" w:eastAsia="Times New Roman" w:hAnsi="Calibri" w:cs="Calibri"/>
                <w:b/>
                <w:bCs/>
                <w:color w:val="000000"/>
                <w:sz w:val="16"/>
                <w:szCs w:val="16"/>
              </w:rPr>
            </w:pPr>
          </w:p>
        </w:tc>
        <w:tc>
          <w:tcPr>
            <w:tcW w:w="608" w:type="pct"/>
            <w:tcBorders>
              <w:top w:val="nil"/>
              <w:left w:val="nil"/>
              <w:bottom w:val="single" w:sz="8" w:space="0" w:color="auto"/>
              <w:right w:val="nil"/>
            </w:tcBorders>
            <w:shd w:val="clear" w:color="000000" w:fill="DDEBF7"/>
            <w:vAlign w:val="center"/>
            <w:hideMark/>
          </w:tcPr>
          <w:p w14:paraId="33BF1714" w14:textId="2C897AEE" w:rsidR="005E57A7" w:rsidRPr="00176ACA" w:rsidRDefault="005E57A7" w:rsidP="005A30A6">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AVP</w:t>
            </w:r>
          </w:p>
        </w:tc>
        <w:tc>
          <w:tcPr>
            <w:tcW w:w="608" w:type="pct"/>
            <w:vMerge/>
            <w:tcBorders>
              <w:top w:val="single" w:sz="8" w:space="0" w:color="auto"/>
              <w:left w:val="nil"/>
              <w:bottom w:val="single" w:sz="8" w:space="0" w:color="000000"/>
              <w:right w:val="nil"/>
            </w:tcBorders>
            <w:vAlign w:val="center"/>
            <w:hideMark/>
          </w:tcPr>
          <w:p w14:paraId="27774835" w14:textId="77777777" w:rsidR="005E57A7" w:rsidRPr="00176ACA" w:rsidRDefault="005E57A7" w:rsidP="005A30A6">
            <w:pPr>
              <w:spacing w:after="0" w:line="240" w:lineRule="auto"/>
              <w:jc w:val="right"/>
              <w:rPr>
                <w:rFonts w:ascii="Calibri" w:eastAsia="Times New Roman" w:hAnsi="Calibri" w:cs="Calibri"/>
                <w:b/>
                <w:bCs/>
                <w:color w:val="000000"/>
                <w:sz w:val="16"/>
                <w:szCs w:val="16"/>
              </w:rPr>
            </w:pPr>
          </w:p>
        </w:tc>
      </w:tr>
      <w:tr w:rsidR="005E57A7" w:rsidRPr="00176ACA" w14:paraId="75B53697" w14:textId="77777777" w:rsidTr="005A30A6">
        <w:trPr>
          <w:trHeight w:hRule="exact" w:val="227"/>
        </w:trPr>
        <w:tc>
          <w:tcPr>
            <w:tcW w:w="2570" w:type="pct"/>
            <w:tcBorders>
              <w:top w:val="nil"/>
              <w:left w:val="nil"/>
              <w:bottom w:val="nil"/>
              <w:right w:val="nil"/>
            </w:tcBorders>
            <w:shd w:val="clear" w:color="auto" w:fill="auto"/>
            <w:noWrap/>
            <w:vAlign w:val="center"/>
            <w:hideMark/>
          </w:tcPr>
          <w:p w14:paraId="4A1D0D95" w14:textId="77777777" w:rsidR="005E57A7" w:rsidRPr="00176ACA" w:rsidRDefault="005E57A7" w:rsidP="003D2A45">
            <w:pPr>
              <w:spacing w:after="0" w:line="240" w:lineRule="auto"/>
              <w:rPr>
                <w:rFonts w:ascii="Calibri" w:eastAsia="Times New Roman" w:hAnsi="Calibri" w:cs="Calibri"/>
                <w:color w:val="000000"/>
                <w:sz w:val="16"/>
                <w:szCs w:val="16"/>
              </w:rPr>
            </w:pPr>
            <w:r w:rsidRPr="00176ACA">
              <w:rPr>
                <w:rFonts w:ascii="Calibri" w:eastAsia="Times New Roman" w:hAnsi="Calibri" w:cs="Calibri"/>
                <w:color w:val="000000"/>
                <w:sz w:val="16"/>
                <w:szCs w:val="16"/>
              </w:rPr>
              <w:t>Direito de Uso de Imóveis (Sede)</w:t>
            </w:r>
          </w:p>
        </w:tc>
        <w:tc>
          <w:tcPr>
            <w:tcW w:w="608" w:type="pct"/>
            <w:tcBorders>
              <w:top w:val="nil"/>
              <w:left w:val="nil"/>
              <w:bottom w:val="nil"/>
              <w:right w:val="nil"/>
            </w:tcBorders>
            <w:vAlign w:val="center"/>
          </w:tcPr>
          <w:p w14:paraId="7183A322" w14:textId="5CCFA7FB" w:rsidR="005E57A7" w:rsidRPr="00176ACA" w:rsidRDefault="005E57A7" w:rsidP="005A30A6">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19.099.122</w:t>
            </w:r>
          </w:p>
        </w:tc>
        <w:tc>
          <w:tcPr>
            <w:tcW w:w="608" w:type="pct"/>
            <w:tcBorders>
              <w:top w:val="nil"/>
              <w:left w:val="nil"/>
              <w:bottom w:val="nil"/>
              <w:right w:val="nil"/>
            </w:tcBorders>
            <w:shd w:val="clear" w:color="auto" w:fill="auto"/>
            <w:noWrap/>
            <w:vAlign w:val="center"/>
          </w:tcPr>
          <w:p w14:paraId="365B06DA" w14:textId="43C639DB"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608" w:type="pct"/>
            <w:tcBorders>
              <w:top w:val="nil"/>
              <w:left w:val="nil"/>
              <w:bottom w:val="nil"/>
              <w:right w:val="nil"/>
            </w:tcBorders>
            <w:shd w:val="clear" w:color="auto" w:fill="auto"/>
            <w:noWrap/>
            <w:vAlign w:val="center"/>
          </w:tcPr>
          <w:p w14:paraId="5D22A89E" w14:textId="60E34204"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 xml:space="preserve">254.702 </w:t>
            </w:r>
          </w:p>
        </w:tc>
        <w:tc>
          <w:tcPr>
            <w:tcW w:w="608" w:type="pct"/>
            <w:tcBorders>
              <w:top w:val="nil"/>
              <w:left w:val="nil"/>
              <w:bottom w:val="nil"/>
              <w:right w:val="nil"/>
            </w:tcBorders>
            <w:shd w:val="clear" w:color="auto" w:fill="auto"/>
            <w:noWrap/>
            <w:vAlign w:val="center"/>
          </w:tcPr>
          <w:p w14:paraId="74BC4523" w14:textId="0957A3D7"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 xml:space="preserve"> 19.353.824 </w:t>
            </w:r>
          </w:p>
        </w:tc>
      </w:tr>
      <w:tr w:rsidR="005E57A7" w:rsidRPr="00176ACA" w14:paraId="49B33480" w14:textId="77777777" w:rsidTr="005A30A6">
        <w:trPr>
          <w:trHeight w:hRule="exact" w:val="227"/>
        </w:trPr>
        <w:tc>
          <w:tcPr>
            <w:tcW w:w="2570" w:type="pct"/>
            <w:tcBorders>
              <w:top w:val="nil"/>
              <w:left w:val="nil"/>
              <w:bottom w:val="nil"/>
              <w:right w:val="nil"/>
            </w:tcBorders>
            <w:shd w:val="clear" w:color="auto" w:fill="auto"/>
            <w:noWrap/>
            <w:vAlign w:val="center"/>
            <w:hideMark/>
          </w:tcPr>
          <w:p w14:paraId="43FC27D5" w14:textId="11383E0A" w:rsidR="005E57A7" w:rsidRPr="00176ACA" w:rsidRDefault="005E57A7" w:rsidP="003D2A45">
            <w:pPr>
              <w:spacing w:after="0" w:line="240" w:lineRule="auto"/>
              <w:rPr>
                <w:rFonts w:ascii="Calibri" w:eastAsia="Times New Roman" w:hAnsi="Calibri" w:cs="Calibri"/>
                <w:color w:val="000000"/>
                <w:sz w:val="16"/>
                <w:szCs w:val="16"/>
              </w:rPr>
            </w:pPr>
            <w:r>
              <w:rPr>
                <w:rFonts w:ascii="Calibri" w:hAnsi="Calibri" w:cs="Calibri"/>
                <w:color w:val="000000"/>
                <w:sz w:val="16"/>
                <w:szCs w:val="16"/>
              </w:rPr>
              <w:t xml:space="preserve">Depreciação </w:t>
            </w:r>
            <w:r w:rsidRPr="00176ACA">
              <w:rPr>
                <w:rFonts w:ascii="Calibri" w:eastAsia="Times New Roman" w:hAnsi="Calibri" w:cs="Calibri"/>
                <w:color w:val="000000"/>
                <w:sz w:val="16"/>
                <w:szCs w:val="16"/>
              </w:rPr>
              <w:t>Direito de Uso de Imóveis (</w:t>
            </w:r>
            <w:r>
              <w:rPr>
                <w:rFonts w:ascii="Calibri" w:hAnsi="Calibri" w:cs="Calibri"/>
                <w:color w:val="000000"/>
                <w:sz w:val="16"/>
                <w:szCs w:val="16"/>
              </w:rPr>
              <w:t>Sede</w:t>
            </w:r>
            <w:r w:rsidRPr="00176ACA">
              <w:rPr>
                <w:rFonts w:ascii="Calibri" w:eastAsia="Times New Roman" w:hAnsi="Calibri" w:cs="Calibri"/>
                <w:color w:val="000000"/>
                <w:sz w:val="16"/>
                <w:szCs w:val="16"/>
              </w:rPr>
              <w:t>)</w:t>
            </w:r>
          </w:p>
        </w:tc>
        <w:tc>
          <w:tcPr>
            <w:tcW w:w="608" w:type="pct"/>
            <w:tcBorders>
              <w:top w:val="nil"/>
              <w:left w:val="nil"/>
              <w:bottom w:val="nil"/>
              <w:right w:val="nil"/>
            </w:tcBorders>
            <w:vAlign w:val="center"/>
          </w:tcPr>
          <w:p w14:paraId="6ADE047B" w14:textId="5E02C937"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(7.961.498)</w:t>
            </w:r>
          </w:p>
        </w:tc>
        <w:tc>
          <w:tcPr>
            <w:tcW w:w="608" w:type="pct"/>
            <w:tcBorders>
              <w:top w:val="nil"/>
              <w:left w:val="nil"/>
              <w:bottom w:val="nil"/>
              <w:right w:val="nil"/>
            </w:tcBorders>
            <w:shd w:val="clear" w:color="auto" w:fill="auto"/>
            <w:noWrap/>
            <w:vAlign w:val="center"/>
          </w:tcPr>
          <w:p w14:paraId="589879ED" w14:textId="41487AE7"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 xml:space="preserve"> (1.026.816) </w:t>
            </w:r>
          </w:p>
        </w:tc>
        <w:tc>
          <w:tcPr>
            <w:tcW w:w="608" w:type="pct"/>
            <w:tcBorders>
              <w:top w:val="nil"/>
              <w:left w:val="nil"/>
              <w:bottom w:val="nil"/>
              <w:right w:val="nil"/>
            </w:tcBorders>
            <w:shd w:val="clear" w:color="auto" w:fill="auto"/>
            <w:noWrap/>
            <w:vAlign w:val="center"/>
          </w:tcPr>
          <w:p w14:paraId="6C8A56C1" w14:textId="2F08A548"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608" w:type="pct"/>
            <w:tcBorders>
              <w:top w:val="nil"/>
              <w:left w:val="nil"/>
              <w:bottom w:val="nil"/>
              <w:right w:val="nil"/>
            </w:tcBorders>
            <w:shd w:val="clear" w:color="auto" w:fill="auto"/>
            <w:noWrap/>
            <w:vAlign w:val="center"/>
          </w:tcPr>
          <w:p w14:paraId="36C1F3D0" w14:textId="288ADF40" w:rsidR="005E57A7" w:rsidRPr="00176ACA" w:rsidRDefault="005E57A7" w:rsidP="005A30A6">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 xml:space="preserve"> (8.988.314) </w:t>
            </w:r>
          </w:p>
        </w:tc>
      </w:tr>
      <w:tr w:rsidR="005E57A7" w:rsidRPr="00176ACA" w14:paraId="4E1DE595" w14:textId="77777777" w:rsidTr="005A30A6">
        <w:trPr>
          <w:trHeight w:hRule="exact" w:val="227"/>
        </w:trPr>
        <w:tc>
          <w:tcPr>
            <w:tcW w:w="2570" w:type="pct"/>
            <w:tcBorders>
              <w:top w:val="single" w:sz="8" w:space="0" w:color="auto"/>
              <w:left w:val="nil"/>
              <w:bottom w:val="single" w:sz="8" w:space="0" w:color="auto"/>
              <w:right w:val="nil"/>
            </w:tcBorders>
            <w:shd w:val="clear" w:color="auto" w:fill="DAE9F8"/>
            <w:noWrap/>
            <w:vAlign w:val="center"/>
            <w:hideMark/>
          </w:tcPr>
          <w:p w14:paraId="7AF1E657" w14:textId="353B1D97" w:rsidR="005E57A7" w:rsidRPr="00176ACA" w:rsidRDefault="005E57A7" w:rsidP="003D2A45">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 xml:space="preserve">Total </w:t>
            </w:r>
            <w:r>
              <w:rPr>
                <w:rFonts w:ascii="Calibri" w:hAnsi="Calibri" w:cs="Calibri"/>
                <w:b/>
                <w:bCs/>
                <w:color w:val="000000"/>
                <w:sz w:val="16"/>
                <w:szCs w:val="16"/>
              </w:rPr>
              <w:t xml:space="preserve">Líquido </w:t>
            </w:r>
            <w:r w:rsidRPr="00176ACA">
              <w:rPr>
                <w:rFonts w:ascii="Calibri" w:eastAsia="Times New Roman" w:hAnsi="Calibri" w:cs="Calibri"/>
                <w:b/>
                <w:bCs/>
                <w:color w:val="000000"/>
                <w:sz w:val="16"/>
                <w:szCs w:val="16"/>
              </w:rPr>
              <w:t xml:space="preserve">Direito </w:t>
            </w:r>
            <w:r>
              <w:rPr>
                <w:rFonts w:ascii="Calibri" w:hAnsi="Calibri" w:cs="Calibri"/>
                <w:b/>
                <w:bCs/>
                <w:color w:val="000000"/>
                <w:sz w:val="16"/>
                <w:szCs w:val="16"/>
              </w:rPr>
              <w:t>De</w:t>
            </w:r>
            <w:r w:rsidRPr="00176ACA">
              <w:rPr>
                <w:rFonts w:ascii="Calibri" w:eastAsia="Times New Roman" w:hAnsi="Calibri" w:cs="Calibri"/>
                <w:b/>
                <w:bCs/>
                <w:color w:val="000000"/>
                <w:sz w:val="16"/>
                <w:szCs w:val="16"/>
              </w:rPr>
              <w:t xml:space="preserve"> Uso</w:t>
            </w:r>
          </w:p>
        </w:tc>
        <w:tc>
          <w:tcPr>
            <w:tcW w:w="608" w:type="pct"/>
            <w:tcBorders>
              <w:top w:val="single" w:sz="8" w:space="0" w:color="auto"/>
              <w:left w:val="nil"/>
              <w:bottom w:val="single" w:sz="8" w:space="0" w:color="auto"/>
              <w:right w:val="nil"/>
            </w:tcBorders>
            <w:shd w:val="clear" w:color="auto" w:fill="DAE9F8"/>
            <w:vAlign w:val="center"/>
          </w:tcPr>
          <w:p w14:paraId="67512787" w14:textId="4C95255F" w:rsidR="005E57A7" w:rsidRPr="00176ACA" w:rsidRDefault="005E57A7" w:rsidP="005A30A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11.137.624</w:t>
            </w:r>
          </w:p>
        </w:tc>
        <w:tc>
          <w:tcPr>
            <w:tcW w:w="608" w:type="pct"/>
            <w:tcBorders>
              <w:top w:val="single" w:sz="8" w:space="0" w:color="auto"/>
              <w:left w:val="nil"/>
              <w:bottom w:val="single" w:sz="8" w:space="0" w:color="auto"/>
              <w:right w:val="nil"/>
            </w:tcBorders>
            <w:shd w:val="clear" w:color="auto" w:fill="DAE9F8"/>
            <w:noWrap/>
            <w:vAlign w:val="center"/>
          </w:tcPr>
          <w:p w14:paraId="156C80D3" w14:textId="52173D1F" w:rsidR="005E57A7" w:rsidRPr="00176ACA" w:rsidRDefault="005E57A7" w:rsidP="005A30A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(1.026.816)</w:t>
            </w:r>
          </w:p>
        </w:tc>
        <w:tc>
          <w:tcPr>
            <w:tcW w:w="608" w:type="pct"/>
            <w:tcBorders>
              <w:top w:val="single" w:sz="8" w:space="0" w:color="auto"/>
              <w:left w:val="nil"/>
              <w:bottom w:val="single" w:sz="8" w:space="0" w:color="auto"/>
              <w:right w:val="nil"/>
            </w:tcBorders>
            <w:shd w:val="clear" w:color="auto" w:fill="DAE9F8"/>
            <w:noWrap/>
            <w:vAlign w:val="center"/>
          </w:tcPr>
          <w:p w14:paraId="7E96C8FC" w14:textId="4B965EA3" w:rsidR="005E57A7" w:rsidRPr="00176ACA" w:rsidRDefault="005E57A7" w:rsidP="005A30A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254.702</w:t>
            </w:r>
          </w:p>
        </w:tc>
        <w:tc>
          <w:tcPr>
            <w:tcW w:w="608" w:type="pct"/>
            <w:tcBorders>
              <w:top w:val="single" w:sz="8" w:space="0" w:color="auto"/>
              <w:left w:val="nil"/>
              <w:bottom w:val="single" w:sz="8" w:space="0" w:color="auto"/>
              <w:right w:val="nil"/>
            </w:tcBorders>
            <w:shd w:val="clear" w:color="auto" w:fill="DAE9F8"/>
            <w:noWrap/>
            <w:vAlign w:val="center"/>
          </w:tcPr>
          <w:p w14:paraId="71726F1F" w14:textId="3A33F17A" w:rsidR="005E57A7" w:rsidRPr="00176ACA" w:rsidRDefault="005E57A7" w:rsidP="005A30A6">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10.365.510</w:t>
            </w:r>
          </w:p>
        </w:tc>
      </w:tr>
    </w:tbl>
    <w:p w14:paraId="4674B277" w14:textId="2AAD7599" w:rsidR="00942C11" w:rsidRPr="00436859" w:rsidRDefault="00F73D56" w:rsidP="00645DFB">
      <w:pPr>
        <w:spacing w:before="120" w:line="240" w:lineRule="auto"/>
        <w:jc w:val="both"/>
        <w:rPr>
          <w:rFonts w:cstheme="minorHAnsi"/>
          <w:bCs/>
          <w:sz w:val="20"/>
          <w:shd w:val="clear" w:color="auto" w:fill="FFFFFF"/>
        </w:rPr>
      </w:pPr>
      <w:r w:rsidRPr="00F73D56">
        <w:rPr>
          <w:rFonts w:cstheme="minorHAnsi"/>
          <w:bCs/>
          <w:sz w:val="20"/>
          <w:shd w:val="clear" w:color="auto" w:fill="FFFFFF"/>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Pr>
          <w:rFonts w:cstheme="minorHAnsi"/>
          <w:bCs/>
          <w:sz w:val="20"/>
          <w:shd w:val="clear" w:color="auto" w:fill="FFFFFF"/>
        </w:rPr>
        <w:t>primeiro</w:t>
      </w:r>
      <w:r w:rsidRPr="00F73D56">
        <w:rPr>
          <w:rFonts w:cstheme="minorHAnsi"/>
          <w:bCs/>
          <w:sz w:val="20"/>
          <w:shd w:val="clear" w:color="auto" w:fill="FFFFFF"/>
        </w:rPr>
        <w:t xml:space="preserve"> trimestre de 202</w:t>
      </w:r>
      <w:r w:rsidR="00F67767">
        <w:rPr>
          <w:rFonts w:cstheme="minorHAnsi"/>
          <w:bCs/>
          <w:sz w:val="20"/>
          <w:shd w:val="clear" w:color="auto" w:fill="FFFFFF"/>
        </w:rPr>
        <w:t>4</w:t>
      </w:r>
      <w:r w:rsidRPr="00F73D56">
        <w:rPr>
          <w:rFonts w:cstheme="minorHAnsi"/>
          <w:bCs/>
          <w:sz w:val="20"/>
          <w:shd w:val="clear" w:color="auto" w:fill="FFFFFF"/>
        </w:rPr>
        <w:t>:</w:t>
      </w:r>
    </w:p>
    <w:tbl>
      <w:tblPr>
        <w:tblW w:w="5000" w:type="pct"/>
        <w:tblCellMar>
          <w:left w:w="70" w:type="dxa"/>
          <w:right w:w="70" w:type="dxa"/>
        </w:tblCellMar>
        <w:tblLook w:val="04A0" w:firstRow="1" w:lastRow="0" w:firstColumn="1" w:lastColumn="0" w:noHBand="0" w:noVBand="1"/>
      </w:tblPr>
      <w:tblGrid>
        <w:gridCol w:w="4959"/>
        <w:gridCol w:w="1377"/>
        <w:gridCol w:w="1377"/>
        <w:gridCol w:w="1377"/>
        <w:gridCol w:w="1377"/>
      </w:tblGrid>
      <w:tr w:rsidR="005E57A7" w14:paraId="4FA7FC9D" w14:textId="77777777" w:rsidTr="005A30A6">
        <w:trPr>
          <w:trHeight w:val="227"/>
        </w:trPr>
        <w:tc>
          <w:tcPr>
            <w:tcW w:w="4086" w:type="dxa"/>
            <w:tcBorders>
              <w:top w:val="single" w:sz="8" w:space="0" w:color="auto"/>
              <w:left w:val="nil"/>
              <w:bottom w:val="single" w:sz="8" w:space="0" w:color="auto"/>
              <w:right w:val="nil"/>
            </w:tcBorders>
            <w:shd w:val="clear" w:color="000000" w:fill="DDEBF7"/>
            <w:noWrap/>
            <w:vAlign w:val="center"/>
            <w:hideMark/>
          </w:tcPr>
          <w:p w14:paraId="2F41024F" w14:textId="77777777" w:rsidR="005E57A7" w:rsidRDefault="005E57A7" w:rsidP="005A30A6">
            <w:pPr>
              <w:spacing w:after="0"/>
              <w:rPr>
                <w:rFonts w:ascii="Calibri" w:hAnsi="Calibri" w:cs="Calibri"/>
                <w:b/>
                <w:bCs/>
                <w:color w:val="000000"/>
                <w:sz w:val="16"/>
                <w:szCs w:val="16"/>
              </w:rPr>
            </w:pPr>
            <w:r>
              <w:rPr>
                <w:rFonts w:ascii="Calibri" w:hAnsi="Calibri" w:cs="Calibri"/>
                <w:b/>
                <w:bCs/>
                <w:color w:val="000000"/>
                <w:sz w:val="16"/>
                <w:szCs w:val="16"/>
              </w:rPr>
              <w:t>Passivo de Arrendamento</w:t>
            </w:r>
          </w:p>
        </w:tc>
        <w:tc>
          <w:tcPr>
            <w:tcW w:w="1134" w:type="dxa"/>
            <w:tcBorders>
              <w:top w:val="single" w:sz="8" w:space="0" w:color="auto"/>
              <w:left w:val="nil"/>
              <w:bottom w:val="single" w:sz="8" w:space="0" w:color="auto"/>
              <w:right w:val="nil"/>
            </w:tcBorders>
            <w:shd w:val="clear" w:color="000000" w:fill="DDEBF7"/>
            <w:vAlign w:val="center"/>
            <w:hideMark/>
          </w:tcPr>
          <w:p w14:paraId="6C0255EE" w14:textId="77777777"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Saldo em 31/12/2023</w:t>
            </w:r>
          </w:p>
        </w:tc>
        <w:tc>
          <w:tcPr>
            <w:tcW w:w="1134" w:type="dxa"/>
            <w:tcBorders>
              <w:top w:val="single" w:sz="8" w:space="0" w:color="auto"/>
              <w:left w:val="nil"/>
              <w:bottom w:val="single" w:sz="8" w:space="0" w:color="auto"/>
              <w:right w:val="nil"/>
            </w:tcBorders>
            <w:shd w:val="clear" w:color="000000" w:fill="DDEBF7"/>
            <w:vAlign w:val="center"/>
            <w:hideMark/>
          </w:tcPr>
          <w:p w14:paraId="25B4555F" w14:textId="12019F30"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Ajustes/ Transferências</w:t>
            </w:r>
          </w:p>
        </w:tc>
        <w:tc>
          <w:tcPr>
            <w:tcW w:w="1134" w:type="dxa"/>
            <w:tcBorders>
              <w:top w:val="single" w:sz="8" w:space="0" w:color="auto"/>
              <w:left w:val="nil"/>
              <w:bottom w:val="single" w:sz="8" w:space="0" w:color="auto"/>
              <w:right w:val="nil"/>
            </w:tcBorders>
            <w:shd w:val="clear" w:color="000000" w:fill="DDEBF7"/>
            <w:vAlign w:val="center"/>
            <w:hideMark/>
          </w:tcPr>
          <w:p w14:paraId="08403C20" w14:textId="77777777" w:rsidR="005A30A6"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 xml:space="preserve">Pagamentos </w:t>
            </w:r>
          </w:p>
          <w:p w14:paraId="123BD869" w14:textId="0ABCCE3A"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Efetuados</w:t>
            </w:r>
          </w:p>
        </w:tc>
        <w:tc>
          <w:tcPr>
            <w:tcW w:w="1134" w:type="dxa"/>
            <w:tcBorders>
              <w:top w:val="single" w:sz="8" w:space="0" w:color="auto"/>
              <w:left w:val="nil"/>
              <w:bottom w:val="single" w:sz="8" w:space="0" w:color="auto"/>
              <w:right w:val="nil"/>
            </w:tcBorders>
            <w:shd w:val="clear" w:color="000000" w:fill="DDEBF7"/>
            <w:vAlign w:val="center"/>
            <w:hideMark/>
          </w:tcPr>
          <w:p w14:paraId="34CBD525" w14:textId="77777777" w:rsidR="005A30A6"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 xml:space="preserve">Saldo em </w:t>
            </w:r>
          </w:p>
          <w:p w14:paraId="53145FB1" w14:textId="3480305B"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31/03/2024</w:t>
            </w:r>
          </w:p>
        </w:tc>
      </w:tr>
      <w:tr w:rsidR="005E57A7" w14:paraId="2C3362AE" w14:textId="77777777" w:rsidTr="005A30A6">
        <w:trPr>
          <w:trHeight w:hRule="exact" w:val="227"/>
        </w:trPr>
        <w:tc>
          <w:tcPr>
            <w:tcW w:w="4086" w:type="dxa"/>
            <w:tcBorders>
              <w:top w:val="nil"/>
              <w:left w:val="nil"/>
              <w:right w:val="nil"/>
            </w:tcBorders>
            <w:shd w:val="clear" w:color="auto" w:fill="auto"/>
            <w:noWrap/>
            <w:vAlign w:val="center"/>
            <w:hideMark/>
          </w:tcPr>
          <w:p w14:paraId="7A9301C7" w14:textId="1D3F02A3" w:rsidR="005E57A7" w:rsidRDefault="005E57A7">
            <w:pPr>
              <w:rPr>
                <w:rFonts w:ascii="Calibri" w:hAnsi="Calibri" w:cs="Calibri"/>
                <w:color w:val="000000"/>
                <w:sz w:val="16"/>
                <w:szCs w:val="16"/>
              </w:rPr>
            </w:pPr>
            <w:r>
              <w:rPr>
                <w:rFonts w:ascii="Calibri" w:hAnsi="Calibri" w:cs="Calibri"/>
                <w:color w:val="000000"/>
                <w:sz w:val="16"/>
                <w:szCs w:val="16"/>
              </w:rPr>
              <w:t>Passivo de Arrendamento de Imóveis (Circulante)</w:t>
            </w:r>
          </w:p>
        </w:tc>
        <w:tc>
          <w:tcPr>
            <w:tcW w:w="1134" w:type="dxa"/>
            <w:tcBorders>
              <w:top w:val="nil"/>
              <w:left w:val="nil"/>
              <w:right w:val="nil"/>
            </w:tcBorders>
            <w:shd w:val="clear" w:color="000000" w:fill="FFFFFF"/>
            <w:noWrap/>
            <w:vAlign w:val="center"/>
            <w:hideMark/>
          </w:tcPr>
          <w:p w14:paraId="74B81AF6"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4.720.753</w:t>
            </w:r>
          </w:p>
        </w:tc>
        <w:tc>
          <w:tcPr>
            <w:tcW w:w="1134" w:type="dxa"/>
            <w:tcBorders>
              <w:top w:val="nil"/>
              <w:left w:val="nil"/>
              <w:right w:val="nil"/>
            </w:tcBorders>
            <w:shd w:val="clear" w:color="000000" w:fill="FFFFFF"/>
            <w:noWrap/>
            <w:vAlign w:val="center"/>
            <w:hideMark/>
          </w:tcPr>
          <w:p w14:paraId="58E9247E"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1.180.188</w:t>
            </w:r>
          </w:p>
        </w:tc>
        <w:tc>
          <w:tcPr>
            <w:tcW w:w="1134" w:type="dxa"/>
            <w:tcBorders>
              <w:top w:val="nil"/>
              <w:left w:val="nil"/>
              <w:right w:val="nil"/>
            </w:tcBorders>
            <w:shd w:val="clear" w:color="000000" w:fill="FFFFFF"/>
            <w:noWrap/>
            <w:vAlign w:val="center"/>
            <w:hideMark/>
          </w:tcPr>
          <w:p w14:paraId="0329D34A" w14:textId="17A8A2FA" w:rsidR="005E57A7" w:rsidRDefault="005E57A7">
            <w:pPr>
              <w:jc w:val="right"/>
              <w:rPr>
                <w:rFonts w:ascii="Calibri" w:hAnsi="Calibri" w:cs="Calibri"/>
                <w:color w:val="000000"/>
                <w:sz w:val="16"/>
                <w:szCs w:val="16"/>
              </w:rPr>
            </w:pPr>
            <w:r>
              <w:rPr>
                <w:rFonts w:ascii="Calibri" w:hAnsi="Calibri" w:cs="Calibri"/>
                <w:color w:val="000000"/>
                <w:sz w:val="16"/>
                <w:szCs w:val="16"/>
              </w:rPr>
              <w:t>(1.180.188)</w:t>
            </w:r>
          </w:p>
        </w:tc>
        <w:tc>
          <w:tcPr>
            <w:tcW w:w="1134" w:type="dxa"/>
            <w:tcBorders>
              <w:top w:val="nil"/>
              <w:left w:val="nil"/>
              <w:right w:val="nil"/>
            </w:tcBorders>
            <w:shd w:val="clear" w:color="000000" w:fill="FFFFFF"/>
            <w:noWrap/>
            <w:vAlign w:val="center"/>
            <w:hideMark/>
          </w:tcPr>
          <w:p w14:paraId="428CBCCA"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4.720.753</w:t>
            </w:r>
          </w:p>
        </w:tc>
      </w:tr>
      <w:tr w:rsidR="005E57A7" w14:paraId="708085BF" w14:textId="77777777" w:rsidTr="005A30A6">
        <w:trPr>
          <w:trHeight w:hRule="exact" w:val="227"/>
        </w:trPr>
        <w:tc>
          <w:tcPr>
            <w:tcW w:w="4086" w:type="dxa"/>
            <w:tcBorders>
              <w:top w:val="nil"/>
              <w:left w:val="nil"/>
              <w:bottom w:val="single" w:sz="4" w:space="0" w:color="auto"/>
              <w:right w:val="nil"/>
            </w:tcBorders>
            <w:shd w:val="clear" w:color="auto" w:fill="auto"/>
            <w:noWrap/>
            <w:vAlign w:val="center"/>
            <w:hideMark/>
          </w:tcPr>
          <w:p w14:paraId="4A5D8A1F" w14:textId="72AFD179" w:rsidR="005E57A7" w:rsidRDefault="005E57A7">
            <w:pPr>
              <w:rPr>
                <w:rFonts w:ascii="Calibri" w:hAnsi="Calibri" w:cs="Calibri"/>
                <w:color w:val="000000"/>
                <w:sz w:val="16"/>
                <w:szCs w:val="16"/>
              </w:rPr>
            </w:pPr>
            <w:r>
              <w:rPr>
                <w:rFonts w:ascii="Calibri" w:hAnsi="Calibri" w:cs="Calibri"/>
                <w:color w:val="000000"/>
                <w:sz w:val="16"/>
                <w:szCs w:val="16"/>
              </w:rPr>
              <w:t>Passivo de Arrendamento de Imóveis (Não Circulante)</w:t>
            </w:r>
          </w:p>
        </w:tc>
        <w:tc>
          <w:tcPr>
            <w:tcW w:w="1134" w:type="dxa"/>
            <w:tcBorders>
              <w:top w:val="nil"/>
              <w:left w:val="nil"/>
              <w:bottom w:val="single" w:sz="4" w:space="0" w:color="auto"/>
              <w:right w:val="nil"/>
            </w:tcBorders>
            <w:shd w:val="clear" w:color="000000" w:fill="FFFFFF"/>
            <w:noWrap/>
            <w:vAlign w:val="center"/>
            <w:hideMark/>
          </w:tcPr>
          <w:p w14:paraId="0188AA19"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8.261.318</w:t>
            </w:r>
          </w:p>
        </w:tc>
        <w:tc>
          <w:tcPr>
            <w:tcW w:w="1134" w:type="dxa"/>
            <w:tcBorders>
              <w:top w:val="nil"/>
              <w:left w:val="nil"/>
              <w:bottom w:val="single" w:sz="4" w:space="0" w:color="auto"/>
              <w:right w:val="nil"/>
            </w:tcBorders>
            <w:shd w:val="clear" w:color="000000" w:fill="FFFFFF"/>
            <w:noWrap/>
            <w:vAlign w:val="center"/>
            <w:hideMark/>
          </w:tcPr>
          <w:p w14:paraId="4E72DF2B" w14:textId="0D977553" w:rsidR="005E57A7" w:rsidRDefault="005E57A7">
            <w:pPr>
              <w:jc w:val="right"/>
              <w:rPr>
                <w:rFonts w:ascii="Calibri" w:hAnsi="Calibri" w:cs="Calibri"/>
                <w:color w:val="000000"/>
                <w:sz w:val="16"/>
                <w:szCs w:val="16"/>
              </w:rPr>
            </w:pPr>
            <w:r>
              <w:rPr>
                <w:rFonts w:ascii="Calibri" w:hAnsi="Calibri" w:cs="Calibri"/>
                <w:color w:val="000000"/>
                <w:sz w:val="16"/>
                <w:szCs w:val="16"/>
              </w:rPr>
              <w:t>(1.180.188)</w:t>
            </w:r>
          </w:p>
        </w:tc>
        <w:tc>
          <w:tcPr>
            <w:tcW w:w="1134" w:type="dxa"/>
            <w:tcBorders>
              <w:top w:val="nil"/>
              <w:left w:val="nil"/>
              <w:bottom w:val="single" w:sz="4" w:space="0" w:color="auto"/>
              <w:right w:val="nil"/>
            </w:tcBorders>
            <w:shd w:val="clear" w:color="000000" w:fill="FFFFFF"/>
            <w:noWrap/>
            <w:vAlign w:val="center"/>
            <w:hideMark/>
          </w:tcPr>
          <w:p w14:paraId="27E8550E" w14:textId="73C7FADA" w:rsidR="005E57A7" w:rsidRDefault="005E57A7">
            <w:pPr>
              <w:jc w:val="right"/>
              <w:rPr>
                <w:rFonts w:ascii="Calibri" w:hAnsi="Calibri" w:cs="Calibri"/>
                <w:color w:val="000000"/>
                <w:sz w:val="16"/>
                <w:szCs w:val="16"/>
              </w:rPr>
            </w:pPr>
            <w:r>
              <w:rPr>
                <w:rFonts w:ascii="Calibri" w:hAnsi="Calibri" w:cs="Calibri"/>
                <w:color w:val="000000"/>
                <w:sz w:val="16"/>
                <w:szCs w:val="16"/>
              </w:rPr>
              <w:t>-</w:t>
            </w:r>
          </w:p>
        </w:tc>
        <w:tc>
          <w:tcPr>
            <w:tcW w:w="1134" w:type="dxa"/>
            <w:tcBorders>
              <w:top w:val="nil"/>
              <w:left w:val="nil"/>
              <w:bottom w:val="single" w:sz="4" w:space="0" w:color="auto"/>
              <w:right w:val="nil"/>
            </w:tcBorders>
            <w:shd w:val="clear" w:color="000000" w:fill="FFFFFF"/>
            <w:noWrap/>
            <w:vAlign w:val="center"/>
            <w:hideMark/>
          </w:tcPr>
          <w:p w14:paraId="6D65ABE6"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7.081.130</w:t>
            </w:r>
          </w:p>
        </w:tc>
      </w:tr>
      <w:tr w:rsidR="005E57A7" w14:paraId="799090C1" w14:textId="77777777" w:rsidTr="005A30A6">
        <w:trPr>
          <w:trHeight w:hRule="exact" w:val="227"/>
        </w:trPr>
        <w:tc>
          <w:tcPr>
            <w:tcW w:w="4086" w:type="dxa"/>
            <w:tcBorders>
              <w:top w:val="single" w:sz="4" w:space="0" w:color="auto"/>
              <w:left w:val="nil"/>
              <w:bottom w:val="single" w:sz="8" w:space="0" w:color="auto"/>
              <w:right w:val="nil"/>
            </w:tcBorders>
            <w:shd w:val="clear" w:color="000000" w:fill="DEEAF6"/>
            <w:noWrap/>
            <w:vAlign w:val="center"/>
            <w:hideMark/>
          </w:tcPr>
          <w:p w14:paraId="0D97DF82" w14:textId="77777777" w:rsidR="005E57A7" w:rsidRDefault="005E57A7">
            <w:pPr>
              <w:rPr>
                <w:rFonts w:ascii="Calibri" w:hAnsi="Calibri" w:cs="Calibri"/>
                <w:b/>
                <w:bCs/>
                <w:color w:val="000000"/>
                <w:sz w:val="16"/>
                <w:szCs w:val="16"/>
              </w:rPr>
            </w:pPr>
            <w:r>
              <w:rPr>
                <w:rFonts w:ascii="Calibri" w:hAnsi="Calibri" w:cs="Calibri"/>
                <w:b/>
                <w:bCs/>
                <w:color w:val="000000"/>
                <w:sz w:val="16"/>
                <w:szCs w:val="16"/>
              </w:rPr>
              <w:t>Total de Passivos de Arrendamentos</w:t>
            </w:r>
          </w:p>
        </w:tc>
        <w:tc>
          <w:tcPr>
            <w:tcW w:w="1134" w:type="dxa"/>
            <w:tcBorders>
              <w:top w:val="single" w:sz="4" w:space="0" w:color="auto"/>
              <w:left w:val="nil"/>
              <w:bottom w:val="single" w:sz="8" w:space="0" w:color="auto"/>
              <w:right w:val="nil"/>
            </w:tcBorders>
            <w:shd w:val="clear" w:color="000000" w:fill="DEEAF6"/>
            <w:noWrap/>
            <w:vAlign w:val="center"/>
            <w:hideMark/>
          </w:tcPr>
          <w:p w14:paraId="16664017" w14:textId="77777777" w:rsidR="005E57A7" w:rsidRDefault="005E57A7">
            <w:pPr>
              <w:jc w:val="right"/>
              <w:rPr>
                <w:rFonts w:ascii="Calibri" w:hAnsi="Calibri" w:cs="Calibri"/>
                <w:b/>
                <w:bCs/>
                <w:color w:val="000000"/>
                <w:sz w:val="16"/>
                <w:szCs w:val="16"/>
              </w:rPr>
            </w:pPr>
            <w:r>
              <w:rPr>
                <w:rFonts w:ascii="Calibri" w:hAnsi="Calibri" w:cs="Calibri"/>
                <w:b/>
                <w:bCs/>
                <w:color w:val="000000"/>
                <w:sz w:val="16"/>
                <w:szCs w:val="16"/>
              </w:rPr>
              <w:t>12.982.071</w:t>
            </w:r>
          </w:p>
        </w:tc>
        <w:tc>
          <w:tcPr>
            <w:tcW w:w="1134" w:type="dxa"/>
            <w:tcBorders>
              <w:top w:val="single" w:sz="4" w:space="0" w:color="auto"/>
              <w:left w:val="nil"/>
              <w:bottom w:val="single" w:sz="8" w:space="0" w:color="auto"/>
              <w:right w:val="nil"/>
            </w:tcBorders>
            <w:shd w:val="clear" w:color="000000" w:fill="DEEAF6"/>
            <w:noWrap/>
            <w:vAlign w:val="center"/>
          </w:tcPr>
          <w:p w14:paraId="2CDEE236" w14:textId="4BC5A412" w:rsidR="005E57A7" w:rsidRDefault="005E57A7">
            <w:pPr>
              <w:jc w:val="right"/>
              <w:rPr>
                <w:rFonts w:ascii="Calibri" w:hAnsi="Calibri" w:cs="Calibri"/>
                <w:b/>
                <w:bCs/>
                <w:color w:val="000000"/>
                <w:sz w:val="16"/>
                <w:szCs w:val="16"/>
              </w:rPr>
            </w:pPr>
            <w:r>
              <w:rPr>
                <w:rFonts w:ascii="Calibri" w:hAnsi="Calibri" w:cs="Calibri"/>
                <w:b/>
                <w:bCs/>
                <w:color w:val="000000"/>
                <w:sz w:val="16"/>
                <w:szCs w:val="16"/>
              </w:rPr>
              <w:t>-</w:t>
            </w:r>
          </w:p>
        </w:tc>
        <w:tc>
          <w:tcPr>
            <w:tcW w:w="1134" w:type="dxa"/>
            <w:tcBorders>
              <w:top w:val="single" w:sz="4" w:space="0" w:color="auto"/>
              <w:left w:val="nil"/>
              <w:bottom w:val="single" w:sz="8" w:space="0" w:color="auto"/>
              <w:right w:val="nil"/>
            </w:tcBorders>
            <w:shd w:val="clear" w:color="000000" w:fill="DEEAF6"/>
            <w:noWrap/>
            <w:vAlign w:val="center"/>
            <w:hideMark/>
          </w:tcPr>
          <w:p w14:paraId="7D98FB1E" w14:textId="7DD4500F" w:rsidR="005E57A7" w:rsidRDefault="005E57A7">
            <w:pPr>
              <w:jc w:val="right"/>
              <w:rPr>
                <w:rFonts w:ascii="Calibri" w:hAnsi="Calibri" w:cs="Calibri"/>
                <w:b/>
                <w:bCs/>
                <w:color w:val="000000"/>
                <w:sz w:val="16"/>
                <w:szCs w:val="16"/>
              </w:rPr>
            </w:pPr>
            <w:r>
              <w:rPr>
                <w:rFonts w:ascii="Calibri" w:hAnsi="Calibri" w:cs="Calibri"/>
                <w:b/>
                <w:bCs/>
                <w:color w:val="000000"/>
                <w:sz w:val="16"/>
                <w:szCs w:val="16"/>
              </w:rPr>
              <w:t>(1.180.188)</w:t>
            </w:r>
          </w:p>
        </w:tc>
        <w:tc>
          <w:tcPr>
            <w:tcW w:w="1134" w:type="dxa"/>
            <w:tcBorders>
              <w:top w:val="single" w:sz="4" w:space="0" w:color="auto"/>
              <w:left w:val="nil"/>
              <w:bottom w:val="single" w:sz="8" w:space="0" w:color="auto"/>
              <w:right w:val="nil"/>
            </w:tcBorders>
            <w:shd w:val="clear" w:color="000000" w:fill="DEEAF6"/>
            <w:noWrap/>
            <w:vAlign w:val="center"/>
            <w:hideMark/>
          </w:tcPr>
          <w:p w14:paraId="5DC8C092" w14:textId="1044EE64" w:rsidR="005E57A7" w:rsidRDefault="005E57A7">
            <w:pPr>
              <w:jc w:val="right"/>
              <w:rPr>
                <w:rFonts w:ascii="Calibri" w:hAnsi="Calibri" w:cs="Calibri"/>
                <w:b/>
                <w:bCs/>
                <w:color w:val="000000"/>
                <w:sz w:val="16"/>
                <w:szCs w:val="16"/>
              </w:rPr>
            </w:pPr>
            <w:r>
              <w:rPr>
                <w:rFonts w:ascii="Calibri" w:hAnsi="Calibri" w:cs="Calibri"/>
                <w:b/>
                <w:bCs/>
                <w:color w:val="000000"/>
                <w:sz w:val="16"/>
                <w:szCs w:val="16"/>
              </w:rPr>
              <w:t>11.801.883</w:t>
            </w:r>
          </w:p>
        </w:tc>
      </w:tr>
    </w:tbl>
    <w:p w14:paraId="47DC5AAE" w14:textId="77777777" w:rsidR="00E03BE2" w:rsidRDefault="00E03BE2" w:rsidP="00B33B5E">
      <w:pPr>
        <w:spacing w:after="0"/>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5063"/>
        <w:gridCol w:w="1351"/>
        <w:gridCol w:w="1351"/>
        <w:gridCol w:w="1351"/>
        <w:gridCol w:w="1351"/>
      </w:tblGrid>
      <w:tr w:rsidR="005E57A7" w14:paraId="14384673" w14:textId="77777777" w:rsidTr="005A30A6">
        <w:trPr>
          <w:trHeight w:val="460"/>
        </w:trPr>
        <w:tc>
          <w:tcPr>
            <w:tcW w:w="4251" w:type="dxa"/>
            <w:tcBorders>
              <w:top w:val="single" w:sz="8" w:space="0" w:color="auto"/>
              <w:left w:val="nil"/>
              <w:bottom w:val="single" w:sz="8" w:space="0" w:color="auto"/>
              <w:right w:val="nil"/>
            </w:tcBorders>
            <w:shd w:val="clear" w:color="auto" w:fill="DDEBF7"/>
            <w:noWrap/>
            <w:vAlign w:val="center"/>
            <w:hideMark/>
          </w:tcPr>
          <w:p w14:paraId="2057D8F5" w14:textId="77777777" w:rsidR="005E57A7" w:rsidRDefault="005E57A7" w:rsidP="005A30A6">
            <w:pPr>
              <w:spacing w:after="0"/>
              <w:rPr>
                <w:rFonts w:ascii="Calibri" w:hAnsi="Calibri" w:cs="Calibri"/>
                <w:b/>
                <w:bCs/>
                <w:color w:val="000000"/>
                <w:sz w:val="16"/>
                <w:szCs w:val="16"/>
              </w:rPr>
            </w:pPr>
            <w:r>
              <w:rPr>
                <w:rFonts w:ascii="Calibri" w:hAnsi="Calibri" w:cs="Calibri"/>
                <w:b/>
                <w:bCs/>
                <w:color w:val="000000"/>
                <w:sz w:val="16"/>
                <w:szCs w:val="16"/>
              </w:rPr>
              <w:t>Juros a Transcorrer (Redutora)</w:t>
            </w:r>
          </w:p>
        </w:tc>
        <w:tc>
          <w:tcPr>
            <w:tcW w:w="1134" w:type="dxa"/>
            <w:tcBorders>
              <w:top w:val="single" w:sz="8" w:space="0" w:color="auto"/>
              <w:left w:val="nil"/>
              <w:bottom w:val="single" w:sz="8" w:space="0" w:color="auto"/>
              <w:right w:val="nil"/>
            </w:tcBorders>
            <w:shd w:val="clear" w:color="auto" w:fill="DDEBF7"/>
            <w:vAlign w:val="center"/>
            <w:hideMark/>
          </w:tcPr>
          <w:p w14:paraId="652AF9DB" w14:textId="3F18952A"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Saldo em 31/12/2023</w:t>
            </w:r>
          </w:p>
        </w:tc>
        <w:tc>
          <w:tcPr>
            <w:tcW w:w="1134" w:type="dxa"/>
            <w:tcBorders>
              <w:top w:val="single" w:sz="8" w:space="0" w:color="auto"/>
              <w:left w:val="nil"/>
              <w:bottom w:val="single" w:sz="8" w:space="0" w:color="auto"/>
              <w:right w:val="nil"/>
            </w:tcBorders>
            <w:shd w:val="clear" w:color="auto" w:fill="DDEBF7"/>
            <w:vAlign w:val="center"/>
            <w:hideMark/>
          </w:tcPr>
          <w:p w14:paraId="344B3C56" w14:textId="18C1506B"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Ajustes/ Transferências</w:t>
            </w:r>
          </w:p>
        </w:tc>
        <w:tc>
          <w:tcPr>
            <w:tcW w:w="1134" w:type="dxa"/>
            <w:tcBorders>
              <w:top w:val="single" w:sz="8" w:space="0" w:color="auto"/>
              <w:left w:val="nil"/>
              <w:bottom w:val="single" w:sz="8" w:space="0" w:color="auto"/>
              <w:right w:val="nil"/>
            </w:tcBorders>
            <w:shd w:val="clear" w:color="auto" w:fill="DDEBF7"/>
            <w:vAlign w:val="center"/>
            <w:hideMark/>
          </w:tcPr>
          <w:p w14:paraId="45567F44" w14:textId="0F33708D"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Pagamentos Efetuados</w:t>
            </w:r>
          </w:p>
        </w:tc>
        <w:tc>
          <w:tcPr>
            <w:tcW w:w="1134" w:type="dxa"/>
            <w:tcBorders>
              <w:top w:val="single" w:sz="8" w:space="0" w:color="auto"/>
              <w:left w:val="nil"/>
              <w:bottom w:val="single" w:sz="8" w:space="0" w:color="auto"/>
              <w:right w:val="nil"/>
            </w:tcBorders>
            <w:shd w:val="clear" w:color="auto" w:fill="DDEBF7"/>
            <w:vAlign w:val="center"/>
            <w:hideMark/>
          </w:tcPr>
          <w:p w14:paraId="3101FE29" w14:textId="77777777" w:rsidR="005A30A6"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 xml:space="preserve">Saldo em </w:t>
            </w:r>
          </w:p>
          <w:p w14:paraId="6B9D7FAF" w14:textId="7C004272" w:rsidR="005E57A7" w:rsidRDefault="005E57A7" w:rsidP="005A30A6">
            <w:pPr>
              <w:spacing w:after="0"/>
              <w:jc w:val="right"/>
              <w:rPr>
                <w:rFonts w:ascii="Calibri" w:hAnsi="Calibri" w:cs="Calibri"/>
                <w:b/>
                <w:bCs/>
                <w:color w:val="000000"/>
                <w:sz w:val="16"/>
                <w:szCs w:val="16"/>
              </w:rPr>
            </w:pPr>
            <w:r>
              <w:rPr>
                <w:rFonts w:ascii="Calibri" w:hAnsi="Calibri" w:cs="Calibri"/>
                <w:b/>
                <w:bCs/>
                <w:color w:val="000000"/>
                <w:sz w:val="16"/>
                <w:szCs w:val="16"/>
              </w:rPr>
              <w:t>31/03/2024</w:t>
            </w:r>
          </w:p>
        </w:tc>
      </w:tr>
      <w:tr w:rsidR="005E57A7" w14:paraId="7CE032BE" w14:textId="77777777" w:rsidTr="005A30A6">
        <w:trPr>
          <w:trHeight w:hRule="exact" w:val="227"/>
        </w:trPr>
        <w:tc>
          <w:tcPr>
            <w:tcW w:w="4251" w:type="dxa"/>
            <w:tcBorders>
              <w:top w:val="nil"/>
              <w:left w:val="nil"/>
              <w:right w:val="nil"/>
            </w:tcBorders>
            <w:shd w:val="clear" w:color="auto" w:fill="auto"/>
            <w:noWrap/>
            <w:vAlign w:val="center"/>
            <w:hideMark/>
          </w:tcPr>
          <w:p w14:paraId="4DF37694" w14:textId="3B34CE9D" w:rsidR="005E57A7" w:rsidRDefault="005E57A7">
            <w:pPr>
              <w:rPr>
                <w:rFonts w:ascii="Calibri" w:hAnsi="Calibri" w:cs="Calibri"/>
                <w:color w:val="000000"/>
                <w:sz w:val="16"/>
                <w:szCs w:val="16"/>
              </w:rPr>
            </w:pPr>
            <w:r>
              <w:rPr>
                <w:rFonts w:ascii="Calibri" w:hAnsi="Calibri" w:cs="Calibri"/>
                <w:color w:val="000000"/>
                <w:sz w:val="16"/>
                <w:szCs w:val="16"/>
              </w:rPr>
              <w:t>Juros a Transcorrer (Circulante)</w:t>
            </w:r>
          </w:p>
        </w:tc>
        <w:tc>
          <w:tcPr>
            <w:tcW w:w="1134" w:type="dxa"/>
            <w:tcBorders>
              <w:top w:val="nil"/>
              <w:left w:val="nil"/>
              <w:right w:val="nil"/>
            </w:tcBorders>
            <w:shd w:val="clear" w:color="auto" w:fill="FFFFFF" w:themeFill="background1"/>
            <w:noWrap/>
            <w:vAlign w:val="center"/>
            <w:hideMark/>
          </w:tcPr>
          <w:p w14:paraId="1018EC94" w14:textId="45D8628D" w:rsidR="005E57A7" w:rsidRDefault="005E57A7">
            <w:pPr>
              <w:jc w:val="right"/>
              <w:rPr>
                <w:rFonts w:ascii="Calibri" w:hAnsi="Calibri" w:cs="Calibri"/>
                <w:color w:val="000000"/>
                <w:sz w:val="16"/>
                <w:szCs w:val="16"/>
              </w:rPr>
            </w:pPr>
            <w:r w:rsidRPr="4073B551">
              <w:rPr>
                <w:rFonts w:ascii="Calibri" w:hAnsi="Calibri" w:cs="Calibri"/>
                <w:color w:val="000000" w:themeColor="text1"/>
                <w:sz w:val="16"/>
                <w:szCs w:val="16"/>
              </w:rPr>
              <w:t>(670.708)</w:t>
            </w:r>
          </w:p>
        </w:tc>
        <w:tc>
          <w:tcPr>
            <w:tcW w:w="1134" w:type="dxa"/>
            <w:tcBorders>
              <w:top w:val="nil"/>
              <w:left w:val="nil"/>
              <w:right w:val="nil"/>
            </w:tcBorders>
            <w:shd w:val="clear" w:color="auto" w:fill="FFFFFF" w:themeFill="background1"/>
            <w:noWrap/>
            <w:vAlign w:val="center"/>
            <w:hideMark/>
          </w:tcPr>
          <w:p w14:paraId="401DBA68" w14:textId="4C3303A6" w:rsidR="005E57A7" w:rsidRDefault="005E57A7">
            <w:pPr>
              <w:jc w:val="right"/>
              <w:rPr>
                <w:rFonts w:ascii="Calibri" w:hAnsi="Calibri" w:cs="Calibri"/>
                <w:color w:val="000000"/>
                <w:sz w:val="16"/>
                <w:szCs w:val="16"/>
              </w:rPr>
            </w:pPr>
            <w:r w:rsidRPr="2720205A">
              <w:rPr>
                <w:rFonts w:ascii="Calibri" w:hAnsi="Calibri" w:cs="Calibri"/>
                <w:color w:val="000000" w:themeColor="text1"/>
                <w:sz w:val="16"/>
                <w:szCs w:val="16"/>
              </w:rPr>
              <w:t>(57.213)</w:t>
            </w:r>
          </w:p>
        </w:tc>
        <w:tc>
          <w:tcPr>
            <w:tcW w:w="1134" w:type="dxa"/>
            <w:tcBorders>
              <w:top w:val="nil"/>
              <w:left w:val="nil"/>
              <w:right w:val="nil"/>
            </w:tcBorders>
            <w:shd w:val="clear" w:color="auto" w:fill="FFFFFF" w:themeFill="background1"/>
            <w:noWrap/>
            <w:vAlign w:val="center"/>
            <w:hideMark/>
          </w:tcPr>
          <w:p w14:paraId="4F84F27C" w14:textId="31AEAAD2" w:rsidR="005E57A7" w:rsidRDefault="005E57A7">
            <w:pPr>
              <w:jc w:val="right"/>
              <w:rPr>
                <w:rFonts w:ascii="Calibri" w:hAnsi="Calibri" w:cs="Calibri"/>
                <w:color w:val="000000"/>
                <w:sz w:val="16"/>
                <w:szCs w:val="16"/>
              </w:rPr>
            </w:pPr>
            <w:r w:rsidRPr="4073B551">
              <w:rPr>
                <w:rFonts w:ascii="Calibri" w:hAnsi="Calibri" w:cs="Calibri"/>
                <w:color w:val="000000" w:themeColor="text1"/>
                <w:sz w:val="16"/>
                <w:szCs w:val="16"/>
              </w:rPr>
              <w:t>153.372 </w:t>
            </w:r>
          </w:p>
        </w:tc>
        <w:tc>
          <w:tcPr>
            <w:tcW w:w="1134" w:type="dxa"/>
            <w:tcBorders>
              <w:top w:val="nil"/>
              <w:left w:val="nil"/>
              <w:right w:val="nil"/>
            </w:tcBorders>
            <w:shd w:val="clear" w:color="auto" w:fill="FFFFFF" w:themeFill="background1"/>
            <w:noWrap/>
            <w:vAlign w:val="center"/>
            <w:hideMark/>
          </w:tcPr>
          <w:p w14:paraId="4486A7CD" w14:textId="33B5A80E" w:rsidR="005E57A7" w:rsidRDefault="005E57A7">
            <w:pPr>
              <w:jc w:val="right"/>
              <w:rPr>
                <w:rFonts w:ascii="Calibri" w:hAnsi="Calibri" w:cs="Calibri"/>
                <w:color w:val="000000"/>
                <w:sz w:val="16"/>
                <w:szCs w:val="16"/>
              </w:rPr>
            </w:pPr>
            <w:r w:rsidRPr="4073B551">
              <w:rPr>
                <w:rFonts w:ascii="Calibri" w:hAnsi="Calibri" w:cs="Calibri"/>
                <w:color w:val="000000" w:themeColor="text1"/>
                <w:sz w:val="16"/>
                <w:szCs w:val="16"/>
              </w:rPr>
              <w:t>(574.549)</w:t>
            </w:r>
          </w:p>
        </w:tc>
      </w:tr>
      <w:tr w:rsidR="005E57A7" w14:paraId="3ABB91D4" w14:textId="77777777" w:rsidTr="005A30A6">
        <w:trPr>
          <w:trHeight w:hRule="exact" w:val="227"/>
        </w:trPr>
        <w:tc>
          <w:tcPr>
            <w:tcW w:w="4251" w:type="dxa"/>
            <w:tcBorders>
              <w:top w:val="nil"/>
              <w:left w:val="nil"/>
              <w:bottom w:val="single" w:sz="4" w:space="0" w:color="auto"/>
              <w:right w:val="nil"/>
            </w:tcBorders>
            <w:shd w:val="clear" w:color="auto" w:fill="auto"/>
            <w:noWrap/>
            <w:vAlign w:val="center"/>
            <w:hideMark/>
          </w:tcPr>
          <w:p w14:paraId="4007A9F8" w14:textId="5433AA15" w:rsidR="005E57A7" w:rsidRDefault="005E57A7">
            <w:pPr>
              <w:rPr>
                <w:rFonts w:ascii="Calibri" w:hAnsi="Calibri" w:cs="Calibri"/>
                <w:color w:val="000000"/>
                <w:sz w:val="16"/>
                <w:szCs w:val="16"/>
              </w:rPr>
            </w:pPr>
            <w:r>
              <w:rPr>
                <w:rFonts w:ascii="Calibri" w:hAnsi="Calibri" w:cs="Calibri"/>
                <w:color w:val="000000"/>
                <w:sz w:val="16"/>
                <w:szCs w:val="16"/>
              </w:rPr>
              <w:t>Juros a Transcorrer (Não Circulante)</w:t>
            </w:r>
          </w:p>
        </w:tc>
        <w:tc>
          <w:tcPr>
            <w:tcW w:w="1134" w:type="dxa"/>
            <w:tcBorders>
              <w:top w:val="nil"/>
              <w:left w:val="nil"/>
              <w:bottom w:val="single" w:sz="4" w:space="0" w:color="auto"/>
              <w:right w:val="nil"/>
            </w:tcBorders>
            <w:shd w:val="clear" w:color="auto" w:fill="auto"/>
            <w:noWrap/>
            <w:vAlign w:val="center"/>
            <w:hideMark/>
          </w:tcPr>
          <w:p w14:paraId="01106E2F" w14:textId="147A5EE3" w:rsidR="005E57A7" w:rsidRDefault="005E57A7">
            <w:pPr>
              <w:jc w:val="right"/>
              <w:rPr>
                <w:rFonts w:ascii="Calibri" w:hAnsi="Calibri" w:cs="Calibri"/>
                <w:color w:val="000000"/>
                <w:sz w:val="16"/>
                <w:szCs w:val="16"/>
              </w:rPr>
            </w:pPr>
            <w:r w:rsidRPr="4073B551">
              <w:rPr>
                <w:rFonts w:ascii="Calibri" w:hAnsi="Calibri" w:cs="Calibri"/>
                <w:color w:val="000000" w:themeColor="text1"/>
                <w:sz w:val="16"/>
                <w:szCs w:val="16"/>
              </w:rPr>
              <w:t>(1.173.739)</w:t>
            </w:r>
          </w:p>
        </w:tc>
        <w:tc>
          <w:tcPr>
            <w:tcW w:w="1134" w:type="dxa"/>
            <w:tcBorders>
              <w:top w:val="nil"/>
              <w:left w:val="nil"/>
              <w:bottom w:val="single" w:sz="4" w:space="0" w:color="auto"/>
              <w:right w:val="nil"/>
            </w:tcBorders>
            <w:shd w:val="clear" w:color="auto" w:fill="auto"/>
            <w:noWrap/>
            <w:vAlign w:val="center"/>
            <w:hideMark/>
          </w:tcPr>
          <w:p w14:paraId="65C157DF" w14:textId="2DF68D82" w:rsidR="005E57A7" w:rsidRDefault="005E57A7">
            <w:pPr>
              <w:jc w:val="right"/>
              <w:rPr>
                <w:rFonts w:ascii="Calibri" w:hAnsi="Calibri" w:cs="Calibri"/>
                <w:color w:val="000000"/>
                <w:sz w:val="16"/>
                <w:szCs w:val="16"/>
              </w:rPr>
            </w:pPr>
            <w:r w:rsidRPr="4FC78AB1">
              <w:rPr>
                <w:rFonts w:ascii="Calibri" w:hAnsi="Calibri" w:cs="Calibri"/>
                <w:color w:val="000000" w:themeColor="text1"/>
                <w:sz w:val="16"/>
                <w:szCs w:val="16"/>
              </w:rPr>
              <w:t>311.915</w:t>
            </w:r>
          </w:p>
        </w:tc>
        <w:tc>
          <w:tcPr>
            <w:tcW w:w="1134" w:type="dxa"/>
            <w:tcBorders>
              <w:top w:val="nil"/>
              <w:left w:val="nil"/>
              <w:bottom w:val="single" w:sz="4" w:space="0" w:color="auto"/>
              <w:right w:val="nil"/>
            </w:tcBorders>
            <w:shd w:val="clear" w:color="auto" w:fill="auto"/>
            <w:noWrap/>
            <w:vAlign w:val="center"/>
            <w:hideMark/>
          </w:tcPr>
          <w:p w14:paraId="4554FA13" w14:textId="77777777" w:rsidR="005E57A7" w:rsidRDefault="005E57A7">
            <w:pPr>
              <w:jc w:val="right"/>
              <w:rPr>
                <w:rFonts w:ascii="Calibri" w:hAnsi="Calibri" w:cs="Calibri"/>
                <w:color w:val="000000"/>
                <w:sz w:val="16"/>
                <w:szCs w:val="16"/>
              </w:rPr>
            </w:pPr>
            <w:r>
              <w:rPr>
                <w:rFonts w:ascii="Calibri" w:hAnsi="Calibri" w:cs="Calibri"/>
                <w:color w:val="000000"/>
                <w:sz w:val="16"/>
                <w:szCs w:val="16"/>
              </w:rPr>
              <w:t> </w:t>
            </w:r>
          </w:p>
        </w:tc>
        <w:tc>
          <w:tcPr>
            <w:tcW w:w="1134" w:type="dxa"/>
            <w:tcBorders>
              <w:top w:val="nil"/>
              <w:left w:val="nil"/>
              <w:bottom w:val="single" w:sz="4" w:space="0" w:color="auto"/>
              <w:right w:val="nil"/>
            </w:tcBorders>
            <w:shd w:val="clear" w:color="auto" w:fill="FFFFFF" w:themeFill="background1"/>
            <w:noWrap/>
            <w:vAlign w:val="center"/>
            <w:hideMark/>
          </w:tcPr>
          <w:p w14:paraId="78A706C4" w14:textId="5287AD1A" w:rsidR="005E57A7" w:rsidRDefault="005E57A7">
            <w:pPr>
              <w:jc w:val="right"/>
              <w:rPr>
                <w:rFonts w:ascii="Calibri" w:hAnsi="Calibri" w:cs="Calibri"/>
                <w:color w:val="000000"/>
                <w:sz w:val="16"/>
                <w:szCs w:val="16"/>
              </w:rPr>
            </w:pPr>
            <w:r w:rsidRPr="4073B551">
              <w:rPr>
                <w:rFonts w:ascii="Calibri" w:hAnsi="Calibri" w:cs="Calibri"/>
                <w:color w:val="000000" w:themeColor="text1"/>
                <w:sz w:val="16"/>
                <w:szCs w:val="16"/>
              </w:rPr>
              <w:t>(861.824)</w:t>
            </w:r>
          </w:p>
        </w:tc>
      </w:tr>
      <w:tr w:rsidR="005E57A7" w14:paraId="11FEC2C0" w14:textId="77777777" w:rsidTr="005A30A6">
        <w:trPr>
          <w:trHeight w:hRule="exact" w:val="227"/>
        </w:trPr>
        <w:tc>
          <w:tcPr>
            <w:tcW w:w="4251" w:type="dxa"/>
            <w:tcBorders>
              <w:top w:val="single" w:sz="4" w:space="0" w:color="auto"/>
              <w:left w:val="nil"/>
              <w:bottom w:val="single" w:sz="8" w:space="0" w:color="auto"/>
              <w:right w:val="nil"/>
            </w:tcBorders>
            <w:shd w:val="clear" w:color="auto" w:fill="DAE9F8"/>
            <w:noWrap/>
            <w:vAlign w:val="center"/>
            <w:hideMark/>
          </w:tcPr>
          <w:p w14:paraId="48D638F9" w14:textId="77777777" w:rsidR="005E57A7" w:rsidRDefault="005E57A7">
            <w:pPr>
              <w:rPr>
                <w:rFonts w:ascii="Calibri" w:hAnsi="Calibri" w:cs="Calibri"/>
                <w:b/>
                <w:bCs/>
                <w:color w:val="000000"/>
                <w:sz w:val="16"/>
                <w:szCs w:val="16"/>
              </w:rPr>
            </w:pPr>
            <w:r>
              <w:rPr>
                <w:rFonts w:ascii="Calibri" w:hAnsi="Calibri" w:cs="Calibri"/>
                <w:b/>
                <w:bCs/>
                <w:color w:val="000000"/>
                <w:sz w:val="16"/>
                <w:szCs w:val="16"/>
              </w:rPr>
              <w:t>Total Juros a Transcorrer (Redutora)</w:t>
            </w:r>
          </w:p>
        </w:tc>
        <w:tc>
          <w:tcPr>
            <w:tcW w:w="1134" w:type="dxa"/>
            <w:tcBorders>
              <w:top w:val="single" w:sz="4" w:space="0" w:color="auto"/>
              <w:left w:val="nil"/>
              <w:bottom w:val="single" w:sz="8" w:space="0" w:color="auto"/>
              <w:right w:val="nil"/>
            </w:tcBorders>
            <w:shd w:val="clear" w:color="auto" w:fill="DAE9F8"/>
            <w:noWrap/>
            <w:vAlign w:val="center"/>
            <w:hideMark/>
          </w:tcPr>
          <w:p w14:paraId="5D5482D2" w14:textId="336F2DEE" w:rsidR="005E57A7" w:rsidRPr="00EB07A4" w:rsidRDefault="005E57A7">
            <w:pPr>
              <w:jc w:val="right"/>
              <w:rPr>
                <w:rFonts w:ascii="Calibri" w:hAnsi="Calibri" w:cs="Calibri"/>
                <w:b/>
                <w:color w:val="000000" w:themeColor="text1"/>
                <w:sz w:val="16"/>
                <w:szCs w:val="16"/>
              </w:rPr>
            </w:pPr>
            <w:r w:rsidRPr="4073B551">
              <w:rPr>
                <w:rFonts w:ascii="Calibri" w:hAnsi="Calibri" w:cs="Calibri"/>
                <w:b/>
                <w:bCs/>
                <w:color w:val="000000" w:themeColor="text1"/>
                <w:sz w:val="16"/>
                <w:szCs w:val="16"/>
              </w:rPr>
              <w:t>(</w:t>
            </w:r>
            <w:r w:rsidRPr="4073B551">
              <w:rPr>
                <w:rFonts w:ascii="Calibri" w:hAnsi="Calibri" w:cs="Calibri"/>
                <w:b/>
                <w:color w:val="000000" w:themeColor="text1"/>
                <w:sz w:val="16"/>
                <w:szCs w:val="16"/>
              </w:rPr>
              <w:t>1.844.447</w:t>
            </w:r>
            <w:r w:rsidRPr="4073B551">
              <w:rPr>
                <w:rFonts w:ascii="Calibri" w:hAnsi="Calibri" w:cs="Calibri"/>
                <w:b/>
                <w:bCs/>
                <w:color w:val="000000" w:themeColor="text1"/>
                <w:sz w:val="16"/>
                <w:szCs w:val="16"/>
              </w:rPr>
              <w:t>)</w:t>
            </w:r>
          </w:p>
        </w:tc>
        <w:tc>
          <w:tcPr>
            <w:tcW w:w="1134" w:type="dxa"/>
            <w:tcBorders>
              <w:top w:val="single" w:sz="4" w:space="0" w:color="auto"/>
              <w:left w:val="nil"/>
              <w:bottom w:val="single" w:sz="8" w:space="0" w:color="auto"/>
              <w:right w:val="nil"/>
            </w:tcBorders>
            <w:shd w:val="clear" w:color="auto" w:fill="DAE9F8"/>
            <w:noWrap/>
            <w:vAlign w:val="center"/>
            <w:hideMark/>
          </w:tcPr>
          <w:p w14:paraId="3801DBC8" w14:textId="3CBFB91C" w:rsidR="005E57A7" w:rsidRDefault="005E57A7">
            <w:pPr>
              <w:jc w:val="right"/>
              <w:rPr>
                <w:rFonts w:ascii="Calibri" w:hAnsi="Calibri" w:cs="Calibri"/>
                <w:b/>
                <w:color w:val="000000" w:themeColor="text1"/>
                <w:sz w:val="16"/>
                <w:szCs w:val="16"/>
              </w:rPr>
            </w:pPr>
            <w:r w:rsidRPr="5E46D776">
              <w:rPr>
                <w:rFonts w:ascii="Calibri" w:hAnsi="Calibri" w:cs="Calibri"/>
                <w:b/>
                <w:bCs/>
                <w:color w:val="000000" w:themeColor="text1"/>
                <w:sz w:val="16"/>
                <w:szCs w:val="16"/>
              </w:rPr>
              <w:t>254.702</w:t>
            </w:r>
          </w:p>
        </w:tc>
        <w:tc>
          <w:tcPr>
            <w:tcW w:w="1134" w:type="dxa"/>
            <w:tcBorders>
              <w:top w:val="single" w:sz="4" w:space="0" w:color="auto"/>
              <w:left w:val="nil"/>
              <w:bottom w:val="single" w:sz="8" w:space="0" w:color="auto"/>
              <w:right w:val="nil"/>
            </w:tcBorders>
            <w:shd w:val="clear" w:color="auto" w:fill="DAE9F8"/>
            <w:noWrap/>
            <w:vAlign w:val="center"/>
          </w:tcPr>
          <w:p w14:paraId="3A595881" w14:textId="02623703" w:rsidR="005E57A7" w:rsidRDefault="005E57A7">
            <w:pPr>
              <w:jc w:val="right"/>
              <w:rPr>
                <w:rFonts w:ascii="Calibri" w:hAnsi="Calibri" w:cs="Calibri"/>
                <w:b/>
                <w:bCs/>
                <w:color w:val="000000"/>
                <w:sz w:val="16"/>
                <w:szCs w:val="16"/>
              </w:rPr>
            </w:pPr>
            <w:r w:rsidRPr="5E46D776">
              <w:rPr>
                <w:rFonts w:ascii="Calibri" w:hAnsi="Calibri" w:cs="Calibri"/>
                <w:b/>
                <w:bCs/>
                <w:color w:val="000000" w:themeColor="text1"/>
                <w:sz w:val="16"/>
                <w:szCs w:val="16"/>
              </w:rPr>
              <w:t>153.372</w:t>
            </w:r>
          </w:p>
        </w:tc>
        <w:tc>
          <w:tcPr>
            <w:tcW w:w="1134" w:type="dxa"/>
            <w:tcBorders>
              <w:top w:val="single" w:sz="4" w:space="0" w:color="auto"/>
              <w:left w:val="nil"/>
              <w:bottom w:val="single" w:sz="8" w:space="0" w:color="auto"/>
              <w:right w:val="nil"/>
            </w:tcBorders>
            <w:shd w:val="clear" w:color="auto" w:fill="DAE9F8"/>
            <w:noWrap/>
            <w:vAlign w:val="center"/>
            <w:hideMark/>
          </w:tcPr>
          <w:p w14:paraId="2ABC39B6" w14:textId="1A776604" w:rsidR="005E57A7" w:rsidRDefault="005E57A7">
            <w:pPr>
              <w:jc w:val="right"/>
              <w:rPr>
                <w:rFonts w:ascii="Calibri" w:hAnsi="Calibri" w:cs="Calibri"/>
                <w:b/>
                <w:bCs/>
                <w:color w:val="000000"/>
                <w:sz w:val="16"/>
                <w:szCs w:val="16"/>
              </w:rPr>
            </w:pPr>
            <w:r w:rsidRPr="5E46D776">
              <w:rPr>
                <w:rFonts w:ascii="Calibri" w:hAnsi="Calibri" w:cs="Calibri"/>
                <w:b/>
                <w:bCs/>
                <w:color w:val="000000" w:themeColor="text1"/>
                <w:sz w:val="16"/>
                <w:szCs w:val="16"/>
              </w:rPr>
              <w:t>(</w:t>
            </w:r>
            <w:r w:rsidRPr="5E46D776">
              <w:rPr>
                <w:rFonts w:ascii="Calibri" w:hAnsi="Calibri" w:cs="Calibri"/>
                <w:b/>
                <w:color w:val="000000" w:themeColor="text1"/>
                <w:sz w:val="16"/>
                <w:szCs w:val="16"/>
              </w:rPr>
              <w:t>1.436.373</w:t>
            </w:r>
            <w:r w:rsidRPr="5E46D776">
              <w:rPr>
                <w:rFonts w:ascii="Calibri" w:hAnsi="Calibri" w:cs="Calibri"/>
                <w:b/>
                <w:bCs/>
                <w:color w:val="000000" w:themeColor="text1"/>
                <w:sz w:val="16"/>
                <w:szCs w:val="16"/>
              </w:rPr>
              <w:t>)</w:t>
            </w:r>
          </w:p>
        </w:tc>
      </w:tr>
    </w:tbl>
    <w:p w14:paraId="0295C7B7" w14:textId="77777777" w:rsidR="00E03BE2" w:rsidRDefault="00E03BE2" w:rsidP="00B33B5E">
      <w:pPr>
        <w:spacing w:after="0"/>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5036"/>
        <w:gridCol w:w="1357"/>
        <w:gridCol w:w="1358"/>
        <w:gridCol w:w="1358"/>
        <w:gridCol w:w="1358"/>
      </w:tblGrid>
      <w:tr w:rsidR="005E57A7" w14:paraId="426131EB" w14:textId="77777777" w:rsidTr="005A30A6">
        <w:trPr>
          <w:trHeight w:hRule="exact" w:val="227"/>
        </w:trPr>
        <w:tc>
          <w:tcPr>
            <w:tcW w:w="4207" w:type="dxa"/>
            <w:tcBorders>
              <w:top w:val="single" w:sz="4" w:space="0" w:color="auto"/>
              <w:left w:val="nil"/>
              <w:bottom w:val="single" w:sz="4" w:space="0" w:color="auto"/>
              <w:right w:val="nil"/>
            </w:tcBorders>
            <w:shd w:val="clear" w:color="auto" w:fill="DEEAF6" w:themeFill="accent1" w:themeFillTint="33"/>
            <w:noWrap/>
            <w:vAlign w:val="center"/>
            <w:hideMark/>
          </w:tcPr>
          <w:p w14:paraId="133D60BE" w14:textId="37D21984" w:rsidR="005E57A7" w:rsidRDefault="005E57A7" w:rsidP="00835FCE">
            <w:pPr>
              <w:rPr>
                <w:rFonts w:ascii="Calibri" w:hAnsi="Calibri" w:cs="Calibri"/>
                <w:b/>
                <w:bCs/>
                <w:color w:val="000000"/>
                <w:sz w:val="16"/>
                <w:szCs w:val="16"/>
              </w:rPr>
            </w:pPr>
            <w:r>
              <w:rPr>
                <w:rFonts w:ascii="Calibri" w:hAnsi="Calibri" w:cs="Calibri"/>
                <w:b/>
                <w:bCs/>
                <w:color w:val="000000"/>
                <w:sz w:val="16"/>
                <w:szCs w:val="16"/>
              </w:rPr>
              <w:t>Passivo de Arrendamento Líquido Total</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34B5054F" w14:textId="633713DC" w:rsidR="005E57A7" w:rsidRDefault="005E57A7" w:rsidP="00835FCE">
            <w:pPr>
              <w:jc w:val="right"/>
              <w:rPr>
                <w:rFonts w:ascii="Calibri" w:hAnsi="Calibri" w:cs="Calibri"/>
                <w:b/>
                <w:bCs/>
                <w:color w:val="000000"/>
                <w:sz w:val="16"/>
                <w:szCs w:val="16"/>
              </w:rPr>
            </w:pPr>
            <w:r>
              <w:rPr>
                <w:rFonts w:ascii="Calibri" w:hAnsi="Calibri" w:cs="Calibri"/>
                <w:b/>
                <w:bCs/>
                <w:color w:val="000000"/>
                <w:sz w:val="16"/>
                <w:szCs w:val="16"/>
              </w:rPr>
              <w:t>11.137.624</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5B4E27DE" w14:textId="4F375BF8" w:rsidR="005E57A7" w:rsidRDefault="005E57A7" w:rsidP="00835FCE">
            <w:pPr>
              <w:jc w:val="right"/>
              <w:rPr>
                <w:rFonts w:ascii="Calibri" w:hAnsi="Calibri" w:cs="Calibri"/>
                <w:b/>
                <w:bCs/>
                <w:color w:val="000000"/>
                <w:sz w:val="16"/>
                <w:szCs w:val="16"/>
              </w:rPr>
            </w:pPr>
            <w:r w:rsidRPr="22A75B5C">
              <w:rPr>
                <w:rFonts w:ascii="Calibri" w:hAnsi="Calibri" w:cs="Calibri"/>
                <w:b/>
                <w:bCs/>
                <w:color w:val="000000" w:themeColor="text1"/>
                <w:sz w:val="16"/>
                <w:szCs w:val="16"/>
              </w:rPr>
              <w:t>254.702</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605C66A2" w14:textId="6F30A32C" w:rsidR="005E57A7" w:rsidRDefault="005E57A7" w:rsidP="00835FCE">
            <w:pPr>
              <w:jc w:val="right"/>
              <w:rPr>
                <w:rFonts w:ascii="Calibri" w:hAnsi="Calibri" w:cs="Calibri"/>
                <w:b/>
                <w:bCs/>
                <w:color w:val="000000"/>
                <w:sz w:val="16"/>
                <w:szCs w:val="16"/>
              </w:rPr>
            </w:pPr>
            <w:r w:rsidRPr="0F089B91">
              <w:rPr>
                <w:rFonts w:ascii="Calibri" w:hAnsi="Calibri" w:cs="Calibri"/>
                <w:b/>
                <w:bCs/>
                <w:color w:val="000000" w:themeColor="text1"/>
                <w:sz w:val="16"/>
                <w:szCs w:val="16"/>
              </w:rPr>
              <w:t>(1.026.816)</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76CD707C" w14:textId="083856BB" w:rsidR="005E57A7" w:rsidRDefault="005E57A7" w:rsidP="00835FCE">
            <w:pPr>
              <w:jc w:val="right"/>
              <w:rPr>
                <w:rFonts w:ascii="Calibri" w:hAnsi="Calibri" w:cs="Calibri"/>
                <w:b/>
                <w:bCs/>
                <w:color w:val="000000"/>
                <w:sz w:val="16"/>
                <w:szCs w:val="16"/>
              </w:rPr>
            </w:pPr>
            <w:r>
              <w:rPr>
                <w:rFonts w:ascii="Calibri" w:hAnsi="Calibri" w:cs="Calibri"/>
                <w:b/>
                <w:bCs/>
                <w:color w:val="000000"/>
                <w:sz w:val="16"/>
                <w:szCs w:val="16"/>
              </w:rPr>
              <w:t>10.365.510</w:t>
            </w:r>
          </w:p>
        </w:tc>
      </w:tr>
      <w:tr w:rsidR="005E57A7" w14:paraId="505566C2" w14:textId="77777777" w:rsidTr="005A30A6">
        <w:trPr>
          <w:trHeight w:hRule="exact" w:val="227"/>
        </w:trPr>
        <w:tc>
          <w:tcPr>
            <w:tcW w:w="4207" w:type="dxa"/>
            <w:tcBorders>
              <w:top w:val="single" w:sz="4" w:space="0" w:color="auto"/>
              <w:left w:val="nil"/>
              <w:bottom w:val="nil"/>
              <w:right w:val="nil"/>
            </w:tcBorders>
            <w:shd w:val="clear" w:color="auto" w:fill="auto"/>
            <w:noWrap/>
            <w:vAlign w:val="center"/>
            <w:hideMark/>
          </w:tcPr>
          <w:p w14:paraId="25C4DB5D" w14:textId="34BDD132" w:rsidR="005E57A7" w:rsidRDefault="005E57A7" w:rsidP="00835FCE">
            <w:pPr>
              <w:rPr>
                <w:rFonts w:ascii="Calibri" w:hAnsi="Calibri" w:cs="Calibri"/>
                <w:color w:val="000000"/>
                <w:sz w:val="16"/>
                <w:szCs w:val="16"/>
              </w:rPr>
            </w:pPr>
            <w:r>
              <w:rPr>
                <w:rFonts w:ascii="Calibri" w:hAnsi="Calibri" w:cs="Calibri"/>
                <w:color w:val="000000"/>
                <w:sz w:val="16"/>
                <w:szCs w:val="16"/>
              </w:rPr>
              <w:t>Passivo de Arrendamento Líquido (Circulante)</w:t>
            </w:r>
          </w:p>
        </w:tc>
        <w:tc>
          <w:tcPr>
            <w:tcW w:w="1134" w:type="dxa"/>
            <w:tcBorders>
              <w:top w:val="single" w:sz="4" w:space="0" w:color="auto"/>
              <w:left w:val="nil"/>
              <w:bottom w:val="nil"/>
              <w:right w:val="nil"/>
            </w:tcBorders>
            <w:shd w:val="clear" w:color="auto" w:fill="auto"/>
            <w:noWrap/>
            <w:vAlign w:val="center"/>
            <w:hideMark/>
          </w:tcPr>
          <w:p w14:paraId="0C205435" w14:textId="7336AECE" w:rsidR="005E57A7" w:rsidRDefault="005E57A7" w:rsidP="00835FCE">
            <w:pPr>
              <w:jc w:val="right"/>
              <w:rPr>
                <w:rFonts w:ascii="Calibri" w:hAnsi="Calibri" w:cs="Calibri"/>
                <w:color w:val="000000"/>
                <w:sz w:val="16"/>
                <w:szCs w:val="16"/>
              </w:rPr>
            </w:pPr>
            <w:r>
              <w:rPr>
                <w:rFonts w:ascii="Calibri" w:hAnsi="Calibri" w:cs="Calibri"/>
                <w:color w:val="000000"/>
                <w:sz w:val="16"/>
                <w:szCs w:val="16"/>
              </w:rPr>
              <w:t>4.050.045</w:t>
            </w:r>
          </w:p>
        </w:tc>
        <w:tc>
          <w:tcPr>
            <w:tcW w:w="1134" w:type="dxa"/>
            <w:tcBorders>
              <w:top w:val="single" w:sz="4" w:space="0" w:color="auto"/>
              <w:left w:val="nil"/>
              <w:bottom w:val="nil"/>
              <w:right w:val="nil"/>
            </w:tcBorders>
            <w:shd w:val="clear" w:color="auto" w:fill="auto"/>
            <w:noWrap/>
            <w:vAlign w:val="center"/>
            <w:hideMark/>
          </w:tcPr>
          <w:p w14:paraId="11CDDAF4" w14:textId="5FA6FB35" w:rsidR="005E57A7" w:rsidRDefault="005E57A7" w:rsidP="00835FCE">
            <w:pPr>
              <w:jc w:val="right"/>
              <w:rPr>
                <w:rFonts w:ascii="Calibri" w:hAnsi="Calibri" w:cs="Calibri"/>
                <w:color w:val="000000"/>
                <w:sz w:val="16"/>
                <w:szCs w:val="16"/>
              </w:rPr>
            </w:pPr>
            <w:r w:rsidRPr="2F4BA034">
              <w:rPr>
                <w:rFonts w:ascii="Calibri" w:hAnsi="Calibri" w:cs="Calibri"/>
                <w:color w:val="000000" w:themeColor="text1"/>
                <w:sz w:val="16"/>
                <w:szCs w:val="16"/>
              </w:rPr>
              <w:t>1.122</w:t>
            </w:r>
            <w:r w:rsidRPr="6832B39F">
              <w:rPr>
                <w:rFonts w:ascii="Calibri" w:hAnsi="Calibri" w:cs="Calibri"/>
                <w:color w:val="000000" w:themeColor="text1"/>
                <w:sz w:val="16"/>
                <w:szCs w:val="16"/>
              </w:rPr>
              <w:t>.975</w:t>
            </w:r>
          </w:p>
        </w:tc>
        <w:tc>
          <w:tcPr>
            <w:tcW w:w="1134" w:type="dxa"/>
            <w:tcBorders>
              <w:top w:val="single" w:sz="4" w:space="0" w:color="auto"/>
              <w:left w:val="nil"/>
              <w:bottom w:val="nil"/>
              <w:right w:val="nil"/>
            </w:tcBorders>
            <w:shd w:val="clear" w:color="auto" w:fill="auto"/>
            <w:noWrap/>
            <w:vAlign w:val="center"/>
            <w:hideMark/>
          </w:tcPr>
          <w:p w14:paraId="21557AC4" w14:textId="3333F630" w:rsidR="005E57A7" w:rsidRDefault="005E57A7" w:rsidP="00835FCE">
            <w:pPr>
              <w:jc w:val="right"/>
            </w:pPr>
            <w:r w:rsidRPr="3C0F5F6D">
              <w:rPr>
                <w:rFonts w:ascii="Calibri" w:hAnsi="Calibri" w:cs="Calibri"/>
                <w:color w:val="000000" w:themeColor="text1"/>
                <w:sz w:val="16"/>
                <w:szCs w:val="16"/>
              </w:rPr>
              <w:t>(1.026.816)</w:t>
            </w:r>
          </w:p>
        </w:tc>
        <w:tc>
          <w:tcPr>
            <w:tcW w:w="1134" w:type="dxa"/>
            <w:tcBorders>
              <w:top w:val="single" w:sz="4" w:space="0" w:color="auto"/>
              <w:left w:val="nil"/>
              <w:bottom w:val="nil"/>
              <w:right w:val="nil"/>
            </w:tcBorders>
            <w:shd w:val="clear" w:color="auto" w:fill="FFFFFF" w:themeFill="background1"/>
            <w:noWrap/>
            <w:vAlign w:val="center"/>
            <w:hideMark/>
          </w:tcPr>
          <w:p w14:paraId="059215A7" w14:textId="2E0B7264" w:rsidR="005E57A7" w:rsidRDefault="005E57A7" w:rsidP="00835FCE">
            <w:pPr>
              <w:jc w:val="right"/>
              <w:rPr>
                <w:rFonts w:ascii="Calibri" w:hAnsi="Calibri" w:cs="Calibri"/>
                <w:color w:val="000000"/>
                <w:sz w:val="16"/>
                <w:szCs w:val="16"/>
              </w:rPr>
            </w:pPr>
            <w:r>
              <w:rPr>
                <w:rFonts w:ascii="Calibri" w:hAnsi="Calibri" w:cs="Calibri"/>
                <w:color w:val="000000"/>
                <w:sz w:val="16"/>
                <w:szCs w:val="16"/>
              </w:rPr>
              <w:t>4.146.204</w:t>
            </w:r>
          </w:p>
        </w:tc>
      </w:tr>
      <w:tr w:rsidR="005E57A7" w14:paraId="6FD0C826" w14:textId="77777777" w:rsidTr="005A30A6">
        <w:trPr>
          <w:trHeight w:hRule="exact" w:val="227"/>
        </w:trPr>
        <w:tc>
          <w:tcPr>
            <w:tcW w:w="4207" w:type="dxa"/>
            <w:tcBorders>
              <w:top w:val="nil"/>
              <w:left w:val="nil"/>
              <w:bottom w:val="single" w:sz="8" w:space="0" w:color="auto"/>
              <w:right w:val="nil"/>
            </w:tcBorders>
            <w:shd w:val="clear" w:color="auto" w:fill="auto"/>
            <w:noWrap/>
            <w:vAlign w:val="center"/>
            <w:hideMark/>
          </w:tcPr>
          <w:p w14:paraId="7753F811" w14:textId="336190EC" w:rsidR="005E57A7" w:rsidRDefault="005E57A7" w:rsidP="00835FCE">
            <w:pPr>
              <w:rPr>
                <w:rFonts w:ascii="Calibri" w:hAnsi="Calibri" w:cs="Calibri"/>
                <w:color w:val="000000"/>
                <w:sz w:val="16"/>
                <w:szCs w:val="16"/>
              </w:rPr>
            </w:pPr>
            <w:r>
              <w:rPr>
                <w:rFonts w:ascii="Calibri" w:hAnsi="Calibri" w:cs="Calibri"/>
                <w:color w:val="000000"/>
                <w:sz w:val="16"/>
                <w:szCs w:val="16"/>
              </w:rPr>
              <w:lastRenderedPageBreak/>
              <w:t>Passivo de Arrendamento Líquido (Não Circulante)</w:t>
            </w:r>
          </w:p>
        </w:tc>
        <w:tc>
          <w:tcPr>
            <w:tcW w:w="1134" w:type="dxa"/>
            <w:tcBorders>
              <w:top w:val="nil"/>
              <w:left w:val="nil"/>
              <w:bottom w:val="single" w:sz="8" w:space="0" w:color="auto"/>
              <w:right w:val="nil"/>
            </w:tcBorders>
            <w:shd w:val="clear" w:color="auto" w:fill="auto"/>
            <w:vAlign w:val="center"/>
            <w:hideMark/>
          </w:tcPr>
          <w:p w14:paraId="6B608AFA" w14:textId="0EF75C80" w:rsidR="005E57A7" w:rsidRDefault="005E57A7" w:rsidP="00835FCE">
            <w:pPr>
              <w:jc w:val="right"/>
              <w:rPr>
                <w:rFonts w:ascii="Calibri" w:hAnsi="Calibri" w:cs="Calibri"/>
                <w:color w:val="000000"/>
                <w:sz w:val="16"/>
                <w:szCs w:val="16"/>
              </w:rPr>
            </w:pPr>
            <w:r>
              <w:rPr>
                <w:rFonts w:ascii="Calibri" w:hAnsi="Calibri" w:cs="Calibri"/>
                <w:color w:val="000000"/>
                <w:sz w:val="16"/>
                <w:szCs w:val="16"/>
              </w:rPr>
              <w:t>7.087.579</w:t>
            </w:r>
          </w:p>
        </w:tc>
        <w:tc>
          <w:tcPr>
            <w:tcW w:w="1134" w:type="dxa"/>
            <w:tcBorders>
              <w:top w:val="nil"/>
              <w:left w:val="nil"/>
              <w:bottom w:val="single" w:sz="8" w:space="0" w:color="auto"/>
              <w:right w:val="nil"/>
            </w:tcBorders>
            <w:shd w:val="clear" w:color="auto" w:fill="auto"/>
            <w:vAlign w:val="center"/>
            <w:hideMark/>
          </w:tcPr>
          <w:p w14:paraId="0032012E" w14:textId="7777FD20" w:rsidR="005E57A7" w:rsidRDefault="005E57A7" w:rsidP="00835FCE">
            <w:pPr>
              <w:jc w:val="right"/>
              <w:rPr>
                <w:rFonts w:ascii="Calibri" w:hAnsi="Calibri" w:cs="Calibri"/>
                <w:color w:val="000000"/>
                <w:sz w:val="16"/>
                <w:szCs w:val="16"/>
              </w:rPr>
            </w:pPr>
            <w:r w:rsidRPr="21EEE2F1">
              <w:rPr>
                <w:rFonts w:ascii="Calibri" w:hAnsi="Calibri" w:cs="Calibri"/>
                <w:color w:val="000000" w:themeColor="text1"/>
                <w:sz w:val="16"/>
                <w:szCs w:val="16"/>
              </w:rPr>
              <w:t>(868.273</w:t>
            </w:r>
            <w:r w:rsidRPr="1044A3A6">
              <w:rPr>
                <w:rFonts w:ascii="Calibri" w:hAnsi="Calibri" w:cs="Calibri"/>
                <w:color w:val="000000" w:themeColor="text1"/>
                <w:sz w:val="16"/>
                <w:szCs w:val="16"/>
              </w:rPr>
              <w:t>)</w:t>
            </w:r>
          </w:p>
        </w:tc>
        <w:tc>
          <w:tcPr>
            <w:tcW w:w="1134" w:type="dxa"/>
            <w:tcBorders>
              <w:top w:val="nil"/>
              <w:left w:val="nil"/>
              <w:bottom w:val="single" w:sz="8" w:space="0" w:color="auto"/>
              <w:right w:val="nil"/>
            </w:tcBorders>
            <w:shd w:val="clear" w:color="auto" w:fill="auto"/>
            <w:vAlign w:val="center"/>
            <w:hideMark/>
          </w:tcPr>
          <w:p w14:paraId="1963E4B5" w14:textId="1049FA53" w:rsidR="005E57A7" w:rsidRDefault="005E57A7" w:rsidP="00835FCE">
            <w:pPr>
              <w:jc w:val="right"/>
              <w:rPr>
                <w:rFonts w:ascii="Calibri" w:hAnsi="Calibri" w:cs="Calibri"/>
                <w:color w:val="000000"/>
                <w:sz w:val="16"/>
                <w:szCs w:val="16"/>
              </w:rPr>
            </w:pPr>
            <w:r>
              <w:rPr>
                <w:rFonts w:ascii="Calibri" w:hAnsi="Calibri" w:cs="Calibri"/>
                <w:color w:val="000000"/>
                <w:sz w:val="16"/>
                <w:szCs w:val="16"/>
              </w:rPr>
              <w:t>-</w:t>
            </w:r>
          </w:p>
        </w:tc>
        <w:tc>
          <w:tcPr>
            <w:tcW w:w="1134" w:type="dxa"/>
            <w:tcBorders>
              <w:top w:val="nil"/>
              <w:left w:val="nil"/>
              <w:bottom w:val="single" w:sz="8" w:space="0" w:color="auto"/>
              <w:right w:val="nil"/>
            </w:tcBorders>
            <w:shd w:val="clear" w:color="auto" w:fill="auto"/>
            <w:vAlign w:val="center"/>
            <w:hideMark/>
          </w:tcPr>
          <w:p w14:paraId="2BA18DFC" w14:textId="766406CF" w:rsidR="005E57A7" w:rsidRDefault="005E57A7" w:rsidP="00835FCE">
            <w:pPr>
              <w:jc w:val="right"/>
              <w:rPr>
                <w:rFonts w:ascii="Calibri" w:hAnsi="Calibri" w:cs="Calibri"/>
                <w:color w:val="000000"/>
                <w:sz w:val="16"/>
                <w:szCs w:val="16"/>
              </w:rPr>
            </w:pPr>
            <w:r>
              <w:rPr>
                <w:rFonts w:ascii="Calibri" w:hAnsi="Calibri" w:cs="Calibri"/>
                <w:color w:val="000000"/>
                <w:sz w:val="16"/>
                <w:szCs w:val="16"/>
              </w:rPr>
              <w:t>6.219.306</w:t>
            </w:r>
          </w:p>
        </w:tc>
      </w:tr>
    </w:tbl>
    <w:p w14:paraId="40413FA4" w14:textId="1B5729C1" w:rsidR="00D85639" w:rsidRPr="007E17B5" w:rsidRDefault="00D85639" w:rsidP="000F65DF">
      <w:pPr>
        <w:spacing w:before="120"/>
        <w:jc w:val="both"/>
        <w:rPr>
          <w:sz w:val="20"/>
          <w:szCs w:val="20"/>
        </w:rPr>
      </w:pPr>
      <w:r w:rsidRPr="007E17B5">
        <w:rPr>
          <w:sz w:val="20"/>
          <w:szCs w:val="20"/>
        </w:rPr>
        <w:t>O quadro a seguir apresenta as prestações não descontadas:</w:t>
      </w:r>
    </w:p>
    <w:tbl>
      <w:tblPr>
        <w:tblW w:w="5000" w:type="pct"/>
        <w:tblCellMar>
          <w:left w:w="70" w:type="dxa"/>
          <w:right w:w="70" w:type="dxa"/>
        </w:tblCellMar>
        <w:tblLook w:val="04A0" w:firstRow="1" w:lastRow="0" w:firstColumn="1" w:lastColumn="0" w:noHBand="0" w:noVBand="1"/>
      </w:tblPr>
      <w:tblGrid>
        <w:gridCol w:w="8071"/>
        <w:gridCol w:w="1198"/>
        <w:gridCol w:w="1198"/>
      </w:tblGrid>
      <w:tr w:rsidR="0098400B" w14:paraId="027375A7" w14:textId="77777777" w:rsidTr="00AF6902">
        <w:trPr>
          <w:trHeight w:hRule="exact" w:val="227"/>
        </w:trPr>
        <w:tc>
          <w:tcPr>
            <w:tcW w:w="7641" w:type="dxa"/>
            <w:tcBorders>
              <w:top w:val="nil"/>
              <w:left w:val="nil"/>
              <w:bottom w:val="single" w:sz="8" w:space="0" w:color="auto"/>
              <w:right w:val="nil"/>
            </w:tcBorders>
            <w:shd w:val="clear" w:color="auto" w:fill="DDEBF7"/>
            <w:noWrap/>
            <w:vAlign w:val="center"/>
            <w:hideMark/>
          </w:tcPr>
          <w:p w14:paraId="59704742" w14:textId="7352BD3D" w:rsidR="0098400B" w:rsidRDefault="0098400B" w:rsidP="0098400B">
            <w:pPr>
              <w:rPr>
                <w:rFonts w:ascii="Calibri" w:hAnsi="Calibri" w:cs="Calibri"/>
                <w:b/>
                <w:bCs/>
                <w:color w:val="000000"/>
                <w:sz w:val="16"/>
                <w:szCs w:val="16"/>
              </w:rPr>
            </w:pPr>
            <w:r>
              <w:rPr>
                <w:rFonts w:ascii="Calibri" w:hAnsi="Calibri" w:cs="Calibri"/>
                <w:b/>
                <w:bCs/>
                <w:color w:val="000000"/>
                <w:sz w:val="16"/>
                <w:szCs w:val="16"/>
              </w:rPr>
              <w:t>Vencimento das Prestações</w:t>
            </w:r>
          </w:p>
        </w:tc>
        <w:tc>
          <w:tcPr>
            <w:tcW w:w="1134" w:type="dxa"/>
            <w:tcBorders>
              <w:top w:val="nil"/>
              <w:left w:val="nil"/>
              <w:bottom w:val="single" w:sz="8" w:space="0" w:color="auto"/>
              <w:right w:val="nil"/>
            </w:tcBorders>
            <w:shd w:val="clear" w:color="auto" w:fill="DDEBF7"/>
            <w:vAlign w:val="center"/>
            <w:hideMark/>
          </w:tcPr>
          <w:p w14:paraId="436A92A2" w14:textId="77777777" w:rsidR="0098400B" w:rsidRDefault="0098400B" w:rsidP="0098400B">
            <w:pPr>
              <w:ind w:left="29"/>
              <w:jc w:val="right"/>
              <w:rPr>
                <w:rFonts w:ascii="Calibri" w:hAnsi="Calibri" w:cs="Calibri"/>
                <w:b/>
                <w:bCs/>
                <w:color w:val="000000"/>
                <w:sz w:val="16"/>
                <w:szCs w:val="16"/>
              </w:rPr>
            </w:pPr>
            <w:r>
              <w:rPr>
                <w:rFonts w:ascii="Calibri" w:hAnsi="Calibri" w:cs="Calibri"/>
                <w:b/>
                <w:bCs/>
                <w:color w:val="000000"/>
                <w:sz w:val="16"/>
                <w:szCs w:val="16"/>
              </w:rPr>
              <w:t>31/03/2024</w:t>
            </w:r>
          </w:p>
        </w:tc>
        <w:tc>
          <w:tcPr>
            <w:tcW w:w="1134" w:type="dxa"/>
            <w:tcBorders>
              <w:top w:val="nil"/>
              <w:left w:val="nil"/>
              <w:bottom w:val="single" w:sz="8" w:space="0" w:color="auto"/>
              <w:right w:val="nil"/>
            </w:tcBorders>
            <w:shd w:val="clear" w:color="auto" w:fill="DDEBF7"/>
            <w:vAlign w:val="center"/>
            <w:hideMark/>
          </w:tcPr>
          <w:p w14:paraId="6A881AA7" w14:textId="77777777" w:rsidR="0098400B" w:rsidRDefault="0098400B" w:rsidP="0098400B">
            <w:pPr>
              <w:ind w:left="123"/>
              <w:jc w:val="right"/>
              <w:rPr>
                <w:rFonts w:ascii="Calibri" w:hAnsi="Calibri" w:cs="Calibri"/>
                <w:b/>
                <w:bCs/>
                <w:color w:val="000000"/>
                <w:sz w:val="16"/>
                <w:szCs w:val="16"/>
              </w:rPr>
            </w:pPr>
            <w:r>
              <w:rPr>
                <w:rFonts w:ascii="Calibri" w:hAnsi="Calibri" w:cs="Calibri"/>
                <w:b/>
                <w:bCs/>
                <w:color w:val="000000"/>
                <w:sz w:val="16"/>
                <w:szCs w:val="16"/>
              </w:rPr>
              <w:t>31/12/2023</w:t>
            </w:r>
          </w:p>
        </w:tc>
      </w:tr>
      <w:tr w:rsidR="0098400B" w14:paraId="04C1676E" w14:textId="77777777" w:rsidTr="00AF6902">
        <w:trPr>
          <w:trHeight w:hRule="exact" w:val="227"/>
        </w:trPr>
        <w:tc>
          <w:tcPr>
            <w:tcW w:w="7641" w:type="dxa"/>
            <w:tcBorders>
              <w:top w:val="nil"/>
              <w:left w:val="nil"/>
              <w:bottom w:val="nil"/>
              <w:right w:val="nil"/>
            </w:tcBorders>
            <w:shd w:val="clear" w:color="auto" w:fill="auto"/>
            <w:noWrap/>
            <w:vAlign w:val="center"/>
            <w:hideMark/>
          </w:tcPr>
          <w:p w14:paraId="4ADC5EE9" w14:textId="4AF441F5" w:rsidR="0098400B" w:rsidRDefault="0098400B" w:rsidP="0098400B">
            <w:pPr>
              <w:ind w:right="3088"/>
              <w:rPr>
                <w:rFonts w:ascii="Calibri" w:hAnsi="Calibri" w:cs="Calibri"/>
                <w:color w:val="000000"/>
                <w:sz w:val="16"/>
                <w:szCs w:val="16"/>
              </w:rPr>
            </w:pPr>
            <w:r>
              <w:rPr>
                <w:rFonts w:ascii="Calibri" w:hAnsi="Calibri" w:cs="Calibri"/>
                <w:color w:val="000000"/>
                <w:sz w:val="16"/>
                <w:szCs w:val="16"/>
              </w:rPr>
              <w:t>2024</w:t>
            </w:r>
          </w:p>
        </w:tc>
        <w:tc>
          <w:tcPr>
            <w:tcW w:w="1134" w:type="dxa"/>
            <w:tcBorders>
              <w:top w:val="nil"/>
              <w:left w:val="nil"/>
              <w:bottom w:val="nil"/>
              <w:right w:val="nil"/>
            </w:tcBorders>
            <w:shd w:val="clear" w:color="auto" w:fill="auto"/>
            <w:vAlign w:val="center"/>
            <w:hideMark/>
          </w:tcPr>
          <w:p w14:paraId="0331EDC9" w14:textId="77777777" w:rsidR="0098400B" w:rsidRDefault="0098400B" w:rsidP="0098400B">
            <w:pPr>
              <w:jc w:val="right"/>
              <w:rPr>
                <w:rFonts w:ascii="Calibri" w:hAnsi="Calibri" w:cs="Calibri"/>
                <w:color w:val="000000"/>
                <w:sz w:val="16"/>
                <w:szCs w:val="16"/>
              </w:rPr>
            </w:pPr>
            <w:r>
              <w:rPr>
                <w:rFonts w:ascii="Calibri" w:hAnsi="Calibri" w:cs="Calibri"/>
                <w:color w:val="000000"/>
                <w:sz w:val="16"/>
                <w:szCs w:val="16"/>
              </w:rPr>
              <w:t>3.540.565</w:t>
            </w:r>
          </w:p>
        </w:tc>
        <w:tc>
          <w:tcPr>
            <w:tcW w:w="1134" w:type="dxa"/>
            <w:tcBorders>
              <w:top w:val="nil"/>
              <w:left w:val="nil"/>
              <w:bottom w:val="nil"/>
              <w:right w:val="nil"/>
            </w:tcBorders>
            <w:shd w:val="clear" w:color="auto" w:fill="auto"/>
            <w:vAlign w:val="center"/>
            <w:hideMark/>
          </w:tcPr>
          <w:p w14:paraId="2D7BE308" w14:textId="77777777" w:rsidR="0098400B" w:rsidRDefault="0098400B" w:rsidP="0098400B">
            <w:pPr>
              <w:ind w:left="123"/>
              <w:jc w:val="right"/>
              <w:rPr>
                <w:rFonts w:ascii="Calibri" w:hAnsi="Calibri" w:cs="Calibri"/>
                <w:color w:val="000000"/>
                <w:sz w:val="16"/>
                <w:szCs w:val="16"/>
              </w:rPr>
            </w:pPr>
            <w:r>
              <w:rPr>
                <w:rFonts w:ascii="Calibri" w:hAnsi="Calibri" w:cs="Calibri"/>
                <w:color w:val="000000"/>
                <w:sz w:val="16"/>
                <w:szCs w:val="16"/>
              </w:rPr>
              <w:t>4.720.753</w:t>
            </w:r>
          </w:p>
        </w:tc>
      </w:tr>
      <w:tr w:rsidR="0098400B" w14:paraId="48B8E366" w14:textId="77777777" w:rsidTr="00AF6902">
        <w:trPr>
          <w:trHeight w:hRule="exact" w:val="227"/>
        </w:trPr>
        <w:tc>
          <w:tcPr>
            <w:tcW w:w="7641" w:type="dxa"/>
            <w:tcBorders>
              <w:top w:val="nil"/>
              <w:left w:val="nil"/>
              <w:bottom w:val="nil"/>
              <w:right w:val="nil"/>
            </w:tcBorders>
            <w:shd w:val="clear" w:color="auto" w:fill="auto"/>
            <w:noWrap/>
            <w:vAlign w:val="center"/>
            <w:hideMark/>
          </w:tcPr>
          <w:p w14:paraId="0AA98FF3" w14:textId="77777777" w:rsidR="0098400B" w:rsidRDefault="0098400B" w:rsidP="0098400B">
            <w:pPr>
              <w:ind w:right="3088"/>
              <w:rPr>
                <w:rFonts w:ascii="Calibri" w:hAnsi="Calibri" w:cs="Calibri"/>
                <w:color w:val="000000"/>
                <w:sz w:val="16"/>
                <w:szCs w:val="16"/>
              </w:rPr>
            </w:pPr>
            <w:r>
              <w:rPr>
                <w:rFonts w:ascii="Calibri" w:hAnsi="Calibri" w:cs="Calibri"/>
                <w:color w:val="000000"/>
                <w:sz w:val="16"/>
                <w:szCs w:val="16"/>
              </w:rPr>
              <w:t>2025</w:t>
            </w:r>
          </w:p>
        </w:tc>
        <w:tc>
          <w:tcPr>
            <w:tcW w:w="1134" w:type="dxa"/>
            <w:tcBorders>
              <w:top w:val="nil"/>
              <w:left w:val="nil"/>
              <w:bottom w:val="nil"/>
              <w:right w:val="nil"/>
            </w:tcBorders>
            <w:shd w:val="clear" w:color="auto" w:fill="auto"/>
            <w:vAlign w:val="center"/>
            <w:hideMark/>
          </w:tcPr>
          <w:p w14:paraId="26041E78" w14:textId="77777777" w:rsidR="0098400B" w:rsidRDefault="0098400B" w:rsidP="0098400B">
            <w:pPr>
              <w:jc w:val="right"/>
              <w:rPr>
                <w:rFonts w:ascii="Calibri" w:hAnsi="Calibri" w:cs="Calibri"/>
                <w:color w:val="000000"/>
                <w:sz w:val="16"/>
                <w:szCs w:val="16"/>
              </w:rPr>
            </w:pPr>
            <w:r>
              <w:rPr>
                <w:rFonts w:ascii="Calibri" w:hAnsi="Calibri" w:cs="Calibri"/>
                <w:color w:val="000000"/>
                <w:sz w:val="16"/>
                <w:szCs w:val="16"/>
              </w:rPr>
              <w:t>4.720.753</w:t>
            </w:r>
          </w:p>
        </w:tc>
        <w:tc>
          <w:tcPr>
            <w:tcW w:w="1134" w:type="dxa"/>
            <w:tcBorders>
              <w:top w:val="nil"/>
              <w:left w:val="nil"/>
              <w:bottom w:val="nil"/>
              <w:right w:val="nil"/>
            </w:tcBorders>
            <w:shd w:val="clear" w:color="auto" w:fill="auto"/>
            <w:vAlign w:val="center"/>
            <w:hideMark/>
          </w:tcPr>
          <w:p w14:paraId="0711961F" w14:textId="77777777" w:rsidR="0098400B" w:rsidRDefault="0098400B" w:rsidP="0098400B">
            <w:pPr>
              <w:ind w:left="123"/>
              <w:jc w:val="right"/>
              <w:rPr>
                <w:rFonts w:ascii="Calibri" w:hAnsi="Calibri" w:cs="Calibri"/>
                <w:color w:val="000000"/>
                <w:sz w:val="16"/>
                <w:szCs w:val="16"/>
              </w:rPr>
            </w:pPr>
            <w:r>
              <w:rPr>
                <w:rFonts w:ascii="Calibri" w:hAnsi="Calibri" w:cs="Calibri"/>
                <w:color w:val="000000"/>
                <w:sz w:val="16"/>
                <w:szCs w:val="16"/>
              </w:rPr>
              <w:t>4.720.753</w:t>
            </w:r>
          </w:p>
        </w:tc>
      </w:tr>
      <w:tr w:rsidR="0098400B" w14:paraId="2BF5971A" w14:textId="77777777" w:rsidTr="00AF6902">
        <w:trPr>
          <w:trHeight w:hRule="exact" w:val="227"/>
        </w:trPr>
        <w:tc>
          <w:tcPr>
            <w:tcW w:w="7641" w:type="dxa"/>
            <w:tcBorders>
              <w:top w:val="nil"/>
              <w:left w:val="nil"/>
              <w:bottom w:val="nil"/>
              <w:right w:val="nil"/>
            </w:tcBorders>
            <w:shd w:val="clear" w:color="auto" w:fill="auto"/>
            <w:noWrap/>
            <w:vAlign w:val="center"/>
            <w:hideMark/>
          </w:tcPr>
          <w:p w14:paraId="77F8AC79" w14:textId="77777777" w:rsidR="0098400B" w:rsidRDefault="0098400B" w:rsidP="0098400B">
            <w:pPr>
              <w:ind w:right="3088"/>
              <w:rPr>
                <w:rFonts w:ascii="Calibri" w:hAnsi="Calibri" w:cs="Calibri"/>
                <w:color w:val="000000"/>
                <w:sz w:val="16"/>
                <w:szCs w:val="16"/>
              </w:rPr>
            </w:pPr>
            <w:r>
              <w:rPr>
                <w:rFonts w:ascii="Calibri" w:hAnsi="Calibri" w:cs="Calibri"/>
                <w:color w:val="000000"/>
                <w:sz w:val="16"/>
                <w:szCs w:val="16"/>
              </w:rPr>
              <w:t>2026</w:t>
            </w:r>
          </w:p>
        </w:tc>
        <w:tc>
          <w:tcPr>
            <w:tcW w:w="1134" w:type="dxa"/>
            <w:tcBorders>
              <w:top w:val="nil"/>
              <w:left w:val="nil"/>
              <w:bottom w:val="nil"/>
              <w:right w:val="nil"/>
            </w:tcBorders>
            <w:shd w:val="clear" w:color="auto" w:fill="auto"/>
            <w:vAlign w:val="center"/>
            <w:hideMark/>
          </w:tcPr>
          <w:p w14:paraId="19FD97CB" w14:textId="77777777" w:rsidR="0098400B" w:rsidRDefault="0098400B" w:rsidP="0098400B">
            <w:pPr>
              <w:jc w:val="right"/>
              <w:rPr>
                <w:rFonts w:ascii="Calibri" w:hAnsi="Calibri" w:cs="Calibri"/>
                <w:color w:val="000000"/>
                <w:sz w:val="16"/>
                <w:szCs w:val="16"/>
              </w:rPr>
            </w:pPr>
            <w:r>
              <w:rPr>
                <w:rFonts w:ascii="Calibri" w:hAnsi="Calibri" w:cs="Calibri"/>
                <w:color w:val="000000"/>
                <w:sz w:val="16"/>
                <w:szCs w:val="16"/>
              </w:rPr>
              <w:t>3.540.564</w:t>
            </w:r>
          </w:p>
        </w:tc>
        <w:tc>
          <w:tcPr>
            <w:tcW w:w="1134" w:type="dxa"/>
            <w:tcBorders>
              <w:top w:val="nil"/>
              <w:left w:val="nil"/>
              <w:bottom w:val="nil"/>
              <w:right w:val="nil"/>
            </w:tcBorders>
            <w:shd w:val="clear" w:color="auto" w:fill="auto"/>
            <w:vAlign w:val="center"/>
            <w:hideMark/>
          </w:tcPr>
          <w:p w14:paraId="30B507B6" w14:textId="77777777" w:rsidR="0098400B" w:rsidRDefault="0098400B" w:rsidP="0098400B">
            <w:pPr>
              <w:ind w:left="123"/>
              <w:jc w:val="right"/>
              <w:rPr>
                <w:rFonts w:ascii="Calibri" w:hAnsi="Calibri" w:cs="Calibri"/>
                <w:color w:val="000000"/>
                <w:sz w:val="16"/>
                <w:szCs w:val="16"/>
              </w:rPr>
            </w:pPr>
            <w:r>
              <w:rPr>
                <w:rFonts w:ascii="Calibri" w:hAnsi="Calibri" w:cs="Calibri"/>
                <w:color w:val="000000"/>
                <w:sz w:val="16"/>
                <w:szCs w:val="16"/>
              </w:rPr>
              <w:t>3.540.564</w:t>
            </w:r>
          </w:p>
        </w:tc>
      </w:tr>
      <w:tr w:rsidR="0098400B" w14:paraId="504E82EF" w14:textId="77777777" w:rsidTr="00AF6902">
        <w:trPr>
          <w:trHeight w:hRule="exact" w:val="227"/>
        </w:trPr>
        <w:tc>
          <w:tcPr>
            <w:tcW w:w="7641" w:type="dxa"/>
            <w:tcBorders>
              <w:top w:val="single" w:sz="8" w:space="0" w:color="auto"/>
              <w:left w:val="nil"/>
              <w:bottom w:val="single" w:sz="8" w:space="0" w:color="auto"/>
              <w:right w:val="nil"/>
            </w:tcBorders>
            <w:shd w:val="clear" w:color="auto" w:fill="DDEBF7"/>
            <w:noWrap/>
            <w:vAlign w:val="center"/>
            <w:hideMark/>
          </w:tcPr>
          <w:p w14:paraId="07B28CF3" w14:textId="6754DD27" w:rsidR="0098400B" w:rsidRDefault="0098400B" w:rsidP="0098400B">
            <w:pPr>
              <w:rPr>
                <w:rFonts w:ascii="Calibri" w:hAnsi="Calibri" w:cs="Calibri"/>
                <w:b/>
                <w:bCs/>
                <w:color w:val="000000"/>
                <w:sz w:val="16"/>
                <w:szCs w:val="16"/>
              </w:rPr>
            </w:pPr>
            <w:r>
              <w:rPr>
                <w:rFonts w:ascii="Calibri" w:hAnsi="Calibri" w:cs="Calibri"/>
                <w:b/>
                <w:bCs/>
                <w:color w:val="000000"/>
                <w:sz w:val="16"/>
                <w:szCs w:val="16"/>
              </w:rPr>
              <w:t>Valores não Descontados</w:t>
            </w:r>
          </w:p>
        </w:tc>
        <w:tc>
          <w:tcPr>
            <w:tcW w:w="1134" w:type="dxa"/>
            <w:tcBorders>
              <w:top w:val="single" w:sz="8" w:space="0" w:color="auto"/>
              <w:left w:val="nil"/>
              <w:bottom w:val="single" w:sz="8" w:space="0" w:color="auto"/>
              <w:right w:val="nil"/>
            </w:tcBorders>
            <w:shd w:val="clear" w:color="auto" w:fill="DDEBF7"/>
            <w:noWrap/>
            <w:vAlign w:val="center"/>
            <w:hideMark/>
          </w:tcPr>
          <w:p w14:paraId="67D60B36" w14:textId="09C4BAAD" w:rsidR="0098400B" w:rsidRDefault="0098400B" w:rsidP="0098400B">
            <w:pPr>
              <w:jc w:val="right"/>
              <w:rPr>
                <w:rFonts w:ascii="Calibri" w:hAnsi="Calibri" w:cs="Calibri"/>
                <w:b/>
                <w:bCs/>
                <w:color w:val="000000"/>
                <w:sz w:val="16"/>
                <w:szCs w:val="16"/>
              </w:rPr>
            </w:pPr>
            <w:r w:rsidRPr="5896060F">
              <w:rPr>
                <w:rFonts w:ascii="Calibri" w:hAnsi="Calibri" w:cs="Calibri"/>
                <w:b/>
                <w:color w:val="000000" w:themeColor="text1"/>
                <w:sz w:val="16"/>
                <w:szCs w:val="16"/>
              </w:rPr>
              <w:t>11.801.</w:t>
            </w:r>
            <w:r w:rsidRPr="5896060F">
              <w:rPr>
                <w:rFonts w:ascii="Calibri" w:hAnsi="Calibri" w:cs="Calibri"/>
                <w:b/>
                <w:bCs/>
                <w:color w:val="000000" w:themeColor="text1"/>
                <w:sz w:val="16"/>
                <w:szCs w:val="16"/>
              </w:rPr>
              <w:t>883</w:t>
            </w:r>
          </w:p>
        </w:tc>
        <w:tc>
          <w:tcPr>
            <w:tcW w:w="1134" w:type="dxa"/>
            <w:tcBorders>
              <w:top w:val="single" w:sz="8" w:space="0" w:color="auto"/>
              <w:left w:val="nil"/>
              <w:bottom w:val="single" w:sz="8" w:space="0" w:color="auto"/>
              <w:right w:val="nil"/>
            </w:tcBorders>
            <w:shd w:val="clear" w:color="auto" w:fill="DDEBF7"/>
            <w:noWrap/>
            <w:vAlign w:val="center"/>
            <w:hideMark/>
          </w:tcPr>
          <w:p w14:paraId="1978F4A8" w14:textId="27BA80AC" w:rsidR="0098400B" w:rsidRDefault="0098400B" w:rsidP="0098400B">
            <w:pPr>
              <w:ind w:left="123"/>
              <w:jc w:val="right"/>
              <w:rPr>
                <w:rFonts w:ascii="Calibri" w:hAnsi="Calibri" w:cs="Calibri"/>
                <w:b/>
                <w:bCs/>
                <w:color w:val="000000"/>
                <w:sz w:val="16"/>
                <w:szCs w:val="16"/>
              </w:rPr>
            </w:pPr>
            <w:r>
              <w:rPr>
                <w:rFonts w:ascii="Calibri" w:hAnsi="Calibri" w:cs="Calibri"/>
                <w:b/>
                <w:bCs/>
                <w:color w:val="000000"/>
                <w:sz w:val="16"/>
                <w:szCs w:val="16"/>
              </w:rPr>
              <w:t>12.982.07</w:t>
            </w:r>
            <w:r w:rsidR="00875152">
              <w:rPr>
                <w:rFonts w:ascii="Calibri" w:hAnsi="Calibri" w:cs="Calibri"/>
                <w:b/>
                <w:bCs/>
                <w:color w:val="000000"/>
                <w:sz w:val="16"/>
                <w:szCs w:val="16"/>
              </w:rPr>
              <w:t>1</w:t>
            </w:r>
          </w:p>
        </w:tc>
      </w:tr>
      <w:tr w:rsidR="0098400B" w14:paraId="3DCD2015" w14:textId="77777777" w:rsidTr="00AF6902">
        <w:trPr>
          <w:trHeight w:hRule="exact" w:val="227"/>
        </w:trPr>
        <w:tc>
          <w:tcPr>
            <w:tcW w:w="7641" w:type="dxa"/>
            <w:tcBorders>
              <w:top w:val="nil"/>
              <w:left w:val="nil"/>
              <w:bottom w:val="nil"/>
              <w:right w:val="nil"/>
            </w:tcBorders>
            <w:shd w:val="clear" w:color="auto" w:fill="auto"/>
            <w:noWrap/>
            <w:vAlign w:val="center"/>
            <w:hideMark/>
          </w:tcPr>
          <w:p w14:paraId="6F01E39D" w14:textId="64BD79FF" w:rsidR="0098400B" w:rsidRDefault="0098400B" w:rsidP="0098400B">
            <w:pPr>
              <w:rPr>
                <w:rFonts w:ascii="Calibri" w:hAnsi="Calibri" w:cs="Calibri"/>
                <w:color w:val="000000"/>
                <w:sz w:val="16"/>
                <w:szCs w:val="16"/>
              </w:rPr>
            </w:pPr>
            <w:r>
              <w:rPr>
                <w:rFonts w:ascii="Calibri" w:hAnsi="Calibri" w:cs="Calibri"/>
                <w:color w:val="000000"/>
                <w:sz w:val="16"/>
                <w:szCs w:val="16"/>
              </w:rPr>
              <w:t>(-) Juros Embutidos</w:t>
            </w:r>
          </w:p>
        </w:tc>
        <w:tc>
          <w:tcPr>
            <w:tcW w:w="1134" w:type="dxa"/>
            <w:tcBorders>
              <w:top w:val="nil"/>
              <w:left w:val="nil"/>
              <w:bottom w:val="nil"/>
              <w:right w:val="nil"/>
            </w:tcBorders>
            <w:shd w:val="clear" w:color="auto" w:fill="auto"/>
            <w:noWrap/>
            <w:vAlign w:val="center"/>
            <w:hideMark/>
          </w:tcPr>
          <w:p w14:paraId="3685E13E" w14:textId="4D2E7B13" w:rsidR="0098400B" w:rsidRDefault="0098400B" w:rsidP="0098400B">
            <w:pPr>
              <w:jc w:val="right"/>
              <w:rPr>
                <w:rFonts w:ascii="Calibri" w:hAnsi="Calibri" w:cs="Calibri"/>
                <w:color w:val="000000"/>
                <w:sz w:val="16"/>
                <w:szCs w:val="16"/>
              </w:rPr>
            </w:pPr>
            <w:r w:rsidRPr="4EB85C04">
              <w:rPr>
                <w:rFonts w:ascii="Calibri" w:hAnsi="Calibri" w:cs="Calibri"/>
                <w:color w:val="000000" w:themeColor="text1"/>
                <w:sz w:val="16"/>
                <w:szCs w:val="16"/>
              </w:rPr>
              <w:t>(</w:t>
            </w:r>
            <w:r w:rsidRPr="6001A1DA">
              <w:rPr>
                <w:rFonts w:ascii="Calibri" w:hAnsi="Calibri" w:cs="Calibri"/>
                <w:color w:val="000000" w:themeColor="text1"/>
                <w:sz w:val="16"/>
                <w:szCs w:val="16"/>
              </w:rPr>
              <w:t>1.436.37</w:t>
            </w:r>
            <w:r w:rsidR="008C5652">
              <w:rPr>
                <w:rFonts w:ascii="Calibri" w:hAnsi="Calibri" w:cs="Calibri"/>
                <w:color w:val="000000" w:themeColor="text1"/>
                <w:sz w:val="16"/>
                <w:szCs w:val="16"/>
              </w:rPr>
              <w:t>2</w:t>
            </w:r>
            <w:r w:rsidRPr="4EB85C04">
              <w:rPr>
                <w:rFonts w:ascii="Calibri" w:hAnsi="Calibri" w:cs="Calibri"/>
                <w:color w:val="000000" w:themeColor="text1"/>
                <w:sz w:val="16"/>
                <w:szCs w:val="16"/>
              </w:rPr>
              <w:t>)</w:t>
            </w:r>
          </w:p>
        </w:tc>
        <w:tc>
          <w:tcPr>
            <w:tcW w:w="1134" w:type="dxa"/>
            <w:tcBorders>
              <w:top w:val="nil"/>
              <w:left w:val="nil"/>
              <w:bottom w:val="nil"/>
              <w:right w:val="nil"/>
            </w:tcBorders>
            <w:shd w:val="clear" w:color="auto" w:fill="auto"/>
            <w:noWrap/>
            <w:vAlign w:val="center"/>
            <w:hideMark/>
          </w:tcPr>
          <w:p w14:paraId="529A1AD6" w14:textId="12B0C5C8" w:rsidR="008C5652" w:rsidRDefault="0098400B" w:rsidP="0098400B">
            <w:pPr>
              <w:ind w:left="123"/>
              <w:jc w:val="right"/>
              <w:rPr>
                <w:rFonts w:ascii="Calibri" w:hAnsi="Calibri" w:cs="Calibri"/>
                <w:color w:val="000000" w:themeColor="text1"/>
                <w:sz w:val="16"/>
                <w:szCs w:val="16"/>
              </w:rPr>
            </w:pPr>
            <w:r w:rsidRPr="4EB85C04">
              <w:rPr>
                <w:rFonts w:ascii="Calibri" w:hAnsi="Calibri" w:cs="Calibri"/>
                <w:color w:val="000000" w:themeColor="text1"/>
                <w:sz w:val="16"/>
                <w:szCs w:val="16"/>
              </w:rPr>
              <w:t>(1.844.447)</w:t>
            </w:r>
          </w:p>
          <w:p w14:paraId="491ECDE2" w14:textId="2A3872D5" w:rsidR="0098400B" w:rsidRDefault="0098400B" w:rsidP="0098400B">
            <w:pPr>
              <w:ind w:left="123"/>
              <w:jc w:val="right"/>
              <w:rPr>
                <w:rFonts w:ascii="Calibri" w:hAnsi="Calibri" w:cs="Calibri"/>
                <w:color w:val="000000"/>
                <w:sz w:val="16"/>
                <w:szCs w:val="16"/>
              </w:rPr>
            </w:pPr>
            <w:r w:rsidRPr="4EB85C04">
              <w:rPr>
                <w:rFonts w:ascii="Calibri" w:hAnsi="Calibri" w:cs="Calibri"/>
                <w:color w:val="000000" w:themeColor="text1"/>
                <w:sz w:val="16"/>
                <w:szCs w:val="16"/>
              </w:rPr>
              <w:t>)</w:t>
            </w:r>
          </w:p>
        </w:tc>
      </w:tr>
      <w:tr w:rsidR="0098400B" w14:paraId="7ECCFBED" w14:textId="77777777" w:rsidTr="00AF6902">
        <w:trPr>
          <w:trHeight w:hRule="exact" w:val="227"/>
        </w:trPr>
        <w:tc>
          <w:tcPr>
            <w:tcW w:w="7641" w:type="dxa"/>
            <w:tcBorders>
              <w:top w:val="single" w:sz="8" w:space="0" w:color="auto"/>
              <w:left w:val="nil"/>
              <w:bottom w:val="single" w:sz="8" w:space="0" w:color="auto"/>
              <w:right w:val="nil"/>
            </w:tcBorders>
            <w:shd w:val="clear" w:color="auto" w:fill="DDEBF7"/>
            <w:noWrap/>
            <w:vAlign w:val="center"/>
            <w:hideMark/>
          </w:tcPr>
          <w:p w14:paraId="01549C53" w14:textId="582CB10E" w:rsidR="0098400B" w:rsidRDefault="0098400B" w:rsidP="0098400B">
            <w:pPr>
              <w:rPr>
                <w:rFonts w:ascii="Calibri" w:hAnsi="Calibri" w:cs="Calibri"/>
                <w:b/>
                <w:bCs/>
                <w:color w:val="000000"/>
                <w:sz w:val="16"/>
                <w:szCs w:val="16"/>
              </w:rPr>
            </w:pPr>
            <w:r>
              <w:rPr>
                <w:rFonts w:ascii="Calibri" w:hAnsi="Calibri" w:cs="Calibri"/>
                <w:b/>
                <w:bCs/>
                <w:color w:val="000000"/>
                <w:sz w:val="16"/>
                <w:szCs w:val="16"/>
              </w:rPr>
              <w:t>Total Passivo de Arrendamento</w:t>
            </w:r>
          </w:p>
        </w:tc>
        <w:tc>
          <w:tcPr>
            <w:tcW w:w="1134" w:type="dxa"/>
            <w:tcBorders>
              <w:top w:val="single" w:sz="8" w:space="0" w:color="auto"/>
              <w:left w:val="nil"/>
              <w:bottom w:val="single" w:sz="8" w:space="0" w:color="auto"/>
              <w:right w:val="nil"/>
            </w:tcBorders>
            <w:shd w:val="clear" w:color="auto" w:fill="DDEBF7"/>
            <w:noWrap/>
            <w:vAlign w:val="center"/>
            <w:hideMark/>
          </w:tcPr>
          <w:p w14:paraId="25FDD5B3" w14:textId="77777777" w:rsidR="0098400B" w:rsidRDefault="0098400B" w:rsidP="0098400B">
            <w:pPr>
              <w:jc w:val="right"/>
              <w:rPr>
                <w:rFonts w:ascii="Calibri" w:hAnsi="Calibri" w:cs="Calibri"/>
                <w:b/>
                <w:bCs/>
                <w:color w:val="000000"/>
                <w:sz w:val="16"/>
                <w:szCs w:val="16"/>
              </w:rPr>
            </w:pPr>
            <w:r>
              <w:rPr>
                <w:rFonts w:ascii="Calibri" w:hAnsi="Calibri" w:cs="Calibri"/>
                <w:b/>
                <w:bCs/>
                <w:color w:val="000000"/>
                <w:sz w:val="16"/>
                <w:szCs w:val="16"/>
              </w:rPr>
              <w:t>10.365.510</w:t>
            </w:r>
          </w:p>
        </w:tc>
        <w:tc>
          <w:tcPr>
            <w:tcW w:w="1134" w:type="dxa"/>
            <w:tcBorders>
              <w:top w:val="single" w:sz="8" w:space="0" w:color="auto"/>
              <w:left w:val="nil"/>
              <w:bottom w:val="single" w:sz="8" w:space="0" w:color="auto"/>
              <w:right w:val="nil"/>
            </w:tcBorders>
            <w:shd w:val="clear" w:color="auto" w:fill="DDEBF7"/>
            <w:noWrap/>
            <w:vAlign w:val="center"/>
            <w:hideMark/>
          </w:tcPr>
          <w:p w14:paraId="15FBFAB0" w14:textId="77777777" w:rsidR="0098400B" w:rsidRDefault="0098400B" w:rsidP="0098400B">
            <w:pPr>
              <w:ind w:left="123"/>
              <w:jc w:val="right"/>
              <w:rPr>
                <w:rFonts w:ascii="Calibri" w:hAnsi="Calibri" w:cs="Calibri"/>
                <w:b/>
                <w:bCs/>
                <w:color w:val="000000"/>
                <w:sz w:val="16"/>
                <w:szCs w:val="16"/>
              </w:rPr>
            </w:pPr>
            <w:r>
              <w:rPr>
                <w:rFonts w:ascii="Calibri" w:hAnsi="Calibri" w:cs="Calibri"/>
                <w:b/>
                <w:bCs/>
                <w:color w:val="000000"/>
                <w:sz w:val="16"/>
                <w:szCs w:val="16"/>
              </w:rPr>
              <w:t>11.137.624</w:t>
            </w:r>
          </w:p>
        </w:tc>
      </w:tr>
      <w:tr w:rsidR="0098400B" w14:paraId="555FAD75" w14:textId="77777777" w:rsidTr="00AF6902">
        <w:trPr>
          <w:trHeight w:hRule="exact" w:val="227"/>
        </w:trPr>
        <w:tc>
          <w:tcPr>
            <w:tcW w:w="7641" w:type="dxa"/>
            <w:tcBorders>
              <w:top w:val="nil"/>
              <w:left w:val="nil"/>
              <w:bottom w:val="nil"/>
              <w:right w:val="nil"/>
            </w:tcBorders>
            <w:shd w:val="clear" w:color="auto" w:fill="auto"/>
            <w:noWrap/>
            <w:vAlign w:val="center"/>
            <w:hideMark/>
          </w:tcPr>
          <w:p w14:paraId="18E9AE52" w14:textId="77777777" w:rsidR="0098400B" w:rsidRDefault="0098400B" w:rsidP="0098400B">
            <w:pPr>
              <w:rPr>
                <w:rFonts w:ascii="Calibri" w:hAnsi="Calibri" w:cs="Calibri"/>
                <w:color w:val="000000"/>
                <w:sz w:val="16"/>
                <w:szCs w:val="16"/>
              </w:rPr>
            </w:pPr>
            <w:r>
              <w:rPr>
                <w:rFonts w:ascii="Calibri" w:hAnsi="Calibri" w:cs="Calibri"/>
                <w:color w:val="000000"/>
                <w:sz w:val="16"/>
                <w:szCs w:val="16"/>
              </w:rPr>
              <w:t>Total Passivo Circulante</w:t>
            </w:r>
          </w:p>
        </w:tc>
        <w:tc>
          <w:tcPr>
            <w:tcW w:w="1134" w:type="dxa"/>
            <w:tcBorders>
              <w:top w:val="nil"/>
              <w:left w:val="nil"/>
              <w:bottom w:val="nil"/>
              <w:right w:val="nil"/>
            </w:tcBorders>
            <w:shd w:val="clear" w:color="auto" w:fill="auto"/>
            <w:noWrap/>
            <w:vAlign w:val="center"/>
            <w:hideMark/>
          </w:tcPr>
          <w:p w14:paraId="57D13B5B" w14:textId="77777777" w:rsidR="0098400B" w:rsidRDefault="0098400B" w:rsidP="0098400B">
            <w:pPr>
              <w:jc w:val="right"/>
              <w:rPr>
                <w:rFonts w:ascii="Calibri" w:hAnsi="Calibri" w:cs="Calibri"/>
                <w:color w:val="000000"/>
                <w:sz w:val="16"/>
                <w:szCs w:val="16"/>
              </w:rPr>
            </w:pPr>
            <w:r>
              <w:rPr>
                <w:rFonts w:ascii="Calibri" w:hAnsi="Calibri" w:cs="Calibri"/>
                <w:color w:val="000000"/>
                <w:sz w:val="16"/>
                <w:szCs w:val="16"/>
              </w:rPr>
              <w:t>4.146.204</w:t>
            </w:r>
          </w:p>
        </w:tc>
        <w:tc>
          <w:tcPr>
            <w:tcW w:w="1134" w:type="dxa"/>
            <w:tcBorders>
              <w:top w:val="nil"/>
              <w:left w:val="nil"/>
              <w:bottom w:val="nil"/>
              <w:right w:val="nil"/>
            </w:tcBorders>
            <w:shd w:val="clear" w:color="auto" w:fill="auto"/>
            <w:noWrap/>
            <w:vAlign w:val="center"/>
            <w:hideMark/>
          </w:tcPr>
          <w:p w14:paraId="10DEFB69" w14:textId="77777777" w:rsidR="0098400B" w:rsidRDefault="0098400B" w:rsidP="0098400B">
            <w:pPr>
              <w:ind w:left="123"/>
              <w:jc w:val="right"/>
              <w:rPr>
                <w:rFonts w:ascii="Calibri" w:hAnsi="Calibri" w:cs="Calibri"/>
                <w:color w:val="000000"/>
                <w:sz w:val="16"/>
                <w:szCs w:val="16"/>
              </w:rPr>
            </w:pPr>
            <w:r>
              <w:rPr>
                <w:rFonts w:ascii="Calibri" w:hAnsi="Calibri" w:cs="Calibri"/>
                <w:color w:val="000000"/>
                <w:sz w:val="16"/>
                <w:szCs w:val="16"/>
              </w:rPr>
              <w:t>4.050.045</w:t>
            </w:r>
          </w:p>
        </w:tc>
      </w:tr>
      <w:tr w:rsidR="0098400B" w14:paraId="77FD5A91" w14:textId="77777777" w:rsidTr="00AF6902">
        <w:trPr>
          <w:trHeight w:hRule="exact" w:val="227"/>
        </w:trPr>
        <w:tc>
          <w:tcPr>
            <w:tcW w:w="7641" w:type="dxa"/>
            <w:tcBorders>
              <w:top w:val="nil"/>
              <w:left w:val="nil"/>
              <w:bottom w:val="single" w:sz="8" w:space="0" w:color="auto"/>
              <w:right w:val="nil"/>
            </w:tcBorders>
            <w:shd w:val="clear" w:color="auto" w:fill="auto"/>
            <w:noWrap/>
            <w:vAlign w:val="center"/>
            <w:hideMark/>
          </w:tcPr>
          <w:p w14:paraId="528E31D4" w14:textId="77777777" w:rsidR="0098400B" w:rsidRDefault="0098400B" w:rsidP="0098400B">
            <w:pPr>
              <w:rPr>
                <w:rFonts w:ascii="Calibri" w:hAnsi="Calibri" w:cs="Calibri"/>
                <w:color w:val="000000"/>
                <w:sz w:val="16"/>
                <w:szCs w:val="16"/>
              </w:rPr>
            </w:pPr>
            <w:r>
              <w:rPr>
                <w:rFonts w:ascii="Calibri" w:hAnsi="Calibri" w:cs="Calibri"/>
                <w:color w:val="000000"/>
                <w:sz w:val="16"/>
                <w:szCs w:val="16"/>
              </w:rPr>
              <w:t xml:space="preserve">Total Passivo Não Circulante </w:t>
            </w:r>
          </w:p>
        </w:tc>
        <w:tc>
          <w:tcPr>
            <w:tcW w:w="1134" w:type="dxa"/>
            <w:tcBorders>
              <w:top w:val="nil"/>
              <w:left w:val="nil"/>
              <w:bottom w:val="single" w:sz="8" w:space="0" w:color="auto"/>
              <w:right w:val="nil"/>
            </w:tcBorders>
            <w:shd w:val="clear" w:color="auto" w:fill="auto"/>
            <w:noWrap/>
            <w:vAlign w:val="center"/>
            <w:hideMark/>
          </w:tcPr>
          <w:p w14:paraId="341A6111" w14:textId="77777777" w:rsidR="0098400B" w:rsidRDefault="0098400B" w:rsidP="0098400B">
            <w:pPr>
              <w:jc w:val="right"/>
              <w:rPr>
                <w:rFonts w:ascii="Calibri" w:hAnsi="Calibri" w:cs="Calibri"/>
                <w:color w:val="000000"/>
                <w:sz w:val="16"/>
                <w:szCs w:val="16"/>
              </w:rPr>
            </w:pPr>
            <w:r>
              <w:rPr>
                <w:rFonts w:ascii="Calibri" w:hAnsi="Calibri" w:cs="Calibri"/>
                <w:color w:val="000000"/>
                <w:sz w:val="16"/>
                <w:szCs w:val="16"/>
              </w:rPr>
              <w:t>6.219.306</w:t>
            </w:r>
          </w:p>
        </w:tc>
        <w:tc>
          <w:tcPr>
            <w:tcW w:w="1134" w:type="dxa"/>
            <w:tcBorders>
              <w:top w:val="nil"/>
              <w:left w:val="nil"/>
              <w:bottom w:val="single" w:sz="8" w:space="0" w:color="auto"/>
              <w:right w:val="nil"/>
            </w:tcBorders>
            <w:shd w:val="clear" w:color="auto" w:fill="auto"/>
            <w:noWrap/>
            <w:vAlign w:val="center"/>
            <w:hideMark/>
          </w:tcPr>
          <w:p w14:paraId="730A94DA" w14:textId="77777777" w:rsidR="0098400B" w:rsidRDefault="0098400B" w:rsidP="0098400B">
            <w:pPr>
              <w:ind w:left="123"/>
              <w:jc w:val="right"/>
              <w:rPr>
                <w:rFonts w:ascii="Calibri" w:hAnsi="Calibri" w:cs="Calibri"/>
                <w:color w:val="000000"/>
                <w:sz w:val="16"/>
                <w:szCs w:val="16"/>
              </w:rPr>
            </w:pPr>
            <w:r>
              <w:rPr>
                <w:rFonts w:ascii="Calibri" w:hAnsi="Calibri" w:cs="Calibri"/>
                <w:color w:val="000000"/>
                <w:sz w:val="16"/>
                <w:szCs w:val="16"/>
              </w:rPr>
              <w:t>7.087.579</w:t>
            </w:r>
          </w:p>
        </w:tc>
      </w:tr>
    </w:tbl>
    <w:p w14:paraId="4B83C35C" w14:textId="7CB30BB6" w:rsidR="00563539" w:rsidRPr="003570D9" w:rsidRDefault="00563539" w:rsidP="00E60574">
      <w:pPr>
        <w:spacing w:after="0"/>
        <w:jc w:val="both"/>
        <w:rPr>
          <w:rFonts w:cstheme="minorHAnsi"/>
          <w:sz w:val="20"/>
        </w:rPr>
      </w:pPr>
      <w:r w:rsidRPr="00D85639">
        <w:rPr>
          <w:rFonts w:ascii="Calibri" w:eastAsiaTheme="majorEastAsia" w:hAnsi="Calibri" w:cs="Calibri"/>
          <w:color w:val="FF0000"/>
          <w:sz w:val="24"/>
          <w:szCs w:val="36"/>
          <w:highlight w:val="yellow"/>
        </w:rPr>
        <w:fldChar w:fldCharType="begin"/>
      </w:r>
      <w:r w:rsidRPr="00D85639">
        <w:rPr>
          <w:color w:val="FF0000"/>
          <w:highlight w:val="yellow"/>
        </w:rPr>
        <w:instrText xml:space="preserve"> LINK </w:instrText>
      </w:r>
      <w:r w:rsidR="00A775F0">
        <w:rPr>
          <w:color w:val="FF0000"/>
          <w:highlight w:val="yellow"/>
        </w:rPr>
        <w:instrText xml:space="preserve">Excel.Sheet.12 "https://valeccontrucoes-my.sharepoint.com/personal/andreia_pimenta_infrasa_gov_br/Documents/Área de Trabalho/2º trimestre arquivos questor/ARRENDAMENTO/CÁLCULOS CONTRATOS DE ARRENDAMENTOS_Sede_.xlsx" "Quadro NE's Até jun.23 !L13C3:L20C8" </w:instrText>
      </w:r>
      <w:r w:rsidRPr="00D85639">
        <w:rPr>
          <w:color w:val="FF0000"/>
          <w:highlight w:val="yellow"/>
        </w:rPr>
        <w:instrText xml:space="preserve">\a \f 4 \h  \* MERGEFORMAT </w:instrText>
      </w:r>
      <w:r w:rsidRPr="00D85639">
        <w:rPr>
          <w:rFonts w:ascii="Calibri" w:eastAsiaTheme="majorEastAsia" w:hAnsi="Calibri" w:cs="Calibri"/>
          <w:color w:val="FF0000"/>
          <w:sz w:val="24"/>
          <w:szCs w:val="36"/>
          <w:highlight w:val="yellow"/>
        </w:rPr>
        <w:fldChar w:fldCharType="separate"/>
      </w:r>
      <w:bookmarkStart w:id="66" w:name="_1794728588"/>
      <w:bookmarkStart w:id="67" w:name="_1794413331"/>
      <w:bookmarkStart w:id="68" w:name="_1767528330"/>
      <w:bookmarkStart w:id="69" w:name="_1766576826"/>
      <w:bookmarkStart w:id="70" w:name="_1766576841"/>
      <w:bookmarkStart w:id="71" w:name="_1763291344"/>
      <w:bookmarkStart w:id="72" w:name="_1762947056"/>
      <w:bookmarkStart w:id="73" w:name="_1762670415"/>
      <w:bookmarkStart w:id="74" w:name="_1762670393"/>
      <w:bookmarkStart w:id="75" w:name="_1763189655"/>
      <w:bookmarkStart w:id="76" w:name="_1768659701"/>
      <w:bookmarkStart w:id="77" w:name="_1769440665"/>
      <w:bookmarkStart w:id="78" w:name="_1769586134"/>
      <w:bookmarkStart w:id="79" w:name="_1771658619"/>
      <w:bookmarkStart w:id="80" w:name="_1771658631"/>
      <w:bookmarkStart w:id="81" w:name="_1777714792"/>
      <w:bookmarkStart w:id="82" w:name="_1794664135"/>
      <w:bookmarkStart w:id="83" w:name="_1794917974"/>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5ACEE95D" w14:textId="70A94D9E" w:rsidR="00D0297F" w:rsidRPr="00E743E1" w:rsidRDefault="00563539" w:rsidP="00E743E1">
      <w:pPr>
        <w:pStyle w:val="Ttulo1"/>
      </w:pPr>
      <w:r w:rsidRPr="00D85639">
        <w:rPr>
          <w:rFonts w:cs="Calibri"/>
          <w:color w:val="FF0000"/>
          <w:highlight w:val="yellow"/>
        </w:rPr>
        <w:fldChar w:fldCharType="end"/>
      </w:r>
      <w:bookmarkStart w:id="84" w:name="_Toc184926691"/>
      <w:r w:rsidR="00D0297F" w:rsidRPr="00E743E1">
        <w:t>2</w:t>
      </w:r>
      <w:r w:rsidR="001F54A0">
        <w:t>2</w:t>
      </w:r>
      <w:r w:rsidR="00433B2B" w:rsidRPr="00E743E1">
        <w:t xml:space="preserve"> </w:t>
      </w:r>
      <w:r w:rsidR="004B6C8A" w:rsidRPr="000633A9">
        <w:t>–</w:t>
      </w:r>
      <w:r w:rsidR="00D0297F" w:rsidRPr="000633A9">
        <w:t xml:space="preserve"> Provisões para Contingências Judiciais</w:t>
      </w:r>
      <w:bookmarkEnd w:id="84"/>
    </w:p>
    <w:p w14:paraId="7DB5CF1B" w14:textId="77777777" w:rsidR="00545A77" w:rsidRPr="00E743E1" w:rsidRDefault="00545A77" w:rsidP="00545A77">
      <w:pPr>
        <w:pStyle w:val="Textoembloco"/>
        <w:spacing w:before="120" w:line="264" w:lineRule="auto"/>
        <w:ind w:left="0" w:right="0"/>
        <w:rPr>
          <w:rFonts w:asciiTheme="minorHAnsi" w:hAnsiTheme="minorHAnsi" w:cstheme="minorHAnsi"/>
          <w:shd w:val="clear" w:color="auto" w:fill="FFFFFF"/>
        </w:rPr>
      </w:pPr>
      <w:bookmarkStart w:id="85" w:name="_Hlk36047226"/>
      <w:r w:rsidRPr="00E743E1">
        <w:rPr>
          <w:rFonts w:asciiTheme="minorHAnsi" w:hAnsiTheme="minorHAnsi" w:cstheme="minorHAnsi"/>
          <w:shd w:val="clear" w:color="auto" w:fill="FFFFFF"/>
        </w:rPr>
        <w:t xml:space="preserve">A </w:t>
      </w:r>
      <w:r>
        <w:rPr>
          <w:rFonts w:asciiTheme="minorHAnsi" w:hAnsiTheme="minorHAnsi" w:cstheme="minorHAnsi"/>
          <w:shd w:val="clear" w:color="auto" w:fill="FFFFFF"/>
        </w:rPr>
        <w:t>C</w:t>
      </w:r>
      <w:r w:rsidRPr="00E743E1">
        <w:rPr>
          <w:rFonts w:asciiTheme="minorHAnsi" w:hAnsiTheme="minorHAnsi" w:cstheme="minorHAnsi"/>
          <w:shd w:val="clear" w:color="auto" w:fill="FFFFFF"/>
        </w:rPr>
        <w:t>ompanhia é responsável por ações trabalhistas e cíveis impetradas contra a Infra S.A. e as extintas empresas Rede Ferroviária Federal S</w:t>
      </w:r>
      <w:r>
        <w:rPr>
          <w:rFonts w:asciiTheme="minorHAnsi" w:hAnsiTheme="minorHAnsi" w:cstheme="minorHAnsi"/>
          <w:shd w:val="clear" w:color="auto" w:fill="FFFFFF"/>
        </w:rPr>
        <w:t>.</w:t>
      </w:r>
      <w:r w:rsidRPr="00E743E1">
        <w:rPr>
          <w:rFonts w:asciiTheme="minorHAnsi" w:hAnsiTheme="minorHAnsi" w:cstheme="minorHAnsi"/>
          <w:shd w:val="clear" w:color="auto" w:fill="FFFFFF"/>
        </w:rPr>
        <w:t>A</w:t>
      </w:r>
      <w:r>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 RFFSA, Empresa Brasileira de Planejamento de Transportes – GEIPOT e Empresa de Planejamento e Logística – EPL. </w:t>
      </w:r>
    </w:p>
    <w:p w14:paraId="42D73B6A" w14:textId="77777777" w:rsidR="00545A77" w:rsidRPr="00E743E1" w:rsidRDefault="00545A77" w:rsidP="00545A77">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560F2E0B" w14:textId="77777777" w:rsidR="00545A77" w:rsidRPr="00E743E1" w:rsidRDefault="00545A77" w:rsidP="00545A77">
      <w:pPr>
        <w:pStyle w:val="Textoembloco"/>
        <w:spacing w:before="120" w:line="264" w:lineRule="auto"/>
        <w:ind w:left="0" w:right="57"/>
        <w:rPr>
          <w:rFonts w:asciiTheme="minorHAnsi" w:hAnsiTheme="minorHAnsi" w:cstheme="minorHAnsi"/>
          <w:shd w:val="clear" w:color="auto" w:fill="FFFFFF"/>
        </w:rPr>
      </w:pPr>
      <w:r w:rsidRPr="00E743E1">
        <w:rPr>
          <w:rFonts w:asciiTheme="minorHAnsi" w:hAnsiTheme="minorHAnsi" w:cstheme="minorHAnsi"/>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1F66425A" w14:textId="77777777" w:rsidR="00545A77" w:rsidRDefault="00545A77" w:rsidP="00545A77">
      <w:pPr>
        <w:pStyle w:val="Textoembloco"/>
        <w:spacing w:before="120" w:after="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Conforme o </w:t>
      </w:r>
      <w:r>
        <w:rPr>
          <w:rFonts w:asciiTheme="minorHAnsi" w:hAnsiTheme="minorHAnsi" w:cstheme="minorHAnsi"/>
          <w:shd w:val="clear" w:color="auto" w:fill="FFFFFF"/>
        </w:rPr>
        <w:t>Pronunciamento Técnico</w:t>
      </w:r>
      <w:r w:rsidRPr="00E743E1">
        <w:rPr>
          <w:rFonts w:asciiTheme="minorHAnsi" w:hAnsiTheme="minorHAnsi" w:cstheme="minorHAnsi"/>
          <w:shd w:val="clear" w:color="auto" w:fill="FFFFFF"/>
        </w:rPr>
        <w:t xml:space="preserve">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7CAE7976" w14:textId="77777777" w:rsidR="00D0297F" w:rsidRPr="00E743E1" w:rsidRDefault="00D0297F" w:rsidP="00B33B5E">
      <w:pPr>
        <w:pStyle w:val="Textoembloco"/>
        <w:spacing w:before="120" w:line="240" w:lineRule="auto"/>
        <w:ind w:left="0" w:right="0"/>
        <w:rPr>
          <w:rFonts w:asciiTheme="minorHAnsi" w:hAnsiTheme="minorHAnsi" w:cstheme="minorHAnsi"/>
          <w:b/>
          <w:shd w:val="clear" w:color="auto" w:fill="FFFFFF"/>
        </w:rPr>
      </w:pPr>
      <w:r w:rsidRPr="00E743E1">
        <w:rPr>
          <w:rFonts w:asciiTheme="minorHAnsi" w:hAnsiTheme="minorHAnsi" w:cstheme="minorHAnsi"/>
          <w:b/>
          <w:shd w:val="clear" w:color="auto" w:fill="FFFFFF"/>
        </w:rPr>
        <w:t>a) Critérios de Reconhecimento e Mensuração:</w:t>
      </w:r>
    </w:p>
    <w:p w14:paraId="4F7AFB50" w14:textId="77777777" w:rsidR="00382B8E" w:rsidRPr="00E743E1" w:rsidRDefault="00382B8E">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Visando o aprimoramento dos controles internos e consequentemente da informação sobre as provisões contingenciais, a Procuradoria Jurídica da Infra S.A. elaborou a Norma de Provisões e Contingências Judiciais, regulamentada pela Resolução Normativa n</w:t>
      </w:r>
      <w:r>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04/2021/DIREX, de 7 de julho de 2021, a qual dispõe sobre os procedimentos de avaliação e classificação de riscos de processos judiciais e o reconhecimento de provisões e contingências judiciais. </w:t>
      </w:r>
    </w:p>
    <w:p w14:paraId="3C07FDCF" w14:textId="77777777" w:rsidR="00382B8E" w:rsidRPr="00E743E1" w:rsidRDefault="00382B8E">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19A0CE8F" w14:textId="77777777" w:rsidR="00382B8E" w:rsidRPr="00E743E1" w:rsidRDefault="00382B8E">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após levantamento e aplicação da nova metodologia baseada na Resolução Normativa n</w:t>
      </w:r>
      <w:r>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04/2021/DIREX encaminha as informações necessárias para o reconhecimento das provisões e passivos contingenciais.</w:t>
      </w:r>
    </w:p>
    <w:p w14:paraId="49210E0E" w14:textId="77777777" w:rsidR="00382B8E" w:rsidRPr="00E743E1" w:rsidRDefault="00382B8E">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As premissas utilizadas na referida Norma foram:</w:t>
      </w:r>
    </w:p>
    <w:p w14:paraId="1424FB37" w14:textId="77777777" w:rsidR="00382B8E" w:rsidRPr="00E743E1" w:rsidRDefault="00382B8E" w:rsidP="00C000AF">
      <w:pPr>
        <w:pStyle w:val="Textoembloco"/>
        <w:numPr>
          <w:ilvl w:val="0"/>
          <w:numId w:val="4"/>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Classificações de </w:t>
      </w:r>
      <w:r>
        <w:rPr>
          <w:rFonts w:asciiTheme="minorHAnsi" w:hAnsiTheme="minorHAnsi" w:cstheme="minorHAnsi"/>
          <w:shd w:val="clear" w:color="auto" w:fill="FFFFFF"/>
        </w:rPr>
        <w:t>R</w:t>
      </w:r>
      <w:r w:rsidRPr="00E743E1">
        <w:rPr>
          <w:rFonts w:asciiTheme="minorHAnsi" w:hAnsiTheme="minorHAnsi" w:cstheme="minorHAnsi"/>
          <w:shd w:val="clear" w:color="auto" w:fill="FFFFFF"/>
        </w:rPr>
        <w:t>iscos: realizadas por avaliação do advogado responsável pela causa considerando o resultado dos eventos relevantes do processo (instrução processual; sentença; acórdão);</w:t>
      </w:r>
    </w:p>
    <w:p w14:paraId="69C6356F" w14:textId="443623CC" w:rsidR="00382B8E" w:rsidRPr="00E743E1" w:rsidRDefault="00382B8E" w:rsidP="00C000AF">
      <w:pPr>
        <w:pStyle w:val="Textoembloco"/>
        <w:numPr>
          <w:ilvl w:val="0"/>
          <w:numId w:val="4"/>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w:t>
      </w:r>
      <w:r>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4/2021/DIREX-</w:t>
      </w:r>
      <w:r>
        <w:rPr>
          <w:rFonts w:asciiTheme="minorHAnsi" w:hAnsiTheme="minorHAnsi" w:cstheme="minorHAnsi"/>
          <w:shd w:val="clear" w:color="auto" w:fill="FFFFFF"/>
        </w:rPr>
        <w:t>VALEC</w:t>
      </w:r>
      <w:r w:rsidRPr="00E743E1">
        <w:rPr>
          <w:rFonts w:asciiTheme="minorHAnsi" w:hAnsiTheme="minorHAnsi" w:cstheme="minorHAnsi"/>
          <w:shd w:val="clear" w:color="auto" w:fill="FFFFFF"/>
        </w:rPr>
        <w:t>/PRESI-</w:t>
      </w:r>
      <w:r>
        <w:rPr>
          <w:rFonts w:asciiTheme="minorHAnsi" w:hAnsiTheme="minorHAnsi" w:cstheme="minorHAnsi"/>
          <w:shd w:val="clear" w:color="auto" w:fill="FFFFFF"/>
        </w:rPr>
        <w:t>VALEC</w:t>
      </w:r>
      <w:r w:rsidRPr="00E743E1">
        <w:rPr>
          <w:rFonts w:asciiTheme="minorHAnsi" w:hAnsiTheme="minorHAnsi" w:cstheme="minorHAnsi"/>
          <w:shd w:val="clear" w:color="auto" w:fill="FFFFFF"/>
        </w:rPr>
        <w:t>, associado a outras orientações técnicas das respectivas áreas de conhecimento; </w:t>
      </w:r>
    </w:p>
    <w:p w14:paraId="73FCD5F6" w14:textId="77777777" w:rsidR="00382B8E" w:rsidRPr="00E743E1" w:rsidRDefault="00382B8E" w:rsidP="00C000AF">
      <w:pPr>
        <w:pStyle w:val="Textoembloco"/>
        <w:numPr>
          <w:ilvl w:val="0"/>
          <w:numId w:val="4"/>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45A93B1F" w14:textId="77777777" w:rsidR="00382B8E" w:rsidRPr="00E743E1" w:rsidRDefault="00382B8E" w:rsidP="00C000AF">
      <w:pPr>
        <w:pStyle w:val="Textoembloco"/>
        <w:numPr>
          <w:ilvl w:val="0"/>
          <w:numId w:val="4"/>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lastRenderedPageBreak/>
        <w:t xml:space="preserve">Limitações: Não foram consideradas ações vinculadas aos processos principais (a exemplo de agravos de instrumento), </w:t>
      </w:r>
      <w:r>
        <w:rPr>
          <w:rFonts w:asciiTheme="minorHAnsi" w:hAnsiTheme="minorHAnsi" w:cstheme="minorHAnsi"/>
          <w:shd w:val="clear" w:color="auto" w:fill="FFFFFF"/>
        </w:rPr>
        <w:t>com</w:t>
      </w:r>
      <w:r w:rsidRPr="00E743E1">
        <w:rPr>
          <w:rFonts w:asciiTheme="minorHAnsi" w:hAnsiTheme="minorHAnsi" w:cstheme="minorHAnsi"/>
          <w:shd w:val="clear" w:color="auto" w:fill="FFFFFF"/>
        </w:rPr>
        <w:t xml:space="preserve"> intuito de evitar a duplicidade de valores, tendo em vista que o risco de perda nestes casos já foi analisado no risco de perda da ação principal;</w:t>
      </w:r>
    </w:p>
    <w:p w14:paraId="084DFEBD" w14:textId="77777777" w:rsidR="00382B8E" w:rsidRDefault="00382B8E" w:rsidP="00C000AF">
      <w:pPr>
        <w:pStyle w:val="Textoembloco"/>
        <w:numPr>
          <w:ilvl w:val="0"/>
          <w:numId w:val="4"/>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Ações de </w:t>
      </w:r>
      <w:r>
        <w:rPr>
          <w:rFonts w:asciiTheme="minorHAnsi" w:hAnsiTheme="minorHAnsi" w:cstheme="minorHAnsi"/>
          <w:shd w:val="clear" w:color="auto" w:fill="FFFFFF"/>
        </w:rPr>
        <w:t>D</w:t>
      </w:r>
      <w:r w:rsidRPr="00E743E1">
        <w:rPr>
          <w:rFonts w:asciiTheme="minorHAnsi" w:hAnsiTheme="minorHAnsi" w:cstheme="minorHAnsi"/>
          <w:shd w:val="clear" w:color="auto" w:fill="FFFFFF"/>
        </w:rPr>
        <w:t>esapropriações: o valor das decisões foi subtraído do valor de depósito já efetuado em juízo para obter a imissão na posse,</w:t>
      </w:r>
      <w:r w:rsidRPr="00E743E1">
        <w:rPr>
          <w:rFonts w:asciiTheme="minorHAnsi" w:hAnsiTheme="minorHAnsi" w:cstheme="minorHAnsi"/>
        </w:rPr>
        <w:t xml:space="preserve"> que apesar de ser realizado antes da sentença definitiva, não é passível de restituição, sob qualquer hipótese</w:t>
      </w:r>
      <w:r w:rsidRPr="00E743E1">
        <w:rPr>
          <w:rFonts w:asciiTheme="minorHAnsi" w:hAnsiTheme="minorHAnsi" w:cstheme="minorHAnsi"/>
          <w:shd w:val="clear" w:color="auto" w:fill="FFFFFF"/>
        </w:rPr>
        <w:t xml:space="preserve">, </w:t>
      </w:r>
      <w:r w:rsidRPr="00E743E1">
        <w:rPr>
          <w:rFonts w:asciiTheme="minorHAnsi" w:hAnsiTheme="minorHAnsi" w:cstheme="minorHAns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w:t>
      </w:r>
      <w:r>
        <w:rPr>
          <w:rFonts w:asciiTheme="minorHAnsi" w:hAnsiTheme="minorHAnsi" w:cstheme="minorHAnsi"/>
        </w:rPr>
        <w:t>°</w:t>
      </w:r>
      <w:r w:rsidRPr="00E743E1">
        <w:rPr>
          <w:rFonts w:asciiTheme="minorHAnsi" w:hAnsiTheme="minorHAnsi" w:cstheme="minorHAnsi"/>
        </w:rPr>
        <w:t xml:space="preserve"> 4.320/1964, motivo pelo qual tem natureza diversa dos demais pagamentos de condenações.</w:t>
      </w:r>
    </w:p>
    <w:p w14:paraId="2C438504" w14:textId="77777777" w:rsidR="00382B8E" w:rsidRPr="00E743E1" w:rsidRDefault="00382B8E" w:rsidP="00DE0B84">
      <w:pPr>
        <w:pStyle w:val="Textoembloco"/>
        <w:spacing w:before="120" w:line="240" w:lineRule="auto"/>
        <w:ind w:left="0" w:right="0"/>
        <w:rPr>
          <w:rFonts w:asciiTheme="minorHAnsi" w:hAnsiTheme="minorHAnsi" w:cstheme="minorHAnsi"/>
          <w:b/>
          <w:bCs w:val="0"/>
          <w:shd w:val="clear" w:color="auto" w:fill="FFFFFF"/>
        </w:rPr>
      </w:pPr>
      <w:r w:rsidRPr="00E743E1">
        <w:rPr>
          <w:rFonts w:asciiTheme="minorHAnsi" w:hAnsiTheme="minorHAnsi" w:cstheme="minorHAnsi"/>
          <w:b/>
          <w:bCs w:val="0"/>
          <w:shd w:val="clear" w:color="auto" w:fill="FFFFFF"/>
        </w:rPr>
        <w:t>b) Ações com Risco de Perda Provável:</w:t>
      </w:r>
    </w:p>
    <w:p w14:paraId="3552BF20" w14:textId="30B3242A" w:rsidR="00382B8E" w:rsidRPr="00E743E1" w:rsidRDefault="00382B8E" w:rsidP="00382B8E">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apresentou os valores dos processos judiciais classificados como obrigações presentes e com “prováveis” saídas futuras de recursos financeiros em 3</w:t>
      </w:r>
      <w:r>
        <w:rPr>
          <w:rFonts w:asciiTheme="minorHAnsi" w:hAnsiTheme="minorHAnsi" w:cstheme="minorHAnsi"/>
          <w:shd w:val="clear" w:color="auto" w:fill="FFFFFF"/>
        </w:rPr>
        <w:t>1</w:t>
      </w:r>
      <w:r w:rsidR="008D7F62">
        <w:rPr>
          <w:rFonts w:asciiTheme="minorHAnsi" w:hAnsiTheme="minorHAnsi" w:cstheme="minorHAnsi"/>
          <w:shd w:val="clear" w:color="auto" w:fill="FFFFFF"/>
        </w:rPr>
        <w:t>/03</w:t>
      </w:r>
      <w:r w:rsidRPr="00E743E1">
        <w:rPr>
          <w:rFonts w:asciiTheme="minorHAnsi" w:hAnsiTheme="minorHAnsi" w:cstheme="minorHAnsi"/>
          <w:shd w:val="clear" w:color="auto" w:fill="FFFFFF"/>
        </w:rPr>
        <w:t>/202</w:t>
      </w:r>
      <w:r w:rsidR="008D7F62">
        <w:rPr>
          <w:rFonts w:asciiTheme="minorHAnsi" w:hAnsiTheme="minorHAnsi" w:cstheme="minorHAnsi"/>
          <w:shd w:val="clear" w:color="auto" w:fill="FFFFFF"/>
        </w:rPr>
        <w:t>4</w:t>
      </w:r>
      <w:r w:rsidRPr="00E743E1">
        <w:rPr>
          <w:rFonts w:asciiTheme="minorHAnsi" w:hAnsiTheme="minorHAnsi" w:cstheme="minorHAnsi"/>
          <w:shd w:val="clear" w:color="auto" w:fill="FFFFFF"/>
        </w:rPr>
        <w:t>, conforme segue:</w:t>
      </w:r>
    </w:p>
    <w:tbl>
      <w:tblPr>
        <w:tblW w:w="5000" w:type="pct"/>
        <w:tblCellMar>
          <w:left w:w="70" w:type="dxa"/>
          <w:right w:w="70" w:type="dxa"/>
        </w:tblCellMar>
        <w:tblLook w:val="04A0" w:firstRow="1" w:lastRow="0" w:firstColumn="1" w:lastColumn="0" w:noHBand="0" w:noVBand="1"/>
      </w:tblPr>
      <w:tblGrid>
        <w:gridCol w:w="3545"/>
        <w:gridCol w:w="1419"/>
        <w:gridCol w:w="1417"/>
        <w:gridCol w:w="1524"/>
        <w:gridCol w:w="1352"/>
        <w:gridCol w:w="1210"/>
      </w:tblGrid>
      <w:tr w:rsidR="0098072A" w:rsidRPr="00B21D24" w14:paraId="3A20B7BF" w14:textId="77777777" w:rsidTr="0098072A">
        <w:trPr>
          <w:trHeight w:hRule="exact" w:val="474"/>
        </w:trPr>
        <w:tc>
          <w:tcPr>
            <w:tcW w:w="1693" w:type="pct"/>
            <w:tcBorders>
              <w:top w:val="nil"/>
              <w:left w:val="nil"/>
              <w:bottom w:val="single" w:sz="8" w:space="0" w:color="auto"/>
              <w:right w:val="nil"/>
            </w:tcBorders>
            <w:shd w:val="clear" w:color="000000" w:fill="DEEAF6"/>
            <w:noWrap/>
            <w:vAlign w:val="center"/>
            <w:hideMark/>
          </w:tcPr>
          <w:p w14:paraId="3983BA94" w14:textId="77777777" w:rsidR="00B21D24" w:rsidRPr="00B21D24" w:rsidRDefault="00B21D24" w:rsidP="00B21D24">
            <w:pPr>
              <w:spacing w:after="0" w:line="240" w:lineRule="auto"/>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Ações</w:t>
            </w:r>
          </w:p>
        </w:tc>
        <w:tc>
          <w:tcPr>
            <w:tcW w:w="678" w:type="pct"/>
            <w:tcBorders>
              <w:top w:val="nil"/>
              <w:left w:val="nil"/>
              <w:bottom w:val="single" w:sz="8" w:space="0" w:color="auto"/>
              <w:right w:val="nil"/>
            </w:tcBorders>
            <w:shd w:val="clear" w:color="000000" w:fill="DEEAF6"/>
            <w:vAlign w:val="center"/>
            <w:hideMark/>
          </w:tcPr>
          <w:p w14:paraId="0D9997CF"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Saldo em 31/12/2023</w:t>
            </w:r>
          </w:p>
        </w:tc>
        <w:tc>
          <w:tcPr>
            <w:tcW w:w="677" w:type="pct"/>
            <w:tcBorders>
              <w:top w:val="nil"/>
              <w:left w:val="nil"/>
              <w:bottom w:val="single" w:sz="8" w:space="0" w:color="auto"/>
              <w:right w:val="nil"/>
            </w:tcBorders>
            <w:shd w:val="clear" w:color="000000" w:fill="DEEAF6"/>
            <w:vAlign w:val="center"/>
            <w:hideMark/>
          </w:tcPr>
          <w:p w14:paraId="5861A415"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Ingresso</w:t>
            </w:r>
          </w:p>
        </w:tc>
        <w:tc>
          <w:tcPr>
            <w:tcW w:w="728" w:type="pct"/>
            <w:tcBorders>
              <w:top w:val="nil"/>
              <w:left w:val="nil"/>
              <w:bottom w:val="single" w:sz="8" w:space="0" w:color="auto"/>
              <w:right w:val="nil"/>
            </w:tcBorders>
            <w:shd w:val="clear" w:color="000000" w:fill="DEEAF6"/>
            <w:vAlign w:val="center"/>
            <w:hideMark/>
          </w:tcPr>
          <w:p w14:paraId="34E0A933"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Baixa/Reversão</w:t>
            </w:r>
          </w:p>
        </w:tc>
        <w:tc>
          <w:tcPr>
            <w:tcW w:w="646" w:type="pct"/>
            <w:tcBorders>
              <w:top w:val="nil"/>
              <w:left w:val="nil"/>
              <w:bottom w:val="single" w:sz="8" w:space="0" w:color="auto"/>
              <w:right w:val="nil"/>
            </w:tcBorders>
            <w:shd w:val="clear" w:color="000000" w:fill="DEEAF6"/>
            <w:vAlign w:val="center"/>
            <w:hideMark/>
          </w:tcPr>
          <w:p w14:paraId="29C7CEC3"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Transferência</w:t>
            </w:r>
            <w:r w:rsidRPr="00B21D24">
              <w:rPr>
                <w:rFonts w:ascii="Calibri" w:eastAsia="Times New Roman" w:hAnsi="Calibri" w:cs="Calibri"/>
                <w:color w:val="000000"/>
                <w:sz w:val="16"/>
                <w:szCs w:val="16"/>
              </w:rPr>
              <w:t> </w:t>
            </w:r>
          </w:p>
        </w:tc>
        <w:tc>
          <w:tcPr>
            <w:tcW w:w="578" w:type="pct"/>
            <w:tcBorders>
              <w:top w:val="nil"/>
              <w:left w:val="nil"/>
              <w:bottom w:val="single" w:sz="8" w:space="0" w:color="auto"/>
              <w:right w:val="nil"/>
            </w:tcBorders>
            <w:shd w:val="clear" w:color="000000" w:fill="DEEAF6"/>
            <w:vAlign w:val="center"/>
            <w:hideMark/>
          </w:tcPr>
          <w:p w14:paraId="7153E262"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Saldo em 31/03/2024</w:t>
            </w:r>
          </w:p>
        </w:tc>
      </w:tr>
      <w:tr w:rsidR="0098072A" w:rsidRPr="00B21D24" w14:paraId="719B61BB" w14:textId="77777777" w:rsidTr="0098072A">
        <w:trPr>
          <w:trHeight w:hRule="exact" w:val="227"/>
        </w:trPr>
        <w:tc>
          <w:tcPr>
            <w:tcW w:w="1693" w:type="pct"/>
            <w:tcBorders>
              <w:top w:val="nil"/>
              <w:left w:val="nil"/>
              <w:bottom w:val="nil"/>
              <w:right w:val="nil"/>
            </w:tcBorders>
            <w:shd w:val="clear" w:color="auto" w:fill="auto"/>
            <w:noWrap/>
            <w:vAlign w:val="center"/>
            <w:hideMark/>
          </w:tcPr>
          <w:p w14:paraId="1435F4D4"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Desapropriações</w:t>
            </w:r>
          </w:p>
        </w:tc>
        <w:tc>
          <w:tcPr>
            <w:tcW w:w="678" w:type="pct"/>
            <w:tcBorders>
              <w:top w:val="nil"/>
              <w:left w:val="nil"/>
              <w:bottom w:val="nil"/>
              <w:right w:val="nil"/>
            </w:tcBorders>
            <w:shd w:val="clear" w:color="auto" w:fill="auto"/>
            <w:noWrap/>
            <w:vAlign w:val="center"/>
            <w:hideMark/>
          </w:tcPr>
          <w:p w14:paraId="74FE25B4"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76.391.761</w:t>
            </w:r>
          </w:p>
        </w:tc>
        <w:tc>
          <w:tcPr>
            <w:tcW w:w="677" w:type="pct"/>
            <w:tcBorders>
              <w:top w:val="nil"/>
              <w:left w:val="nil"/>
              <w:bottom w:val="nil"/>
              <w:right w:val="nil"/>
            </w:tcBorders>
            <w:shd w:val="clear" w:color="auto" w:fill="auto"/>
            <w:noWrap/>
            <w:vAlign w:val="center"/>
            <w:hideMark/>
          </w:tcPr>
          <w:p w14:paraId="54F96F8A" w14:textId="7F96AC42"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270.542 </w:t>
            </w:r>
          </w:p>
        </w:tc>
        <w:tc>
          <w:tcPr>
            <w:tcW w:w="728" w:type="pct"/>
            <w:tcBorders>
              <w:top w:val="nil"/>
              <w:left w:val="nil"/>
              <w:bottom w:val="nil"/>
              <w:right w:val="nil"/>
            </w:tcBorders>
            <w:shd w:val="clear" w:color="auto" w:fill="auto"/>
            <w:noWrap/>
            <w:vAlign w:val="center"/>
            <w:hideMark/>
          </w:tcPr>
          <w:p w14:paraId="0038D26F" w14:textId="09B75B20"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(14.699.318)</w:t>
            </w:r>
          </w:p>
        </w:tc>
        <w:tc>
          <w:tcPr>
            <w:tcW w:w="646" w:type="pct"/>
            <w:tcBorders>
              <w:top w:val="nil"/>
              <w:left w:val="nil"/>
              <w:bottom w:val="nil"/>
              <w:right w:val="nil"/>
            </w:tcBorders>
            <w:shd w:val="clear" w:color="auto" w:fill="auto"/>
            <w:noWrap/>
            <w:vAlign w:val="center"/>
            <w:hideMark/>
          </w:tcPr>
          <w:p w14:paraId="1EEDA2E0"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1D8E27D9" w14:textId="46F71101"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61.962.985 </w:t>
            </w:r>
          </w:p>
        </w:tc>
      </w:tr>
      <w:tr w:rsidR="0098072A" w:rsidRPr="00B21D24" w14:paraId="14929EC8" w14:textId="77777777" w:rsidTr="0098072A">
        <w:trPr>
          <w:trHeight w:hRule="exact" w:val="227"/>
        </w:trPr>
        <w:tc>
          <w:tcPr>
            <w:tcW w:w="1693" w:type="pct"/>
            <w:tcBorders>
              <w:top w:val="nil"/>
              <w:left w:val="nil"/>
              <w:bottom w:val="nil"/>
              <w:right w:val="nil"/>
            </w:tcBorders>
            <w:shd w:val="clear" w:color="auto" w:fill="auto"/>
            <w:noWrap/>
            <w:vAlign w:val="center"/>
            <w:hideMark/>
          </w:tcPr>
          <w:p w14:paraId="71014216"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Trabalhistas</w:t>
            </w:r>
          </w:p>
        </w:tc>
        <w:tc>
          <w:tcPr>
            <w:tcW w:w="678" w:type="pct"/>
            <w:tcBorders>
              <w:top w:val="nil"/>
              <w:left w:val="nil"/>
              <w:bottom w:val="nil"/>
              <w:right w:val="nil"/>
            </w:tcBorders>
            <w:shd w:val="clear" w:color="auto" w:fill="auto"/>
            <w:noWrap/>
            <w:vAlign w:val="center"/>
            <w:hideMark/>
          </w:tcPr>
          <w:p w14:paraId="58512945"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69.099.438</w:t>
            </w:r>
          </w:p>
        </w:tc>
        <w:tc>
          <w:tcPr>
            <w:tcW w:w="677" w:type="pct"/>
            <w:tcBorders>
              <w:top w:val="nil"/>
              <w:left w:val="nil"/>
              <w:bottom w:val="nil"/>
              <w:right w:val="nil"/>
            </w:tcBorders>
            <w:shd w:val="clear" w:color="auto" w:fill="auto"/>
            <w:noWrap/>
            <w:vAlign w:val="center"/>
            <w:hideMark/>
          </w:tcPr>
          <w:p w14:paraId="3CA92FD5" w14:textId="4BA68C4E"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1.088.289 </w:t>
            </w:r>
          </w:p>
        </w:tc>
        <w:tc>
          <w:tcPr>
            <w:tcW w:w="728" w:type="pct"/>
            <w:tcBorders>
              <w:top w:val="nil"/>
              <w:left w:val="nil"/>
              <w:bottom w:val="nil"/>
              <w:right w:val="nil"/>
            </w:tcBorders>
            <w:shd w:val="clear" w:color="auto" w:fill="auto"/>
            <w:noWrap/>
            <w:vAlign w:val="center"/>
            <w:hideMark/>
          </w:tcPr>
          <w:p w14:paraId="419CCA35" w14:textId="4DADBAEF"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(5.389.245)</w:t>
            </w:r>
          </w:p>
        </w:tc>
        <w:tc>
          <w:tcPr>
            <w:tcW w:w="646" w:type="pct"/>
            <w:tcBorders>
              <w:top w:val="nil"/>
              <w:left w:val="nil"/>
              <w:bottom w:val="nil"/>
              <w:right w:val="nil"/>
            </w:tcBorders>
            <w:shd w:val="clear" w:color="auto" w:fill="auto"/>
            <w:noWrap/>
            <w:vAlign w:val="center"/>
            <w:hideMark/>
          </w:tcPr>
          <w:p w14:paraId="37062633"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01F44F4B" w14:textId="73F4E5F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64.798.482 </w:t>
            </w:r>
          </w:p>
        </w:tc>
      </w:tr>
      <w:tr w:rsidR="0098072A" w:rsidRPr="00B21D24" w14:paraId="409559EF" w14:textId="77777777" w:rsidTr="0098072A">
        <w:trPr>
          <w:trHeight w:hRule="exact" w:val="227"/>
        </w:trPr>
        <w:tc>
          <w:tcPr>
            <w:tcW w:w="1693" w:type="pct"/>
            <w:tcBorders>
              <w:top w:val="nil"/>
              <w:left w:val="nil"/>
              <w:bottom w:val="nil"/>
              <w:right w:val="nil"/>
            </w:tcBorders>
            <w:shd w:val="clear" w:color="auto" w:fill="auto"/>
            <w:noWrap/>
            <w:vAlign w:val="center"/>
            <w:hideMark/>
          </w:tcPr>
          <w:p w14:paraId="57E20A6A"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Cíveis</w:t>
            </w:r>
          </w:p>
        </w:tc>
        <w:tc>
          <w:tcPr>
            <w:tcW w:w="678" w:type="pct"/>
            <w:tcBorders>
              <w:top w:val="nil"/>
              <w:left w:val="nil"/>
              <w:bottom w:val="nil"/>
              <w:right w:val="nil"/>
            </w:tcBorders>
            <w:shd w:val="clear" w:color="auto" w:fill="auto"/>
            <w:noWrap/>
            <w:vAlign w:val="center"/>
            <w:hideMark/>
          </w:tcPr>
          <w:p w14:paraId="15B6785A"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1.917.340.150</w:t>
            </w:r>
          </w:p>
        </w:tc>
        <w:tc>
          <w:tcPr>
            <w:tcW w:w="677" w:type="pct"/>
            <w:tcBorders>
              <w:top w:val="nil"/>
              <w:left w:val="nil"/>
              <w:bottom w:val="nil"/>
              <w:right w:val="nil"/>
            </w:tcBorders>
            <w:shd w:val="clear" w:color="auto" w:fill="auto"/>
            <w:noWrap/>
            <w:vAlign w:val="center"/>
            <w:hideMark/>
          </w:tcPr>
          <w:p w14:paraId="1433C121"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noWrap/>
            <w:vAlign w:val="center"/>
            <w:hideMark/>
          </w:tcPr>
          <w:p w14:paraId="2084DDD1" w14:textId="783F1C3D"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(7.635.629)</w:t>
            </w:r>
          </w:p>
        </w:tc>
        <w:tc>
          <w:tcPr>
            <w:tcW w:w="646" w:type="pct"/>
            <w:tcBorders>
              <w:top w:val="nil"/>
              <w:left w:val="nil"/>
              <w:bottom w:val="nil"/>
              <w:right w:val="nil"/>
            </w:tcBorders>
            <w:shd w:val="clear" w:color="auto" w:fill="auto"/>
            <w:noWrap/>
            <w:vAlign w:val="center"/>
            <w:hideMark/>
          </w:tcPr>
          <w:p w14:paraId="243E51B3"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05D11167" w14:textId="24EA6C02"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1.909.704.521 </w:t>
            </w:r>
          </w:p>
        </w:tc>
      </w:tr>
      <w:tr w:rsidR="0098072A" w:rsidRPr="00B21D24" w14:paraId="238BE9E4" w14:textId="77777777" w:rsidTr="0098072A">
        <w:trPr>
          <w:trHeight w:hRule="exact" w:val="227"/>
        </w:trPr>
        <w:tc>
          <w:tcPr>
            <w:tcW w:w="1693" w:type="pct"/>
            <w:tcBorders>
              <w:top w:val="nil"/>
              <w:left w:val="nil"/>
              <w:bottom w:val="nil"/>
              <w:right w:val="nil"/>
            </w:tcBorders>
            <w:shd w:val="clear" w:color="auto" w:fill="auto"/>
            <w:noWrap/>
            <w:vAlign w:val="center"/>
            <w:hideMark/>
          </w:tcPr>
          <w:p w14:paraId="3CA80489"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Tributárias</w:t>
            </w:r>
          </w:p>
        </w:tc>
        <w:tc>
          <w:tcPr>
            <w:tcW w:w="678" w:type="pct"/>
            <w:tcBorders>
              <w:top w:val="nil"/>
              <w:left w:val="nil"/>
              <w:bottom w:val="nil"/>
              <w:right w:val="nil"/>
            </w:tcBorders>
            <w:shd w:val="clear" w:color="auto" w:fill="auto"/>
            <w:noWrap/>
            <w:vAlign w:val="center"/>
            <w:hideMark/>
          </w:tcPr>
          <w:p w14:paraId="14C2C607"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1.345.775</w:t>
            </w:r>
          </w:p>
        </w:tc>
        <w:tc>
          <w:tcPr>
            <w:tcW w:w="677" w:type="pct"/>
            <w:tcBorders>
              <w:top w:val="nil"/>
              <w:left w:val="nil"/>
              <w:bottom w:val="nil"/>
              <w:right w:val="nil"/>
            </w:tcBorders>
            <w:shd w:val="clear" w:color="auto" w:fill="auto"/>
            <w:noWrap/>
            <w:vAlign w:val="center"/>
            <w:hideMark/>
          </w:tcPr>
          <w:p w14:paraId="0F33AE3F"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noWrap/>
            <w:vAlign w:val="center"/>
            <w:hideMark/>
          </w:tcPr>
          <w:p w14:paraId="4CB0671A"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646" w:type="pct"/>
            <w:tcBorders>
              <w:top w:val="nil"/>
              <w:left w:val="nil"/>
              <w:bottom w:val="nil"/>
              <w:right w:val="nil"/>
            </w:tcBorders>
            <w:shd w:val="clear" w:color="auto" w:fill="auto"/>
            <w:noWrap/>
            <w:vAlign w:val="center"/>
            <w:hideMark/>
          </w:tcPr>
          <w:p w14:paraId="26701D79"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36277A4F" w14:textId="11204965"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1.345.775 </w:t>
            </w:r>
          </w:p>
        </w:tc>
      </w:tr>
      <w:tr w:rsidR="0098072A" w:rsidRPr="00B21D24" w14:paraId="6461CCF8" w14:textId="77777777" w:rsidTr="0098072A">
        <w:trPr>
          <w:trHeight w:hRule="exact" w:val="227"/>
        </w:trPr>
        <w:tc>
          <w:tcPr>
            <w:tcW w:w="1693" w:type="pct"/>
            <w:tcBorders>
              <w:top w:val="nil"/>
              <w:left w:val="nil"/>
              <w:bottom w:val="single" w:sz="8" w:space="0" w:color="auto"/>
              <w:right w:val="nil"/>
            </w:tcBorders>
            <w:shd w:val="clear" w:color="auto" w:fill="auto"/>
            <w:noWrap/>
            <w:vAlign w:val="center"/>
            <w:hideMark/>
          </w:tcPr>
          <w:p w14:paraId="4998845A"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Previdenciárias</w:t>
            </w:r>
          </w:p>
        </w:tc>
        <w:tc>
          <w:tcPr>
            <w:tcW w:w="678" w:type="pct"/>
            <w:tcBorders>
              <w:top w:val="nil"/>
              <w:left w:val="nil"/>
              <w:bottom w:val="nil"/>
              <w:right w:val="nil"/>
            </w:tcBorders>
            <w:shd w:val="clear" w:color="auto" w:fill="auto"/>
            <w:noWrap/>
            <w:vAlign w:val="center"/>
            <w:hideMark/>
          </w:tcPr>
          <w:p w14:paraId="7B1A5732"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539.771</w:t>
            </w:r>
          </w:p>
        </w:tc>
        <w:tc>
          <w:tcPr>
            <w:tcW w:w="677" w:type="pct"/>
            <w:tcBorders>
              <w:top w:val="nil"/>
              <w:left w:val="nil"/>
              <w:bottom w:val="nil"/>
              <w:right w:val="nil"/>
            </w:tcBorders>
            <w:shd w:val="clear" w:color="auto" w:fill="auto"/>
            <w:noWrap/>
            <w:vAlign w:val="center"/>
            <w:hideMark/>
          </w:tcPr>
          <w:p w14:paraId="3C900596"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noWrap/>
            <w:vAlign w:val="center"/>
            <w:hideMark/>
          </w:tcPr>
          <w:p w14:paraId="7C331F09"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646" w:type="pct"/>
            <w:tcBorders>
              <w:top w:val="nil"/>
              <w:left w:val="nil"/>
              <w:bottom w:val="nil"/>
              <w:right w:val="nil"/>
            </w:tcBorders>
            <w:shd w:val="clear" w:color="auto" w:fill="auto"/>
            <w:noWrap/>
            <w:vAlign w:val="center"/>
            <w:hideMark/>
          </w:tcPr>
          <w:p w14:paraId="503A8A6A"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70DCDEF2" w14:textId="1DC18878"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539.771 </w:t>
            </w:r>
          </w:p>
        </w:tc>
      </w:tr>
      <w:tr w:rsidR="0098072A" w:rsidRPr="00B21D24" w14:paraId="1501D977" w14:textId="77777777" w:rsidTr="0098072A">
        <w:trPr>
          <w:trHeight w:hRule="exact" w:val="227"/>
        </w:trPr>
        <w:tc>
          <w:tcPr>
            <w:tcW w:w="1693" w:type="pct"/>
            <w:tcBorders>
              <w:top w:val="nil"/>
              <w:left w:val="nil"/>
              <w:bottom w:val="single" w:sz="8" w:space="0" w:color="auto"/>
              <w:right w:val="nil"/>
            </w:tcBorders>
            <w:shd w:val="clear" w:color="000000" w:fill="DEEAF6"/>
            <w:noWrap/>
            <w:vAlign w:val="center"/>
            <w:hideMark/>
          </w:tcPr>
          <w:p w14:paraId="17012508" w14:textId="77777777" w:rsidR="00B21D24" w:rsidRPr="00B21D24" w:rsidRDefault="00B21D24" w:rsidP="00B21D24">
            <w:pPr>
              <w:spacing w:after="0" w:line="240" w:lineRule="auto"/>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Saldo</w:t>
            </w:r>
          </w:p>
        </w:tc>
        <w:tc>
          <w:tcPr>
            <w:tcW w:w="678" w:type="pct"/>
            <w:tcBorders>
              <w:top w:val="single" w:sz="8" w:space="0" w:color="auto"/>
              <w:left w:val="nil"/>
              <w:bottom w:val="single" w:sz="8" w:space="0" w:color="auto"/>
              <w:right w:val="nil"/>
            </w:tcBorders>
            <w:shd w:val="clear" w:color="000000" w:fill="DEEAF6"/>
            <w:noWrap/>
            <w:vAlign w:val="center"/>
            <w:hideMark/>
          </w:tcPr>
          <w:p w14:paraId="21F65CB4"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2.064.716.895</w:t>
            </w:r>
          </w:p>
        </w:tc>
        <w:tc>
          <w:tcPr>
            <w:tcW w:w="677" w:type="pct"/>
            <w:tcBorders>
              <w:top w:val="single" w:sz="8" w:space="0" w:color="auto"/>
              <w:left w:val="nil"/>
              <w:bottom w:val="single" w:sz="8" w:space="0" w:color="auto"/>
              <w:right w:val="nil"/>
            </w:tcBorders>
            <w:shd w:val="clear" w:color="000000" w:fill="DEEAF6"/>
            <w:noWrap/>
            <w:vAlign w:val="center"/>
            <w:hideMark/>
          </w:tcPr>
          <w:p w14:paraId="034F3318" w14:textId="298E1881"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1.358.831 </w:t>
            </w:r>
          </w:p>
        </w:tc>
        <w:tc>
          <w:tcPr>
            <w:tcW w:w="728" w:type="pct"/>
            <w:tcBorders>
              <w:top w:val="single" w:sz="8" w:space="0" w:color="auto"/>
              <w:left w:val="nil"/>
              <w:bottom w:val="single" w:sz="8" w:space="0" w:color="auto"/>
              <w:right w:val="nil"/>
            </w:tcBorders>
            <w:shd w:val="clear" w:color="000000" w:fill="DEEAF6"/>
            <w:noWrap/>
            <w:vAlign w:val="center"/>
            <w:hideMark/>
          </w:tcPr>
          <w:p w14:paraId="1067E10F" w14:textId="2A2EE7AA"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(27.724.192)</w:t>
            </w:r>
          </w:p>
        </w:tc>
        <w:tc>
          <w:tcPr>
            <w:tcW w:w="646" w:type="pct"/>
            <w:tcBorders>
              <w:top w:val="single" w:sz="8" w:space="0" w:color="auto"/>
              <w:left w:val="nil"/>
              <w:bottom w:val="single" w:sz="8" w:space="0" w:color="auto"/>
              <w:right w:val="nil"/>
            </w:tcBorders>
            <w:shd w:val="clear" w:color="000000" w:fill="DEEAF6"/>
            <w:noWrap/>
            <w:vAlign w:val="center"/>
            <w:hideMark/>
          </w:tcPr>
          <w:p w14:paraId="7C31BEE9" w14:textId="5F832D1B"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w:t>
            </w:r>
          </w:p>
        </w:tc>
        <w:tc>
          <w:tcPr>
            <w:tcW w:w="578" w:type="pct"/>
            <w:tcBorders>
              <w:top w:val="single" w:sz="8" w:space="0" w:color="auto"/>
              <w:left w:val="nil"/>
              <w:bottom w:val="single" w:sz="8" w:space="0" w:color="auto"/>
              <w:right w:val="nil"/>
            </w:tcBorders>
            <w:shd w:val="clear" w:color="000000" w:fill="DEEAF6"/>
            <w:noWrap/>
            <w:vAlign w:val="center"/>
            <w:hideMark/>
          </w:tcPr>
          <w:p w14:paraId="1B75E5E9" w14:textId="55AE0D5D"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2.038.351.534 </w:t>
            </w:r>
          </w:p>
        </w:tc>
      </w:tr>
      <w:tr w:rsidR="0098072A" w:rsidRPr="00B21D24" w14:paraId="137B0176" w14:textId="77777777" w:rsidTr="0098072A">
        <w:trPr>
          <w:trHeight w:hRule="exact" w:val="227"/>
        </w:trPr>
        <w:tc>
          <w:tcPr>
            <w:tcW w:w="1693" w:type="pct"/>
            <w:tcBorders>
              <w:top w:val="nil"/>
              <w:left w:val="nil"/>
              <w:bottom w:val="single" w:sz="8" w:space="0" w:color="auto"/>
              <w:right w:val="nil"/>
            </w:tcBorders>
            <w:shd w:val="clear" w:color="000000" w:fill="DEEAF6"/>
            <w:noWrap/>
            <w:vAlign w:val="center"/>
            <w:hideMark/>
          </w:tcPr>
          <w:p w14:paraId="03005817" w14:textId="77777777" w:rsidR="00B21D24" w:rsidRPr="00B21D24" w:rsidRDefault="00B21D24" w:rsidP="00B21D24">
            <w:pPr>
              <w:spacing w:after="0" w:line="240" w:lineRule="auto"/>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Circulante</w:t>
            </w:r>
          </w:p>
        </w:tc>
        <w:tc>
          <w:tcPr>
            <w:tcW w:w="678" w:type="pct"/>
            <w:tcBorders>
              <w:top w:val="nil"/>
              <w:left w:val="nil"/>
              <w:bottom w:val="single" w:sz="8" w:space="0" w:color="auto"/>
              <w:right w:val="nil"/>
            </w:tcBorders>
            <w:shd w:val="clear" w:color="000000" w:fill="DEEAF6"/>
            <w:vAlign w:val="center"/>
            <w:hideMark/>
          </w:tcPr>
          <w:p w14:paraId="3F402420"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113.774.829</w:t>
            </w:r>
          </w:p>
        </w:tc>
        <w:tc>
          <w:tcPr>
            <w:tcW w:w="677" w:type="pct"/>
            <w:tcBorders>
              <w:top w:val="nil"/>
              <w:left w:val="nil"/>
              <w:bottom w:val="single" w:sz="8" w:space="0" w:color="auto"/>
              <w:right w:val="nil"/>
            </w:tcBorders>
            <w:shd w:val="clear" w:color="000000" w:fill="DEEAF6"/>
            <w:vAlign w:val="center"/>
            <w:hideMark/>
          </w:tcPr>
          <w:p w14:paraId="1AB6BB31" w14:textId="0F1344E8"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1.358.831 </w:t>
            </w:r>
          </w:p>
        </w:tc>
        <w:tc>
          <w:tcPr>
            <w:tcW w:w="728" w:type="pct"/>
            <w:tcBorders>
              <w:top w:val="nil"/>
              <w:left w:val="nil"/>
              <w:bottom w:val="single" w:sz="8" w:space="0" w:color="auto"/>
              <w:right w:val="nil"/>
            </w:tcBorders>
            <w:shd w:val="clear" w:color="000000" w:fill="DEEAF6"/>
            <w:vAlign w:val="center"/>
            <w:hideMark/>
          </w:tcPr>
          <w:p w14:paraId="6F380FEE" w14:textId="4EC08039"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(4.451.026)</w:t>
            </w:r>
          </w:p>
        </w:tc>
        <w:tc>
          <w:tcPr>
            <w:tcW w:w="646" w:type="pct"/>
            <w:tcBorders>
              <w:top w:val="nil"/>
              <w:left w:val="nil"/>
              <w:bottom w:val="single" w:sz="8" w:space="0" w:color="auto"/>
              <w:right w:val="nil"/>
            </w:tcBorders>
            <w:shd w:val="clear" w:color="000000" w:fill="DEEAF6"/>
            <w:vAlign w:val="center"/>
            <w:hideMark/>
          </w:tcPr>
          <w:p w14:paraId="54C80217" w14:textId="34B759A6"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6.977 </w:t>
            </w:r>
          </w:p>
        </w:tc>
        <w:tc>
          <w:tcPr>
            <w:tcW w:w="578" w:type="pct"/>
            <w:tcBorders>
              <w:top w:val="nil"/>
              <w:left w:val="nil"/>
              <w:bottom w:val="single" w:sz="8" w:space="0" w:color="auto"/>
              <w:right w:val="nil"/>
            </w:tcBorders>
            <w:shd w:val="clear" w:color="000000" w:fill="DEEAF6"/>
            <w:vAlign w:val="center"/>
            <w:hideMark/>
          </w:tcPr>
          <w:p w14:paraId="18050419" w14:textId="5DF0EEE3"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110.689.611 </w:t>
            </w:r>
          </w:p>
        </w:tc>
      </w:tr>
      <w:tr w:rsidR="0098072A" w:rsidRPr="00B21D24" w14:paraId="51A6B788" w14:textId="77777777" w:rsidTr="0098072A">
        <w:trPr>
          <w:trHeight w:hRule="exact" w:val="227"/>
        </w:trPr>
        <w:tc>
          <w:tcPr>
            <w:tcW w:w="1693" w:type="pct"/>
            <w:tcBorders>
              <w:top w:val="nil"/>
              <w:left w:val="nil"/>
              <w:bottom w:val="nil"/>
              <w:right w:val="nil"/>
            </w:tcBorders>
            <w:shd w:val="clear" w:color="auto" w:fill="auto"/>
            <w:noWrap/>
            <w:vAlign w:val="center"/>
            <w:hideMark/>
          </w:tcPr>
          <w:p w14:paraId="70F3BF31"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Desapropriações</w:t>
            </w:r>
          </w:p>
        </w:tc>
        <w:tc>
          <w:tcPr>
            <w:tcW w:w="678" w:type="pct"/>
            <w:tcBorders>
              <w:top w:val="nil"/>
              <w:left w:val="nil"/>
              <w:bottom w:val="nil"/>
              <w:right w:val="nil"/>
            </w:tcBorders>
            <w:shd w:val="clear" w:color="auto" w:fill="auto"/>
            <w:vAlign w:val="center"/>
            <w:hideMark/>
          </w:tcPr>
          <w:p w14:paraId="51FAA4E6"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33.892.448</w:t>
            </w:r>
          </w:p>
        </w:tc>
        <w:tc>
          <w:tcPr>
            <w:tcW w:w="677" w:type="pct"/>
            <w:tcBorders>
              <w:top w:val="nil"/>
              <w:left w:val="nil"/>
              <w:bottom w:val="nil"/>
              <w:right w:val="nil"/>
            </w:tcBorders>
            <w:shd w:val="clear" w:color="auto" w:fill="auto"/>
            <w:vAlign w:val="center"/>
            <w:hideMark/>
          </w:tcPr>
          <w:p w14:paraId="1794ED30" w14:textId="3108FA32"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270.542 </w:t>
            </w:r>
          </w:p>
        </w:tc>
        <w:tc>
          <w:tcPr>
            <w:tcW w:w="728" w:type="pct"/>
            <w:tcBorders>
              <w:top w:val="nil"/>
              <w:left w:val="nil"/>
              <w:bottom w:val="nil"/>
              <w:right w:val="nil"/>
            </w:tcBorders>
            <w:shd w:val="clear" w:color="auto" w:fill="auto"/>
            <w:vAlign w:val="center"/>
            <w:hideMark/>
          </w:tcPr>
          <w:p w14:paraId="475C17EA" w14:textId="7FEC546D"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(101.887)</w:t>
            </w:r>
          </w:p>
        </w:tc>
        <w:tc>
          <w:tcPr>
            <w:tcW w:w="646" w:type="pct"/>
            <w:tcBorders>
              <w:top w:val="nil"/>
              <w:left w:val="nil"/>
              <w:bottom w:val="nil"/>
              <w:right w:val="nil"/>
            </w:tcBorders>
            <w:shd w:val="clear" w:color="auto" w:fill="auto"/>
            <w:vAlign w:val="center"/>
            <w:hideMark/>
          </w:tcPr>
          <w:p w14:paraId="330E3ECE"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448C33A9" w14:textId="53CDDD72"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34.061.103 </w:t>
            </w:r>
          </w:p>
        </w:tc>
      </w:tr>
      <w:tr w:rsidR="0098072A" w:rsidRPr="00B21D24" w14:paraId="1EED32F2" w14:textId="77777777" w:rsidTr="0098072A">
        <w:trPr>
          <w:trHeight w:hRule="exact" w:val="227"/>
        </w:trPr>
        <w:tc>
          <w:tcPr>
            <w:tcW w:w="1693" w:type="pct"/>
            <w:tcBorders>
              <w:top w:val="nil"/>
              <w:left w:val="nil"/>
              <w:bottom w:val="nil"/>
              <w:right w:val="nil"/>
            </w:tcBorders>
            <w:shd w:val="clear" w:color="auto" w:fill="auto"/>
            <w:noWrap/>
            <w:vAlign w:val="center"/>
            <w:hideMark/>
          </w:tcPr>
          <w:p w14:paraId="03DBADC8"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Trabalhistas</w:t>
            </w:r>
          </w:p>
        </w:tc>
        <w:tc>
          <w:tcPr>
            <w:tcW w:w="678" w:type="pct"/>
            <w:tcBorders>
              <w:top w:val="nil"/>
              <w:left w:val="nil"/>
              <w:bottom w:val="nil"/>
              <w:right w:val="nil"/>
            </w:tcBorders>
            <w:shd w:val="clear" w:color="auto" w:fill="auto"/>
            <w:vAlign w:val="center"/>
            <w:hideMark/>
          </w:tcPr>
          <w:p w14:paraId="1DA68F2D"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64.143.184</w:t>
            </w:r>
          </w:p>
        </w:tc>
        <w:tc>
          <w:tcPr>
            <w:tcW w:w="677" w:type="pct"/>
            <w:tcBorders>
              <w:top w:val="nil"/>
              <w:left w:val="nil"/>
              <w:bottom w:val="nil"/>
              <w:right w:val="nil"/>
            </w:tcBorders>
            <w:shd w:val="clear" w:color="auto" w:fill="auto"/>
            <w:vAlign w:val="center"/>
            <w:hideMark/>
          </w:tcPr>
          <w:p w14:paraId="19CF69B2" w14:textId="0A280E49"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1.088.289 </w:t>
            </w:r>
          </w:p>
        </w:tc>
        <w:tc>
          <w:tcPr>
            <w:tcW w:w="728" w:type="pct"/>
            <w:tcBorders>
              <w:top w:val="nil"/>
              <w:left w:val="nil"/>
              <w:bottom w:val="nil"/>
              <w:right w:val="nil"/>
            </w:tcBorders>
            <w:shd w:val="clear" w:color="auto" w:fill="auto"/>
            <w:vAlign w:val="center"/>
            <w:hideMark/>
          </w:tcPr>
          <w:p w14:paraId="45169BEB" w14:textId="66D51A15"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(4.349.139)</w:t>
            </w:r>
          </w:p>
        </w:tc>
        <w:tc>
          <w:tcPr>
            <w:tcW w:w="646" w:type="pct"/>
            <w:tcBorders>
              <w:top w:val="nil"/>
              <w:left w:val="nil"/>
              <w:bottom w:val="nil"/>
              <w:right w:val="nil"/>
            </w:tcBorders>
            <w:shd w:val="clear" w:color="auto" w:fill="auto"/>
            <w:vAlign w:val="center"/>
            <w:hideMark/>
          </w:tcPr>
          <w:p w14:paraId="0F686070" w14:textId="49CF4B84"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6.977 </w:t>
            </w:r>
          </w:p>
        </w:tc>
        <w:tc>
          <w:tcPr>
            <w:tcW w:w="578" w:type="pct"/>
            <w:tcBorders>
              <w:top w:val="nil"/>
              <w:left w:val="nil"/>
              <w:bottom w:val="nil"/>
              <w:right w:val="nil"/>
            </w:tcBorders>
            <w:shd w:val="clear" w:color="auto" w:fill="auto"/>
            <w:noWrap/>
            <w:vAlign w:val="center"/>
            <w:hideMark/>
          </w:tcPr>
          <w:p w14:paraId="324868E7" w14:textId="3120F5C6"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60.889.311 </w:t>
            </w:r>
          </w:p>
        </w:tc>
      </w:tr>
      <w:tr w:rsidR="0098072A" w:rsidRPr="00B21D24" w14:paraId="6CE714BF" w14:textId="77777777" w:rsidTr="0098072A">
        <w:trPr>
          <w:trHeight w:hRule="exact" w:val="227"/>
        </w:trPr>
        <w:tc>
          <w:tcPr>
            <w:tcW w:w="1693" w:type="pct"/>
            <w:tcBorders>
              <w:top w:val="nil"/>
              <w:left w:val="nil"/>
              <w:bottom w:val="single" w:sz="8" w:space="0" w:color="auto"/>
              <w:right w:val="nil"/>
            </w:tcBorders>
            <w:shd w:val="clear" w:color="auto" w:fill="auto"/>
            <w:noWrap/>
            <w:vAlign w:val="center"/>
            <w:hideMark/>
          </w:tcPr>
          <w:p w14:paraId="0CC83D44"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Cíveis</w:t>
            </w:r>
          </w:p>
        </w:tc>
        <w:tc>
          <w:tcPr>
            <w:tcW w:w="678" w:type="pct"/>
            <w:tcBorders>
              <w:top w:val="nil"/>
              <w:left w:val="nil"/>
              <w:bottom w:val="single" w:sz="8" w:space="0" w:color="auto"/>
              <w:right w:val="nil"/>
            </w:tcBorders>
            <w:shd w:val="clear" w:color="auto" w:fill="auto"/>
            <w:vAlign w:val="center"/>
            <w:hideMark/>
          </w:tcPr>
          <w:p w14:paraId="78E31AE3"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15.739.197</w:t>
            </w:r>
          </w:p>
        </w:tc>
        <w:tc>
          <w:tcPr>
            <w:tcW w:w="677" w:type="pct"/>
            <w:tcBorders>
              <w:top w:val="nil"/>
              <w:left w:val="nil"/>
              <w:bottom w:val="single" w:sz="8" w:space="0" w:color="auto"/>
              <w:right w:val="nil"/>
            </w:tcBorders>
            <w:shd w:val="clear" w:color="auto" w:fill="auto"/>
            <w:vAlign w:val="center"/>
            <w:hideMark/>
          </w:tcPr>
          <w:p w14:paraId="3B8B77B7"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single" w:sz="8" w:space="0" w:color="auto"/>
              <w:right w:val="nil"/>
            </w:tcBorders>
            <w:shd w:val="clear" w:color="auto" w:fill="auto"/>
            <w:vAlign w:val="center"/>
            <w:hideMark/>
          </w:tcPr>
          <w:p w14:paraId="707C8E0E"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646" w:type="pct"/>
            <w:tcBorders>
              <w:top w:val="nil"/>
              <w:left w:val="nil"/>
              <w:bottom w:val="single" w:sz="8" w:space="0" w:color="auto"/>
              <w:right w:val="nil"/>
            </w:tcBorders>
            <w:shd w:val="clear" w:color="auto" w:fill="auto"/>
            <w:vAlign w:val="center"/>
            <w:hideMark/>
          </w:tcPr>
          <w:p w14:paraId="7562A279"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single" w:sz="8" w:space="0" w:color="auto"/>
              <w:right w:val="nil"/>
            </w:tcBorders>
            <w:shd w:val="clear" w:color="auto" w:fill="auto"/>
            <w:vAlign w:val="center"/>
            <w:hideMark/>
          </w:tcPr>
          <w:p w14:paraId="63FFF1AB" w14:textId="2891D8DE"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15.739.197 </w:t>
            </w:r>
          </w:p>
        </w:tc>
      </w:tr>
      <w:tr w:rsidR="0098072A" w:rsidRPr="00B21D24" w14:paraId="7FBB509D" w14:textId="77777777" w:rsidTr="0098072A">
        <w:trPr>
          <w:trHeight w:hRule="exact" w:val="227"/>
        </w:trPr>
        <w:tc>
          <w:tcPr>
            <w:tcW w:w="1693" w:type="pct"/>
            <w:tcBorders>
              <w:top w:val="nil"/>
              <w:left w:val="nil"/>
              <w:bottom w:val="single" w:sz="8" w:space="0" w:color="auto"/>
              <w:right w:val="nil"/>
            </w:tcBorders>
            <w:shd w:val="clear" w:color="000000" w:fill="DEEAF6"/>
            <w:noWrap/>
            <w:vAlign w:val="center"/>
            <w:hideMark/>
          </w:tcPr>
          <w:p w14:paraId="7813C53D" w14:textId="77777777" w:rsidR="00B21D24" w:rsidRPr="00B21D24" w:rsidRDefault="00B21D24" w:rsidP="00B21D24">
            <w:pPr>
              <w:spacing w:after="0" w:line="240" w:lineRule="auto"/>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Não Circulante</w:t>
            </w:r>
          </w:p>
        </w:tc>
        <w:tc>
          <w:tcPr>
            <w:tcW w:w="678" w:type="pct"/>
            <w:tcBorders>
              <w:top w:val="nil"/>
              <w:left w:val="nil"/>
              <w:bottom w:val="single" w:sz="8" w:space="0" w:color="auto"/>
              <w:right w:val="nil"/>
            </w:tcBorders>
            <w:shd w:val="clear" w:color="000000" w:fill="DEEAF6"/>
            <w:noWrap/>
            <w:vAlign w:val="center"/>
            <w:hideMark/>
          </w:tcPr>
          <w:p w14:paraId="2982BE0E" w14:textId="77777777"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1.950.942.066</w:t>
            </w:r>
          </w:p>
        </w:tc>
        <w:tc>
          <w:tcPr>
            <w:tcW w:w="677" w:type="pct"/>
            <w:tcBorders>
              <w:top w:val="nil"/>
              <w:left w:val="nil"/>
              <w:bottom w:val="single" w:sz="8" w:space="0" w:color="auto"/>
              <w:right w:val="nil"/>
            </w:tcBorders>
            <w:shd w:val="clear" w:color="000000" w:fill="DEEAF6"/>
            <w:noWrap/>
            <w:vAlign w:val="center"/>
            <w:hideMark/>
          </w:tcPr>
          <w:p w14:paraId="17C1F388" w14:textId="214B0789"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 </w:t>
            </w:r>
          </w:p>
        </w:tc>
        <w:tc>
          <w:tcPr>
            <w:tcW w:w="728" w:type="pct"/>
            <w:tcBorders>
              <w:top w:val="nil"/>
              <w:left w:val="nil"/>
              <w:bottom w:val="single" w:sz="8" w:space="0" w:color="auto"/>
              <w:right w:val="nil"/>
            </w:tcBorders>
            <w:shd w:val="clear" w:color="000000" w:fill="DEEAF6"/>
            <w:noWrap/>
            <w:vAlign w:val="center"/>
            <w:hideMark/>
          </w:tcPr>
          <w:p w14:paraId="06A87716" w14:textId="347769D8"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(23.273.166)</w:t>
            </w:r>
          </w:p>
        </w:tc>
        <w:tc>
          <w:tcPr>
            <w:tcW w:w="646" w:type="pct"/>
            <w:tcBorders>
              <w:top w:val="nil"/>
              <w:left w:val="nil"/>
              <w:bottom w:val="single" w:sz="8" w:space="0" w:color="auto"/>
              <w:right w:val="nil"/>
            </w:tcBorders>
            <w:shd w:val="clear" w:color="000000" w:fill="DEEAF6"/>
            <w:noWrap/>
            <w:vAlign w:val="center"/>
            <w:hideMark/>
          </w:tcPr>
          <w:p w14:paraId="07ED2FD5" w14:textId="5640F580"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(6.977)</w:t>
            </w:r>
          </w:p>
        </w:tc>
        <w:tc>
          <w:tcPr>
            <w:tcW w:w="578" w:type="pct"/>
            <w:tcBorders>
              <w:top w:val="nil"/>
              <w:left w:val="nil"/>
              <w:bottom w:val="single" w:sz="8" w:space="0" w:color="auto"/>
              <w:right w:val="nil"/>
            </w:tcBorders>
            <w:shd w:val="clear" w:color="000000" w:fill="DEEAF6"/>
            <w:noWrap/>
            <w:vAlign w:val="center"/>
            <w:hideMark/>
          </w:tcPr>
          <w:p w14:paraId="3150B1A2" w14:textId="628EF832" w:rsidR="00B21D24" w:rsidRPr="00B21D24" w:rsidRDefault="00B21D24" w:rsidP="00B21D24">
            <w:pPr>
              <w:spacing w:after="0" w:line="240" w:lineRule="auto"/>
              <w:jc w:val="right"/>
              <w:rPr>
                <w:rFonts w:ascii="Calibri" w:eastAsia="Times New Roman" w:hAnsi="Calibri" w:cs="Calibri"/>
                <w:b/>
                <w:bCs/>
                <w:color w:val="000000"/>
                <w:sz w:val="16"/>
                <w:szCs w:val="16"/>
              </w:rPr>
            </w:pPr>
            <w:r w:rsidRPr="00B21D24">
              <w:rPr>
                <w:rFonts w:ascii="Calibri" w:eastAsia="Times New Roman" w:hAnsi="Calibri" w:cs="Calibri"/>
                <w:b/>
                <w:bCs/>
                <w:color w:val="000000"/>
                <w:sz w:val="16"/>
                <w:szCs w:val="16"/>
              </w:rPr>
              <w:t xml:space="preserve"> 1.927.661.923 </w:t>
            </w:r>
          </w:p>
        </w:tc>
      </w:tr>
      <w:tr w:rsidR="0098072A" w:rsidRPr="00B21D24" w14:paraId="17FAA578" w14:textId="77777777" w:rsidTr="0098072A">
        <w:trPr>
          <w:trHeight w:hRule="exact" w:val="227"/>
        </w:trPr>
        <w:tc>
          <w:tcPr>
            <w:tcW w:w="1693" w:type="pct"/>
            <w:tcBorders>
              <w:top w:val="nil"/>
              <w:left w:val="nil"/>
              <w:bottom w:val="nil"/>
              <w:right w:val="nil"/>
            </w:tcBorders>
            <w:shd w:val="clear" w:color="auto" w:fill="auto"/>
            <w:noWrap/>
            <w:vAlign w:val="center"/>
            <w:hideMark/>
          </w:tcPr>
          <w:p w14:paraId="5010A327"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Desapropriações</w:t>
            </w:r>
          </w:p>
        </w:tc>
        <w:tc>
          <w:tcPr>
            <w:tcW w:w="678" w:type="pct"/>
            <w:tcBorders>
              <w:top w:val="nil"/>
              <w:left w:val="nil"/>
              <w:bottom w:val="nil"/>
              <w:right w:val="nil"/>
            </w:tcBorders>
            <w:shd w:val="clear" w:color="auto" w:fill="auto"/>
            <w:vAlign w:val="center"/>
            <w:hideMark/>
          </w:tcPr>
          <w:p w14:paraId="294FDC6C"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42.499.313</w:t>
            </w:r>
          </w:p>
        </w:tc>
        <w:tc>
          <w:tcPr>
            <w:tcW w:w="677" w:type="pct"/>
            <w:tcBorders>
              <w:top w:val="nil"/>
              <w:left w:val="nil"/>
              <w:bottom w:val="nil"/>
              <w:right w:val="nil"/>
            </w:tcBorders>
            <w:shd w:val="clear" w:color="auto" w:fill="auto"/>
            <w:vAlign w:val="center"/>
            <w:hideMark/>
          </w:tcPr>
          <w:p w14:paraId="77C7D91F"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vAlign w:val="center"/>
            <w:hideMark/>
          </w:tcPr>
          <w:p w14:paraId="48E17BD0" w14:textId="001C7EAD"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(14.597.431)</w:t>
            </w:r>
          </w:p>
        </w:tc>
        <w:tc>
          <w:tcPr>
            <w:tcW w:w="646" w:type="pct"/>
            <w:tcBorders>
              <w:top w:val="nil"/>
              <w:left w:val="nil"/>
              <w:bottom w:val="nil"/>
              <w:right w:val="nil"/>
            </w:tcBorders>
            <w:shd w:val="clear" w:color="auto" w:fill="auto"/>
            <w:vAlign w:val="center"/>
            <w:hideMark/>
          </w:tcPr>
          <w:p w14:paraId="0D57B6A7"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7906E135" w14:textId="75D2B54C"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27.901.882 </w:t>
            </w:r>
          </w:p>
        </w:tc>
      </w:tr>
      <w:tr w:rsidR="0098072A" w:rsidRPr="00B21D24" w14:paraId="73DE9996" w14:textId="77777777" w:rsidTr="0098072A">
        <w:trPr>
          <w:trHeight w:hRule="exact" w:val="227"/>
        </w:trPr>
        <w:tc>
          <w:tcPr>
            <w:tcW w:w="1693" w:type="pct"/>
            <w:tcBorders>
              <w:top w:val="nil"/>
              <w:left w:val="nil"/>
              <w:bottom w:val="nil"/>
              <w:right w:val="nil"/>
            </w:tcBorders>
            <w:shd w:val="clear" w:color="auto" w:fill="auto"/>
            <w:noWrap/>
            <w:vAlign w:val="center"/>
            <w:hideMark/>
          </w:tcPr>
          <w:p w14:paraId="05AA9FC6"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Trabalhistas</w:t>
            </w:r>
          </w:p>
        </w:tc>
        <w:tc>
          <w:tcPr>
            <w:tcW w:w="678" w:type="pct"/>
            <w:tcBorders>
              <w:top w:val="nil"/>
              <w:left w:val="nil"/>
              <w:bottom w:val="nil"/>
              <w:right w:val="nil"/>
            </w:tcBorders>
            <w:shd w:val="clear" w:color="auto" w:fill="auto"/>
            <w:vAlign w:val="center"/>
            <w:hideMark/>
          </w:tcPr>
          <w:p w14:paraId="7DC024BA"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4.956.254</w:t>
            </w:r>
          </w:p>
        </w:tc>
        <w:tc>
          <w:tcPr>
            <w:tcW w:w="677" w:type="pct"/>
            <w:tcBorders>
              <w:top w:val="nil"/>
              <w:left w:val="nil"/>
              <w:bottom w:val="nil"/>
              <w:right w:val="nil"/>
            </w:tcBorders>
            <w:shd w:val="clear" w:color="auto" w:fill="auto"/>
            <w:vAlign w:val="center"/>
            <w:hideMark/>
          </w:tcPr>
          <w:p w14:paraId="4F4DDD72"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vAlign w:val="center"/>
            <w:hideMark/>
          </w:tcPr>
          <w:p w14:paraId="79352B36" w14:textId="06D9340F"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(1.040.106)</w:t>
            </w:r>
          </w:p>
        </w:tc>
        <w:tc>
          <w:tcPr>
            <w:tcW w:w="646" w:type="pct"/>
            <w:tcBorders>
              <w:top w:val="nil"/>
              <w:left w:val="nil"/>
              <w:bottom w:val="nil"/>
              <w:right w:val="nil"/>
            </w:tcBorders>
            <w:shd w:val="clear" w:color="auto" w:fill="auto"/>
            <w:vAlign w:val="center"/>
            <w:hideMark/>
          </w:tcPr>
          <w:p w14:paraId="07C7BDCB" w14:textId="1B6393FD"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(6.977)</w:t>
            </w:r>
          </w:p>
        </w:tc>
        <w:tc>
          <w:tcPr>
            <w:tcW w:w="578" w:type="pct"/>
            <w:tcBorders>
              <w:top w:val="nil"/>
              <w:left w:val="nil"/>
              <w:bottom w:val="nil"/>
              <w:right w:val="nil"/>
            </w:tcBorders>
            <w:shd w:val="clear" w:color="auto" w:fill="auto"/>
            <w:noWrap/>
            <w:vAlign w:val="center"/>
            <w:hideMark/>
          </w:tcPr>
          <w:p w14:paraId="14C8BBF0" w14:textId="337FD2A2"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3.909.171 </w:t>
            </w:r>
          </w:p>
        </w:tc>
      </w:tr>
      <w:tr w:rsidR="0098072A" w:rsidRPr="00B21D24" w14:paraId="18F4D46A" w14:textId="77777777" w:rsidTr="0098072A">
        <w:trPr>
          <w:trHeight w:hRule="exact" w:val="227"/>
        </w:trPr>
        <w:tc>
          <w:tcPr>
            <w:tcW w:w="1693" w:type="pct"/>
            <w:tcBorders>
              <w:top w:val="nil"/>
              <w:left w:val="nil"/>
              <w:bottom w:val="nil"/>
              <w:right w:val="nil"/>
            </w:tcBorders>
            <w:shd w:val="clear" w:color="auto" w:fill="auto"/>
            <w:noWrap/>
            <w:vAlign w:val="center"/>
            <w:hideMark/>
          </w:tcPr>
          <w:p w14:paraId="3DB7008F"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Cíveis</w:t>
            </w:r>
          </w:p>
        </w:tc>
        <w:tc>
          <w:tcPr>
            <w:tcW w:w="678" w:type="pct"/>
            <w:tcBorders>
              <w:top w:val="nil"/>
              <w:left w:val="nil"/>
              <w:bottom w:val="nil"/>
              <w:right w:val="nil"/>
            </w:tcBorders>
            <w:shd w:val="clear" w:color="auto" w:fill="auto"/>
            <w:vAlign w:val="center"/>
            <w:hideMark/>
          </w:tcPr>
          <w:p w14:paraId="309D4B89"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1.901.600.953</w:t>
            </w:r>
          </w:p>
        </w:tc>
        <w:tc>
          <w:tcPr>
            <w:tcW w:w="677" w:type="pct"/>
            <w:tcBorders>
              <w:top w:val="nil"/>
              <w:left w:val="nil"/>
              <w:bottom w:val="nil"/>
              <w:right w:val="nil"/>
            </w:tcBorders>
            <w:shd w:val="clear" w:color="auto" w:fill="auto"/>
            <w:vAlign w:val="center"/>
            <w:hideMark/>
          </w:tcPr>
          <w:p w14:paraId="1D679B97"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vAlign w:val="center"/>
            <w:hideMark/>
          </w:tcPr>
          <w:p w14:paraId="2AC8BB03" w14:textId="63392456"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(7.635.629)</w:t>
            </w:r>
          </w:p>
        </w:tc>
        <w:tc>
          <w:tcPr>
            <w:tcW w:w="646" w:type="pct"/>
            <w:tcBorders>
              <w:top w:val="nil"/>
              <w:left w:val="nil"/>
              <w:bottom w:val="nil"/>
              <w:right w:val="nil"/>
            </w:tcBorders>
            <w:shd w:val="clear" w:color="auto" w:fill="auto"/>
            <w:vAlign w:val="center"/>
            <w:hideMark/>
          </w:tcPr>
          <w:p w14:paraId="71BB1CAE"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32484110" w14:textId="2AFB3086"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1.893.965.324 </w:t>
            </w:r>
          </w:p>
        </w:tc>
      </w:tr>
      <w:tr w:rsidR="0098072A" w:rsidRPr="00B21D24" w14:paraId="47E18290" w14:textId="77777777" w:rsidTr="0098072A">
        <w:trPr>
          <w:trHeight w:hRule="exact" w:val="227"/>
        </w:trPr>
        <w:tc>
          <w:tcPr>
            <w:tcW w:w="1693" w:type="pct"/>
            <w:tcBorders>
              <w:top w:val="nil"/>
              <w:left w:val="nil"/>
              <w:bottom w:val="nil"/>
              <w:right w:val="nil"/>
            </w:tcBorders>
            <w:shd w:val="clear" w:color="auto" w:fill="auto"/>
            <w:noWrap/>
            <w:vAlign w:val="center"/>
            <w:hideMark/>
          </w:tcPr>
          <w:p w14:paraId="03859292"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Tributárias</w:t>
            </w:r>
          </w:p>
        </w:tc>
        <w:tc>
          <w:tcPr>
            <w:tcW w:w="678" w:type="pct"/>
            <w:tcBorders>
              <w:top w:val="nil"/>
              <w:left w:val="nil"/>
              <w:bottom w:val="nil"/>
              <w:right w:val="nil"/>
            </w:tcBorders>
            <w:shd w:val="clear" w:color="auto" w:fill="auto"/>
            <w:vAlign w:val="center"/>
            <w:hideMark/>
          </w:tcPr>
          <w:p w14:paraId="36549706"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1.345.775</w:t>
            </w:r>
          </w:p>
        </w:tc>
        <w:tc>
          <w:tcPr>
            <w:tcW w:w="677" w:type="pct"/>
            <w:tcBorders>
              <w:top w:val="nil"/>
              <w:left w:val="nil"/>
              <w:bottom w:val="nil"/>
              <w:right w:val="nil"/>
            </w:tcBorders>
            <w:shd w:val="clear" w:color="auto" w:fill="auto"/>
            <w:vAlign w:val="center"/>
            <w:hideMark/>
          </w:tcPr>
          <w:p w14:paraId="66328C8E"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nil"/>
              <w:right w:val="nil"/>
            </w:tcBorders>
            <w:shd w:val="clear" w:color="auto" w:fill="auto"/>
            <w:vAlign w:val="center"/>
            <w:hideMark/>
          </w:tcPr>
          <w:p w14:paraId="3C471973"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646" w:type="pct"/>
            <w:tcBorders>
              <w:top w:val="nil"/>
              <w:left w:val="nil"/>
              <w:bottom w:val="nil"/>
              <w:right w:val="nil"/>
            </w:tcBorders>
            <w:shd w:val="clear" w:color="auto" w:fill="auto"/>
            <w:vAlign w:val="center"/>
            <w:hideMark/>
          </w:tcPr>
          <w:p w14:paraId="0EA81FE8"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nil"/>
              <w:right w:val="nil"/>
            </w:tcBorders>
            <w:shd w:val="clear" w:color="auto" w:fill="auto"/>
            <w:noWrap/>
            <w:vAlign w:val="center"/>
            <w:hideMark/>
          </w:tcPr>
          <w:p w14:paraId="62DCB390" w14:textId="4C0079FA"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1.345.775 </w:t>
            </w:r>
          </w:p>
        </w:tc>
      </w:tr>
      <w:tr w:rsidR="0098072A" w:rsidRPr="00B21D24" w14:paraId="24580C0C" w14:textId="77777777" w:rsidTr="0098072A">
        <w:trPr>
          <w:trHeight w:hRule="exact" w:val="227"/>
        </w:trPr>
        <w:tc>
          <w:tcPr>
            <w:tcW w:w="1693" w:type="pct"/>
            <w:tcBorders>
              <w:top w:val="nil"/>
              <w:left w:val="nil"/>
              <w:bottom w:val="single" w:sz="8" w:space="0" w:color="auto"/>
              <w:right w:val="nil"/>
            </w:tcBorders>
            <w:shd w:val="clear" w:color="auto" w:fill="auto"/>
            <w:noWrap/>
            <w:vAlign w:val="center"/>
            <w:hideMark/>
          </w:tcPr>
          <w:p w14:paraId="315AB3B1" w14:textId="77777777" w:rsidR="00B21D24" w:rsidRPr="00B21D24" w:rsidRDefault="00B21D24" w:rsidP="00B21D24">
            <w:pPr>
              <w:spacing w:after="0" w:line="240" w:lineRule="auto"/>
              <w:rPr>
                <w:rFonts w:ascii="Calibri" w:eastAsia="Times New Roman" w:hAnsi="Calibri" w:cs="Calibri"/>
                <w:color w:val="000000"/>
                <w:sz w:val="16"/>
                <w:szCs w:val="16"/>
              </w:rPr>
            </w:pPr>
            <w:r w:rsidRPr="00B21D24">
              <w:rPr>
                <w:rFonts w:ascii="Calibri" w:eastAsia="Times New Roman" w:hAnsi="Calibri" w:cs="Calibri"/>
                <w:color w:val="000000"/>
                <w:sz w:val="16"/>
                <w:szCs w:val="16"/>
              </w:rPr>
              <w:t>Previdenciárias</w:t>
            </w:r>
          </w:p>
        </w:tc>
        <w:tc>
          <w:tcPr>
            <w:tcW w:w="678" w:type="pct"/>
            <w:tcBorders>
              <w:top w:val="nil"/>
              <w:left w:val="nil"/>
              <w:bottom w:val="single" w:sz="8" w:space="0" w:color="auto"/>
              <w:right w:val="nil"/>
            </w:tcBorders>
            <w:shd w:val="clear" w:color="auto" w:fill="auto"/>
            <w:noWrap/>
            <w:vAlign w:val="center"/>
            <w:hideMark/>
          </w:tcPr>
          <w:p w14:paraId="7FAC5DEC"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539.771</w:t>
            </w:r>
          </w:p>
        </w:tc>
        <w:tc>
          <w:tcPr>
            <w:tcW w:w="677" w:type="pct"/>
            <w:tcBorders>
              <w:top w:val="nil"/>
              <w:left w:val="nil"/>
              <w:bottom w:val="single" w:sz="8" w:space="0" w:color="auto"/>
              <w:right w:val="nil"/>
            </w:tcBorders>
            <w:shd w:val="clear" w:color="auto" w:fill="auto"/>
            <w:noWrap/>
            <w:vAlign w:val="center"/>
            <w:hideMark/>
          </w:tcPr>
          <w:p w14:paraId="129C11A9"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728" w:type="pct"/>
            <w:tcBorders>
              <w:top w:val="nil"/>
              <w:left w:val="nil"/>
              <w:bottom w:val="single" w:sz="8" w:space="0" w:color="auto"/>
              <w:right w:val="nil"/>
            </w:tcBorders>
            <w:shd w:val="clear" w:color="auto" w:fill="auto"/>
            <w:noWrap/>
            <w:vAlign w:val="center"/>
            <w:hideMark/>
          </w:tcPr>
          <w:p w14:paraId="085E3BAB"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646" w:type="pct"/>
            <w:tcBorders>
              <w:top w:val="nil"/>
              <w:left w:val="nil"/>
              <w:bottom w:val="single" w:sz="8" w:space="0" w:color="auto"/>
              <w:right w:val="nil"/>
            </w:tcBorders>
            <w:shd w:val="clear" w:color="auto" w:fill="auto"/>
            <w:noWrap/>
            <w:vAlign w:val="center"/>
            <w:hideMark/>
          </w:tcPr>
          <w:p w14:paraId="2223B63C" w14:textId="77777777"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 - </w:t>
            </w:r>
          </w:p>
        </w:tc>
        <w:tc>
          <w:tcPr>
            <w:tcW w:w="578" w:type="pct"/>
            <w:tcBorders>
              <w:top w:val="nil"/>
              <w:left w:val="nil"/>
              <w:bottom w:val="single" w:sz="8" w:space="0" w:color="auto"/>
              <w:right w:val="nil"/>
            </w:tcBorders>
            <w:shd w:val="clear" w:color="auto" w:fill="auto"/>
            <w:noWrap/>
            <w:vAlign w:val="center"/>
            <w:hideMark/>
          </w:tcPr>
          <w:p w14:paraId="4F12EE98" w14:textId="4BB93670" w:rsidR="00B21D24" w:rsidRPr="00B21D24" w:rsidRDefault="00B21D24" w:rsidP="00B21D24">
            <w:pPr>
              <w:spacing w:after="0" w:line="240" w:lineRule="auto"/>
              <w:jc w:val="right"/>
              <w:rPr>
                <w:rFonts w:ascii="Calibri" w:eastAsia="Times New Roman" w:hAnsi="Calibri" w:cs="Calibri"/>
                <w:color w:val="000000"/>
                <w:sz w:val="16"/>
                <w:szCs w:val="16"/>
              </w:rPr>
            </w:pPr>
            <w:r w:rsidRPr="00B21D24">
              <w:rPr>
                <w:rFonts w:ascii="Calibri" w:eastAsia="Times New Roman" w:hAnsi="Calibri" w:cs="Calibri"/>
                <w:color w:val="000000"/>
                <w:sz w:val="16"/>
                <w:szCs w:val="16"/>
              </w:rPr>
              <w:t xml:space="preserve">539.771 </w:t>
            </w:r>
          </w:p>
        </w:tc>
      </w:tr>
    </w:tbl>
    <w:p w14:paraId="1481CCDB" w14:textId="759589A9" w:rsidR="00D0297F" w:rsidRDefault="00D0297F" w:rsidP="006E5BCC">
      <w:pPr>
        <w:pStyle w:val="Textoembloco"/>
        <w:spacing w:after="0" w:line="240" w:lineRule="auto"/>
        <w:ind w:left="0" w:right="0"/>
        <w:rPr>
          <w:rFonts w:asciiTheme="minorHAnsi" w:hAnsiTheme="minorHAnsi" w:cstheme="minorHAnsi"/>
          <w:sz w:val="16"/>
          <w:szCs w:val="16"/>
          <w:shd w:val="clear" w:color="auto" w:fill="FFFFFF"/>
        </w:rPr>
      </w:pPr>
    </w:p>
    <w:p w14:paraId="567FD8A5" w14:textId="301BADB8" w:rsidR="008914D1" w:rsidRPr="00F56B6A" w:rsidRDefault="008914D1" w:rsidP="008914D1">
      <w:pPr>
        <w:pStyle w:val="Textoembloco"/>
        <w:spacing w:line="264" w:lineRule="auto"/>
        <w:ind w:left="0" w:right="0"/>
        <w:rPr>
          <w:rFonts w:asciiTheme="minorHAnsi" w:hAnsiTheme="minorHAnsi" w:cstheme="minorHAnsi"/>
          <w:bCs w:val="0"/>
        </w:rPr>
      </w:pPr>
      <w:r w:rsidRPr="00F56B6A">
        <w:rPr>
          <w:rFonts w:asciiTheme="minorHAnsi" w:hAnsiTheme="minorHAnsi" w:cstheme="minorHAnsi"/>
          <w:bCs w:val="0"/>
        </w:rPr>
        <w:t>Além disso, houve no período pagamento de sentenças judiciais no montante de R$</w:t>
      </w:r>
      <w:r w:rsidR="00456676">
        <w:rPr>
          <w:rFonts w:asciiTheme="minorHAnsi" w:hAnsiTheme="minorHAnsi" w:cstheme="minorHAnsi"/>
          <w:bCs w:val="0"/>
        </w:rPr>
        <w:t xml:space="preserve"> 608</w:t>
      </w:r>
      <w:r w:rsidR="00037150">
        <w:rPr>
          <w:rFonts w:asciiTheme="minorHAnsi" w:hAnsiTheme="minorHAnsi" w:cstheme="minorHAnsi"/>
          <w:bCs w:val="0"/>
        </w:rPr>
        <w:t>,55</w:t>
      </w:r>
      <w:r w:rsidRPr="00F56B6A">
        <w:rPr>
          <w:rFonts w:asciiTheme="minorHAnsi" w:hAnsiTheme="minorHAnsi" w:cstheme="minorHAnsi"/>
          <w:bCs w:val="0"/>
        </w:rPr>
        <w:t xml:space="preserve"> </w:t>
      </w:r>
      <w:r w:rsidR="00037150">
        <w:rPr>
          <w:rFonts w:asciiTheme="minorHAnsi" w:hAnsiTheme="minorHAnsi" w:cstheme="minorHAnsi"/>
          <w:bCs w:val="0"/>
        </w:rPr>
        <w:t>mil</w:t>
      </w:r>
      <w:r w:rsidRPr="00F56B6A">
        <w:rPr>
          <w:rFonts w:asciiTheme="minorHAnsi" w:hAnsiTheme="minorHAnsi" w:cstheme="minorHAnsi"/>
          <w:bCs w:val="0"/>
        </w:rPr>
        <w:t>, o qual compõe o saldo apresentado na rubrica “Provisão/Reversão para Contingências” da Demonstração do Resultado do</w:t>
      </w:r>
      <w:r w:rsidR="002E23A1">
        <w:rPr>
          <w:rFonts w:asciiTheme="minorHAnsi" w:hAnsiTheme="minorHAnsi" w:cstheme="minorHAnsi"/>
          <w:bCs w:val="0"/>
        </w:rPr>
        <w:t xml:space="preserve"> primeiro trimestre de 2024</w:t>
      </w:r>
      <w:r>
        <w:rPr>
          <w:rFonts w:asciiTheme="minorHAnsi" w:hAnsiTheme="minorHAnsi" w:cstheme="minorHAnsi"/>
          <w:bCs w:val="0"/>
        </w:rPr>
        <w:t>:</w:t>
      </w:r>
    </w:p>
    <w:tbl>
      <w:tblPr>
        <w:tblW w:w="5000" w:type="pct"/>
        <w:tblCellMar>
          <w:left w:w="70" w:type="dxa"/>
          <w:right w:w="70" w:type="dxa"/>
        </w:tblCellMar>
        <w:tblLook w:val="04A0" w:firstRow="1" w:lastRow="0" w:firstColumn="1" w:lastColumn="0" w:noHBand="0" w:noVBand="1"/>
      </w:tblPr>
      <w:tblGrid>
        <w:gridCol w:w="8165"/>
        <w:gridCol w:w="1151"/>
        <w:gridCol w:w="1151"/>
      </w:tblGrid>
      <w:tr w:rsidR="008914D1" w:rsidRPr="00A242C3" w14:paraId="7E96420A" w14:textId="77777777" w:rsidTr="00B5689C">
        <w:trPr>
          <w:trHeight w:val="227"/>
        </w:trPr>
        <w:tc>
          <w:tcPr>
            <w:tcW w:w="8165" w:type="dxa"/>
            <w:tcBorders>
              <w:top w:val="nil"/>
              <w:left w:val="nil"/>
              <w:bottom w:val="single" w:sz="4" w:space="0" w:color="auto"/>
              <w:right w:val="nil"/>
            </w:tcBorders>
            <w:shd w:val="clear" w:color="000000" w:fill="DDEBF7"/>
            <w:noWrap/>
            <w:vAlign w:val="center"/>
            <w:hideMark/>
          </w:tcPr>
          <w:p w14:paraId="01A717A0" w14:textId="77777777" w:rsidR="008914D1" w:rsidRPr="00A242C3" w:rsidRDefault="008914D1">
            <w:pPr>
              <w:spacing w:after="0" w:line="240" w:lineRule="auto"/>
              <w:rPr>
                <w:rFonts w:ascii="Calibri" w:eastAsia="Times New Roman" w:hAnsi="Calibri" w:cs="Calibri"/>
                <w:b/>
                <w:bCs/>
                <w:sz w:val="16"/>
                <w:szCs w:val="16"/>
              </w:rPr>
            </w:pPr>
            <w:r w:rsidRPr="00A242C3">
              <w:rPr>
                <w:rFonts w:ascii="Calibri" w:eastAsia="Times New Roman" w:hAnsi="Calibri" w:cs="Calibri"/>
                <w:b/>
                <w:bCs/>
                <w:sz w:val="16"/>
                <w:szCs w:val="16"/>
              </w:rPr>
              <w:t xml:space="preserve">PAGAMENTO DE SENTENÇAS JUDICIAIS </w:t>
            </w:r>
          </w:p>
        </w:tc>
        <w:tc>
          <w:tcPr>
            <w:tcW w:w="1151" w:type="dxa"/>
            <w:tcBorders>
              <w:top w:val="nil"/>
              <w:left w:val="nil"/>
              <w:bottom w:val="single" w:sz="4" w:space="0" w:color="auto"/>
              <w:right w:val="nil"/>
            </w:tcBorders>
            <w:shd w:val="clear" w:color="000000" w:fill="DDEBF7"/>
            <w:vAlign w:val="center"/>
            <w:hideMark/>
          </w:tcPr>
          <w:p w14:paraId="0241F4E6" w14:textId="69BE34C1" w:rsidR="008914D1" w:rsidRPr="00A242C3" w:rsidRDefault="008914D1">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31/</w:t>
            </w:r>
            <w:r w:rsidR="002E23A1">
              <w:rPr>
                <w:rFonts w:ascii="Calibri" w:eastAsia="Times New Roman" w:hAnsi="Calibri" w:cs="Calibri"/>
                <w:b/>
                <w:bCs/>
                <w:sz w:val="16"/>
                <w:szCs w:val="16"/>
              </w:rPr>
              <w:t>03</w:t>
            </w:r>
            <w:r w:rsidRPr="00A242C3">
              <w:rPr>
                <w:rFonts w:ascii="Calibri" w:eastAsia="Times New Roman" w:hAnsi="Calibri" w:cs="Calibri"/>
                <w:b/>
                <w:bCs/>
                <w:sz w:val="16"/>
                <w:szCs w:val="16"/>
              </w:rPr>
              <w:t>/202</w:t>
            </w:r>
            <w:r w:rsidR="002E23A1">
              <w:rPr>
                <w:rFonts w:ascii="Calibri" w:eastAsia="Times New Roman" w:hAnsi="Calibri" w:cs="Calibri"/>
                <w:b/>
                <w:bCs/>
                <w:sz w:val="16"/>
                <w:szCs w:val="16"/>
              </w:rPr>
              <w:t>4</w:t>
            </w:r>
          </w:p>
        </w:tc>
        <w:tc>
          <w:tcPr>
            <w:tcW w:w="1151" w:type="dxa"/>
            <w:tcBorders>
              <w:top w:val="nil"/>
              <w:left w:val="nil"/>
              <w:bottom w:val="single" w:sz="4" w:space="0" w:color="auto"/>
              <w:right w:val="nil"/>
            </w:tcBorders>
            <w:shd w:val="clear" w:color="000000" w:fill="DDEBF7"/>
            <w:vAlign w:val="center"/>
            <w:hideMark/>
          </w:tcPr>
          <w:p w14:paraId="375CCFA2" w14:textId="09450511" w:rsidR="008914D1" w:rsidRPr="00A242C3" w:rsidRDefault="002E23A1">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31/12/2023</w:t>
            </w:r>
          </w:p>
        </w:tc>
      </w:tr>
      <w:tr w:rsidR="008914D1" w:rsidRPr="00A242C3" w14:paraId="6C13876F" w14:textId="77777777" w:rsidTr="00B5689C">
        <w:trPr>
          <w:trHeight w:val="227"/>
        </w:trPr>
        <w:tc>
          <w:tcPr>
            <w:tcW w:w="8165" w:type="dxa"/>
            <w:tcBorders>
              <w:top w:val="nil"/>
              <w:left w:val="nil"/>
              <w:bottom w:val="nil"/>
              <w:right w:val="nil"/>
            </w:tcBorders>
            <w:shd w:val="clear" w:color="auto" w:fill="auto"/>
            <w:noWrap/>
            <w:vAlign w:val="center"/>
            <w:hideMark/>
          </w:tcPr>
          <w:p w14:paraId="65707676" w14:textId="77777777" w:rsidR="008914D1" w:rsidRPr="00A242C3" w:rsidRDefault="008914D1">
            <w:pPr>
              <w:spacing w:after="0" w:line="240" w:lineRule="auto"/>
              <w:rPr>
                <w:rFonts w:ascii="Calibri" w:eastAsia="Times New Roman" w:hAnsi="Calibri" w:cs="Calibri"/>
                <w:sz w:val="16"/>
                <w:szCs w:val="16"/>
              </w:rPr>
            </w:pPr>
            <w:r w:rsidRPr="00A242C3">
              <w:rPr>
                <w:rFonts w:ascii="Calibri" w:eastAsia="Times New Roman" w:hAnsi="Calibri" w:cs="Calibri"/>
                <w:sz w:val="16"/>
                <w:szCs w:val="16"/>
              </w:rPr>
              <w:t>Sentenças Judiciais</w:t>
            </w:r>
          </w:p>
        </w:tc>
        <w:tc>
          <w:tcPr>
            <w:tcW w:w="1151" w:type="dxa"/>
            <w:tcBorders>
              <w:top w:val="nil"/>
              <w:left w:val="nil"/>
              <w:bottom w:val="nil"/>
              <w:right w:val="nil"/>
            </w:tcBorders>
            <w:shd w:val="clear" w:color="auto" w:fill="auto"/>
            <w:vAlign w:val="center"/>
            <w:hideMark/>
          </w:tcPr>
          <w:p w14:paraId="267D7E63" w14:textId="4A993D24" w:rsidR="008914D1" w:rsidRPr="00A242C3" w:rsidRDefault="008914D1">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456676">
              <w:rPr>
                <w:rFonts w:ascii="Calibri" w:eastAsia="Times New Roman" w:hAnsi="Calibri" w:cs="Calibri"/>
                <w:sz w:val="16"/>
                <w:szCs w:val="16"/>
              </w:rPr>
              <w:t>608.554</w:t>
            </w:r>
            <w:r w:rsidRPr="00A242C3">
              <w:rPr>
                <w:rFonts w:ascii="Calibri" w:eastAsia="Times New Roman" w:hAnsi="Calibri" w:cs="Calibri"/>
                <w:sz w:val="16"/>
                <w:szCs w:val="16"/>
              </w:rPr>
              <w:t>)</w:t>
            </w:r>
          </w:p>
        </w:tc>
        <w:tc>
          <w:tcPr>
            <w:tcW w:w="1151" w:type="dxa"/>
            <w:tcBorders>
              <w:top w:val="nil"/>
              <w:left w:val="nil"/>
              <w:bottom w:val="nil"/>
              <w:right w:val="nil"/>
            </w:tcBorders>
            <w:shd w:val="clear" w:color="auto" w:fill="auto"/>
            <w:vAlign w:val="center"/>
            <w:hideMark/>
          </w:tcPr>
          <w:p w14:paraId="3766568F" w14:textId="0EF6DEB7" w:rsidR="008914D1" w:rsidRPr="00A242C3" w:rsidRDefault="002E23A1">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Pr="00A242C3">
              <w:rPr>
                <w:rFonts w:ascii="Calibri" w:eastAsia="Times New Roman" w:hAnsi="Calibri" w:cs="Calibri"/>
                <w:sz w:val="16"/>
                <w:szCs w:val="16"/>
              </w:rPr>
              <w:t>2.586.92</w:t>
            </w:r>
            <w:r>
              <w:rPr>
                <w:rFonts w:ascii="Calibri" w:eastAsia="Times New Roman" w:hAnsi="Calibri" w:cs="Calibri"/>
                <w:sz w:val="16"/>
                <w:szCs w:val="16"/>
              </w:rPr>
              <w:t>7</w:t>
            </w:r>
            <w:r w:rsidRPr="00A242C3">
              <w:rPr>
                <w:rFonts w:ascii="Calibri" w:eastAsia="Times New Roman" w:hAnsi="Calibri" w:cs="Calibri"/>
                <w:sz w:val="16"/>
                <w:szCs w:val="16"/>
              </w:rPr>
              <w:t>)</w:t>
            </w:r>
          </w:p>
        </w:tc>
      </w:tr>
      <w:tr w:rsidR="008914D1" w:rsidRPr="00A242C3" w14:paraId="572B50BB" w14:textId="77777777" w:rsidTr="00B5689C">
        <w:trPr>
          <w:trHeight w:val="227"/>
        </w:trPr>
        <w:tc>
          <w:tcPr>
            <w:tcW w:w="8165" w:type="dxa"/>
            <w:tcBorders>
              <w:top w:val="single" w:sz="4" w:space="0" w:color="auto"/>
              <w:left w:val="nil"/>
              <w:bottom w:val="single" w:sz="4" w:space="0" w:color="auto"/>
              <w:right w:val="nil"/>
            </w:tcBorders>
            <w:shd w:val="clear" w:color="000000" w:fill="DDEBF7"/>
            <w:noWrap/>
            <w:vAlign w:val="center"/>
            <w:hideMark/>
          </w:tcPr>
          <w:p w14:paraId="443FA536" w14:textId="77777777" w:rsidR="008914D1" w:rsidRPr="00A242C3" w:rsidRDefault="008914D1">
            <w:pPr>
              <w:spacing w:after="0" w:line="240" w:lineRule="auto"/>
              <w:rPr>
                <w:rFonts w:ascii="Calibri" w:eastAsia="Times New Roman" w:hAnsi="Calibri" w:cs="Calibri"/>
                <w:b/>
                <w:bCs/>
                <w:sz w:val="16"/>
                <w:szCs w:val="16"/>
              </w:rPr>
            </w:pPr>
            <w:r w:rsidRPr="00A242C3">
              <w:rPr>
                <w:rFonts w:ascii="Calibri" w:eastAsia="Times New Roman" w:hAnsi="Calibri" w:cs="Calibri"/>
                <w:b/>
                <w:bCs/>
                <w:sz w:val="16"/>
                <w:szCs w:val="16"/>
              </w:rPr>
              <w:t xml:space="preserve">TOTAL </w:t>
            </w:r>
          </w:p>
        </w:tc>
        <w:tc>
          <w:tcPr>
            <w:tcW w:w="1151" w:type="dxa"/>
            <w:tcBorders>
              <w:top w:val="single" w:sz="4" w:space="0" w:color="auto"/>
              <w:left w:val="nil"/>
              <w:bottom w:val="single" w:sz="4" w:space="0" w:color="auto"/>
              <w:right w:val="nil"/>
            </w:tcBorders>
            <w:shd w:val="clear" w:color="000000" w:fill="DDEBF7"/>
            <w:noWrap/>
            <w:vAlign w:val="center"/>
            <w:hideMark/>
          </w:tcPr>
          <w:p w14:paraId="58B1D412" w14:textId="6B1656E0" w:rsidR="008914D1" w:rsidRPr="00456676" w:rsidRDefault="00456676">
            <w:pPr>
              <w:spacing w:after="0" w:line="240" w:lineRule="auto"/>
              <w:jc w:val="right"/>
              <w:rPr>
                <w:rFonts w:ascii="Calibri" w:eastAsia="Times New Roman" w:hAnsi="Calibri" w:cs="Calibri"/>
                <w:b/>
                <w:bCs/>
                <w:sz w:val="16"/>
                <w:szCs w:val="16"/>
              </w:rPr>
            </w:pPr>
            <w:r w:rsidRPr="00456676">
              <w:rPr>
                <w:rFonts w:ascii="Calibri" w:eastAsia="Times New Roman" w:hAnsi="Calibri" w:cs="Calibri"/>
                <w:b/>
                <w:bCs/>
                <w:sz w:val="16"/>
                <w:szCs w:val="16"/>
              </w:rPr>
              <w:t>(608.554)</w:t>
            </w:r>
          </w:p>
        </w:tc>
        <w:tc>
          <w:tcPr>
            <w:tcW w:w="1151" w:type="dxa"/>
            <w:tcBorders>
              <w:top w:val="single" w:sz="4" w:space="0" w:color="auto"/>
              <w:left w:val="nil"/>
              <w:bottom w:val="single" w:sz="4" w:space="0" w:color="auto"/>
              <w:right w:val="nil"/>
            </w:tcBorders>
            <w:shd w:val="clear" w:color="000000" w:fill="DDEBF7"/>
            <w:noWrap/>
            <w:vAlign w:val="center"/>
            <w:hideMark/>
          </w:tcPr>
          <w:p w14:paraId="39218D02" w14:textId="7A6C9C17" w:rsidR="008914D1" w:rsidRPr="00A242C3" w:rsidRDefault="002E23A1">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(2.586.927)</w:t>
            </w:r>
          </w:p>
        </w:tc>
      </w:tr>
    </w:tbl>
    <w:p w14:paraId="529C9B0A" w14:textId="77777777" w:rsidR="00D0297F" w:rsidRPr="00E743E1" w:rsidRDefault="00D0297F" w:rsidP="00DE0B84">
      <w:pPr>
        <w:numPr>
          <w:ilvl w:val="0"/>
          <w:numId w:val="8"/>
        </w:numPr>
        <w:spacing w:before="120"/>
        <w:ind w:left="567" w:hanging="567"/>
        <w:jc w:val="both"/>
        <w:rPr>
          <w:rFonts w:cstheme="minorHAnsi"/>
          <w:b/>
          <w:sz w:val="20"/>
          <w:szCs w:val="20"/>
          <w:u w:val="single"/>
        </w:rPr>
      </w:pPr>
      <w:r w:rsidRPr="00E743E1">
        <w:rPr>
          <w:rFonts w:cstheme="minorHAnsi"/>
          <w:b/>
          <w:sz w:val="20"/>
          <w:szCs w:val="20"/>
          <w:u w:val="single"/>
        </w:rPr>
        <w:t>Contingências de Ações Cíveis:</w:t>
      </w:r>
    </w:p>
    <w:p w14:paraId="5CF4B249" w14:textId="77777777"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32688AB0" w14:textId="1F2213F8"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As principais ações com riscos de prováveis perdas são das varas cíveis, dentre as quais se destacam:</w:t>
      </w:r>
    </w:p>
    <w:p w14:paraId="6F9D588D" w14:textId="00E08DBE" w:rsidR="00D0297F" w:rsidRPr="001E12E7" w:rsidRDefault="005139FA" w:rsidP="00C000AF">
      <w:pPr>
        <w:pStyle w:val="PargrafodaLista"/>
        <w:numPr>
          <w:ilvl w:val="0"/>
          <w:numId w:val="14"/>
        </w:numPr>
        <w:spacing w:line="240" w:lineRule="auto"/>
        <w:jc w:val="both"/>
        <w:rPr>
          <w:rFonts w:cstheme="minorHAnsi"/>
          <w:sz w:val="20"/>
          <w:szCs w:val="20"/>
        </w:rPr>
      </w:pPr>
      <w:r w:rsidRPr="001E12E7">
        <w:rPr>
          <w:rFonts w:cstheme="minorHAnsi"/>
          <w:sz w:val="20"/>
          <w:szCs w:val="20"/>
        </w:rPr>
        <w:t>Processo n</w:t>
      </w:r>
      <w:r w:rsidR="0026406A" w:rsidRPr="001E12E7">
        <w:rPr>
          <w:rFonts w:cstheme="minorHAnsi"/>
          <w:sz w:val="20"/>
          <w:szCs w:val="20"/>
        </w:rPr>
        <w:t>°</w:t>
      </w:r>
      <w:r w:rsidRPr="001E12E7">
        <w:rPr>
          <w:rFonts w:cstheme="minorHAnsi"/>
          <w:sz w:val="20"/>
          <w:szCs w:val="20"/>
        </w:rPr>
        <w:t xml:space="preserve"> </w:t>
      </w:r>
      <w:r w:rsidR="00D0297F" w:rsidRPr="001E12E7">
        <w:rPr>
          <w:rFonts w:cstheme="minorHAnsi"/>
          <w:sz w:val="20"/>
          <w:szCs w:val="20"/>
        </w:rPr>
        <w:t xml:space="preserve">0034224-66.2009.4.01.3400: Trata-se de ação ajuizada em desfavor da </w:t>
      </w:r>
      <w:r w:rsidR="00427E0C" w:rsidRPr="001E12E7">
        <w:rPr>
          <w:rFonts w:cstheme="minorHAnsi"/>
          <w:sz w:val="20"/>
          <w:szCs w:val="20"/>
        </w:rPr>
        <w:t>VALEC</w:t>
      </w:r>
      <w:r w:rsidR="00D0297F" w:rsidRPr="001E12E7">
        <w:rPr>
          <w:rFonts w:cstheme="minorHAnsi"/>
          <w:sz w:val="20"/>
          <w:szCs w:val="20"/>
        </w:rPr>
        <w:t xml:space="preserve"> em que se pleiteia o reequilíbrio econômico-financeiro do Contrato</w:t>
      </w:r>
      <w:r w:rsidR="00CE4411" w:rsidRPr="001E12E7">
        <w:rPr>
          <w:rFonts w:cstheme="minorHAnsi"/>
          <w:sz w:val="20"/>
          <w:szCs w:val="20"/>
        </w:rPr>
        <w:t xml:space="preserve"> n</w:t>
      </w:r>
      <w:r w:rsidR="0026406A" w:rsidRPr="001E12E7">
        <w:rPr>
          <w:rFonts w:cstheme="minorHAnsi"/>
          <w:sz w:val="20"/>
          <w:szCs w:val="20"/>
        </w:rPr>
        <w:t>°</w:t>
      </w:r>
      <w:r w:rsidR="00CE4411" w:rsidRPr="001E12E7">
        <w:rPr>
          <w:rFonts w:cstheme="minorHAnsi"/>
          <w:sz w:val="20"/>
          <w:szCs w:val="20"/>
        </w:rPr>
        <w:t xml:space="preserve"> </w:t>
      </w:r>
      <w:r w:rsidR="00D0297F" w:rsidRPr="001E12E7">
        <w:rPr>
          <w:rFonts w:cstheme="minorHAnsi"/>
          <w:sz w:val="20"/>
          <w:szCs w:val="20"/>
        </w:rPr>
        <w:t>022/2006. Pendem de julgamento a ação e diversos petitórios recursais. Valor provável da provisão da contingência R$</w:t>
      </w:r>
      <w:r w:rsidR="00C9445D" w:rsidRPr="001E12E7">
        <w:rPr>
          <w:rFonts w:cstheme="minorHAnsi"/>
          <w:sz w:val="20"/>
          <w:szCs w:val="20"/>
        </w:rPr>
        <w:t xml:space="preserve"> </w:t>
      </w:r>
      <w:r w:rsidR="00D0297F" w:rsidRPr="001E12E7">
        <w:rPr>
          <w:rFonts w:cstheme="minorHAnsi"/>
          <w:sz w:val="20"/>
          <w:szCs w:val="20"/>
        </w:rPr>
        <w:t>1.059.979.423,63.</w:t>
      </w:r>
    </w:p>
    <w:p w14:paraId="025B1888" w14:textId="52AF2E16" w:rsidR="00D0297F" w:rsidRPr="001E12E7" w:rsidRDefault="005139FA" w:rsidP="00C000AF">
      <w:pPr>
        <w:pStyle w:val="PargrafodaLista"/>
        <w:numPr>
          <w:ilvl w:val="0"/>
          <w:numId w:val="14"/>
        </w:numPr>
        <w:spacing w:line="240" w:lineRule="auto"/>
        <w:jc w:val="both"/>
        <w:rPr>
          <w:rFonts w:cstheme="minorHAnsi"/>
          <w:sz w:val="20"/>
          <w:szCs w:val="20"/>
        </w:rPr>
      </w:pPr>
      <w:r w:rsidRPr="001E12E7">
        <w:rPr>
          <w:rFonts w:cstheme="minorHAnsi"/>
          <w:sz w:val="20"/>
          <w:szCs w:val="20"/>
        </w:rPr>
        <w:t>Processo n</w:t>
      </w:r>
      <w:r w:rsidR="0026406A" w:rsidRPr="001E12E7">
        <w:rPr>
          <w:rFonts w:cstheme="minorHAnsi"/>
          <w:sz w:val="20"/>
          <w:szCs w:val="20"/>
        </w:rPr>
        <w:t>°</w:t>
      </w:r>
      <w:r w:rsidRPr="001E12E7">
        <w:rPr>
          <w:rFonts w:cstheme="minorHAnsi"/>
          <w:sz w:val="20"/>
          <w:szCs w:val="20"/>
        </w:rPr>
        <w:t xml:space="preserve"> </w:t>
      </w:r>
      <w:r w:rsidR="00D0297F" w:rsidRPr="001E12E7">
        <w:rPr>
          <w:rFonts w:cstheme="minorHAnsi"/>
          <w:sz w:val="20"/>
          <w:szCs w:val="20"/>
        </w:rPr>
        <w:t xml:space="preserve">0009921-41.2016.4.01.3400:Trata-se da recomposição do equilíbrio econômico-financeiro do </w:t>
      </w:r>
      <w:r w:rsidR="00CE4411" w:rsidRPr="001E12E7">
        <w:rPr>
          <w:rFonts w:cstheme="minorHAnsi"/>
          <w:sz w:val="20"/>
          <w:szCs w:val="20"/>
        </w:rPr>
        <w:t>C</w:t>
      </w:r>
      <w:r w:rsidR="00D0297F" w:rsidRPr="001E12E7">
        <w:rPr>
          <w:rFonts w:cstheme="minorHAnsi"/>
          <w:sz w:val="20"/>
          <w:szCs w:val="20"/>
        </w:rPr>
        <w:t>ontrato n</w:t>
      </w:r>
      <w:r w:rsidR="00CE4411" w:rsidRPr="001E12E7">
        <w:rPr>
          <w:rFonts w:cstheme="minorHAnsi"/>
          <w:sz w:val="20"/>
          <w:szCs w:val="20"/>
        </w:rPr>
        <w:t>º</w:t>
      </w:r>
      <w:r w:rsidR="00D0297F" w:rsidRPr="001E12E7">
        <w:rPr>
          <w:rFonts w:cstheme="minorHAnsi"/>
          <w:sz w:val="20"/>
          <w:szCs w:val="20"/>
        </w:rPr>
        <w:t xml:space="preserve"> 054/2010. Valor provável da provisão da contingência R$</w:t>
      </w:r>
      <w:r w:rsidR="00C9445D" w:rsidRPr="001E12E7">
        <w:rPr>
          <w:rFonts w:cstheme="minorHAnsi"/>
          <w:sz w:val="20"/>
          <w:szCs w:val="20"/>
        </w:rPr>
        <w:t xml:space="preserve"> </w:t>
      </w:r>
      <w:r w:rsidR="00D0297F" w:rsidRPr="001E12E7">
        <w:rPr>
          <w:rFonts w:cstheme="minorHAnsi"/>
          <w:sz w:val="20"/>
          <w:szCs w:val="20"/>
        </w:rPr>
        <w:t>202.069.472,66.</w:t>
      </w:r>
    </w:p>
    <w:p w14:paraId="7BC8BDE5" w14:textId="165C9ED1" w:rsidR="00D0297F" w:rsidRPr="001E12E7" w:rsidRDefault="005139FA" w:rsidP="00C000AF">
      <w:pPr>
        <w:pStyle w:val="PargrafodaLista"/>
        <w:numPr>
          <w:ilvl w:val="0"/>
          <w:numId w:val="14"/>
        </w:numPr>
        <w:spacing w:line="240" w:lineRule="auto"/>
        <w:jc w:val="both"/>
        <w:rPr>
          <w:rFonts w:cstheme="minorHAnsi"/>
          <w:sz w:val="20"/>
          <w:szCs w:val="20"/>
        </w:rPr>
      </w:pPr>
      <w:r w:rsidRPr="001E12E7">
        <w:rPr>
          <w:rFonts w:cstheme="minorHAnsi"/>
          <w:sz w:val="20"/>
          <w:szCs w:val="20"/>
        </w:rPr>
        <w:t>Processo n</w:t>
      </w:r>
      <w:r w:rsidR="0026406A" w:rsidRPr="001E12E7">
        <w:rPr>
          <w:rFonts w:cstheme="minorHAnsi"/>
          <w:sz w:val="20"/>
          <w:szCs w:val="20"/>
        </w:rPr>
        <w:t>°</w:t>
      </w:r>
      <w:r w:rsidRPr="001E12E7">
        <w:rPr>
          <w:rFonts w:cstheme="minorHAnsi"/>
          <w:sz w:val="20"/>
          <w:szCs w:val="20"/>
        </w:rPr>
        <w:t xml:space="preserve"> </w:t>
      </w:r>
      <w:r w:rsidR="00D0297F" w:rsidRPr="001E12E7">
        <w:rPr>
          <w:rFonts w:cstheme="minorHAnsi"/>
          <w:sz w:val="20"/>
          <w:szCs w:val="20"/>
        </w:rPr>
        <w:t>1018694-24.2017.4.01.3400: Trata-se de ressarcimento de equilíbrio financeiro</w:t>
      </w:r>
      <w:r w:rsidR="00E059E3" w:rsidRPr="001E12E7">
        <w:rPr>
          <w:rFonts w:cstheme="minorHAnsi"/>
          <w:sz w:val="20"/>
          <w:szCs w:val="20"/>
        </w:rPr>
        <w:t xml:space="preserve"> do </w:t>
      </w:r>
      <w:r w:rsidR="00F45BE5" w:rsidRPr="001E12E7">
        <w:rPr>
          <w:rFonts w:cstheme="minorHAnsi"/>
          <w:sz w:val="20"/>
          <w:szCs w:val="20"/>
        </w:rPr>
        <w:t>C</w:t>
      </w:r>
      <w:r w:rsidR="00E059E3" w:rsidRPr="001E12E7">
        <w:rPr>
          <w:rFonts w:cstheme="minorHAnsi"/>
          <w:sz w:val="20"/>
          <w:szCs w:val="20"/>
        </w:rPr>
        <w:t>ontrato n</w:t>
      </w:r>
      <w:r w:rsidR="00CE4411" w:rsidRPr="001E12E7">
        <w:rPr>
          <w:rFonts w:cstheme="minorHAnsi"/>
          <w:sz w:val="20"/>
          <w:szCs w:val="20"/>
        </w:rPr>
        <w:t>º</w:t>
      </w:r>
      <w:r w:rsidR="005C3145" w:rsidRPr="001E12E7">
        <w:rPr>
          <w:rFonts w:cstheme="minorHAnsi"/>
          <w:sz w:val="20"/>
          <w:szCs w:val="20"/>
        </w:rPr>
        <w:t xml:space="preserve"> 006/2014</w:t>
      </w:r>
      <w:r w:rsidR="00D0297F" w:rsidRPr="001E12E7">
        <w:rPr>
          <w:rFonts w:cstheme="minorHAnsi"/>
          <w:sz w:val="20"/>
          <w:szCs w:val="20"/>
        </w:rPr>
        <w:t xml:space="preserve">, em que a autora alega que houve descumprimento de obrigações contratuais e do cronograma por parte da </w:t>
      </w:r>
      <w:r w:rsidR="00427E0C" w:rsidRPr="001E12E7">
        <w:rPr>
          <w:rFonts w:cstheme="minorHAnsi"/>
          <w:sz w:val="20"/>
          <w:szCs w:val="20"/>
        </w:rPr>
        <w:t>VALEC</w:t>
      </w:r>
      <w:r w:rsidR="00D0297F" w:rsidRPr="001E12E7">
        <w:rPr>
          <w:rFonts w:cstheme="minorHAnsi"/>
          <w:sz w:val="20"/>
          <w:szCs w:val="20"/>
        </w:rPr>
        <w:t>. Valor provável da provisão da contingência R$ 165.618.651,85.</w:t>
      </w:r>
    </w:p>
    <w:p w14:paraId="5F29E5A4" w14:textId="585AD05E" w:rsidR="00D0297F" w:rsidRPr="001E12E7" w:rsidRDefault="005139FA" w:rsidP="00C000AF">
      <w:pPr>
        <w:pStyle w:val="PargrafodaLista"/>
        <w:numPr>
          <w:ilvl w:val="0"/>
          <w:numId w:val="14"/>
        </w:numPr>
        <w:spacing w:line="240" w:lineRule="auto"/>
        <w:jc w:val="both"/>
        <w:rPr>
          <w:rFonts w:cstheme="minorHAnsi"/>
          <w:sz w:val="20"/>
          <w:szCs w:val="20"/>
        </w:rPr>
      </w:pPr>
      <w:r w:rsidRPr="001E12E7">
        <w:rPr>
          <w:rFonts w:cstheme="minorHAnsi"/>
          <w:sz w:val="20"/>
          <w:szCs w:val="20"/>
        </w:rPr>
        <w:lastRenderedPageBreak/>
        <w:t>Processo n</w:t>
      </w:r>
      <w:r w:rsidR="0026406A" w:rsidRPr="001E12E7">
        <w:rPr>
          <w:rFonts w:cstheme="minorHAnsi"/>
          <w:sz w:val="20"/>
          <w:szCs w:val="20"/>
        </w:rPr>
        <w:t>°</w:t>
      </w:r>
      <w:r w:rsidRPr="001E12E7">
        <w:rPr>
          <w:rFonts w:cstheme="minorHAnsi"/>
          <w:sz w:val="20"/>
          <w:szCs w:val="20"/>
        </w:rPr>
        <w:t xml:space="preserve"> </w:t>
      </w:r>
      <w:r w:rsidR="00D0297F" w:rsidRPr="001E12E7">
        <w:rPr>
          <w:rFonts w:cstheme="minorHAnsi"/>
          <w:sz w:val="20"/>
          <w:szCs w:val="20"/>
        </w:rPr>
        <w:t xml:space="preserve">0060773-69.2016.4.01.3400: Trata-se reequilíbrio econômico-financeiro do </w:t>
      </w:r>
      <w:r w:rsidR="00F45BE5" w:rsidRPr="001E12E7">
        <w:rPr>
          <w:rFonts w:cstheme="minorHAnsi"/>
          <w:sz w:val="20"/>
          <w:szCs w:val="20"/>
        </w:rPr>
        <w:t>C</w:t>
      </w:r>
      <w:r w:rsidR="00D0297F" w:rsidRPr="001E12E7">
        <w:rPr>
          <w:rFonts w:cstheme="minorHAnsi"/>
          <w:sz w:val="20"/>
          <w:szCs w:val="20"/>
        </w:rPr>
        <w:t>ontrato</w:t>
      </w:r>
      <w:r w:rsidR="00F45BE5" w:rsidRPr="001E12E7">
        <w:rPr>
          <w:rFonts w:cstheme="minorHAnsi"/>
          <w:sz w:val="20"/>
          <w:szCs w:val="20"/>
        </w:rPr>
        <w:t xml:space="preserve"> nº</w:t>
      </w:r>
      <w:r w:rsidR="00D0297F" w:rsidRPr="001E12E7">
        <w:rPr>
          <w:rFonts w:cstheme="minorHAnsi"/>
          <w:sz w:val="20"/>
          <w:szCs w:val="20"/>
        </w:rPr>
        <w:t xml:space="preserve"> 007/2014. Valor provável da provisão da contingência </w:t>
      </w:r>
      <w:r w:rsidR="008D7C57" w:rsidRPr="001E12E7">
        <w:rPr>
          <w:rFonts w:cstheme="minorHAnsi"/>
          <w:sz w:val="20"/>
          <w:szCs w:val="20"/>
        </w:rPr>
        <w:t xml:space="preserve">de </w:t>
      </w:r>
      <w:r w:rsidR="00D0297F" w:rsidRPr="001E12E7">
        <w:rPr>
          <w:rFonts w:cstheme="minorHAnsi"/>
          <w:sz w:val="20"/>
          <w:szCs w:val="20"/>
        </w:rPr>
        <w:t>R$ 122.248.435,57.</w:t>
      </w:r>
    </w:p>
    <w:p w14:paraId="07467BA2" w14:textId="77777777" w:rsidR="00D0297F" w:rsidRPr="00E743E1" w:rsidRDefault="00D0297F" w:rsidP="00C000AF">
      <w:pPr>
        <w:numPr>
          <w:ilvl w:val="0"/>
          <w:numId w:val="8"/>
        </w:numPr>
        <w:spacing w:line="240" w:lineRule="auto"/>
        <w:ind w:left="0" w:firstLine="0"/>
        <w:jc w:val="both"/>
        <w:rPr>
          <w:rFonts w:cstheme="minorHAnsi"/>
          <w:b/>
          <w:sz w:val="20"/>
          <w:szCs w:val="20"/>
          <w:u w:val="single"/>
        </w:rPr>
      </w:pPr>
      <w:r w:rsidRPr="00E743E1">
        <w:rPr>
          <w:rFonts w:cstheme="minorHAnsi"/>
          <w:b/>
          <w:sz w:val="20"/>
          <w:szCs w:val="20"/>
          <w:u w:val="single"/>
        </w:rPr>
        <w:t xml:space="preserve">Contingências de Ações Trabalhistas: </w:t>
      </w:r>
    </w:p>
    <w:p w14:paraId="3601A5BB" w14:textId="625B68DE"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 xml:space="preserve">As ações judiciais denominadas de reclamações trabalhistas constituem controvérsias entre os sujeitos da relação de trabalho, frequentemente empregador e empregado, submetidas à resolução jurisdicional. No âmbito da </w:t>
      </w:r>
      <w:r w:rsidR="000B7E34">
        <w:rPr>
          <w:rFonts w:cstheme="minorHAnsi"/>
          <w:sz w:val="20"/>
          <w:szCs w:val="20"/>
        </w:rPr>
        <w:t>Empresa</w:t>
      </w:r>
      <w:r w:rsidRPr="00E743E1">
        <w:rPr>
          <w:rFonts w:cstheme="minorHAnsi"/>
          <w:sz w:val="20"/>
          <w:szCs w:val="20"/>
        </w:rPr>
        <w:t xml:space="preserve">,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w:t>
      </w:r>
      <w:r w:rsidR="00212D5F">
        <w:rPr>
          <w:rFonts w:cstheme="minorHAnsi"/>
          <w:sz w:val="20"/>
          <w:szCs w:val="20"/>
        </w:rPr>
        <w:t>sendo nestes casos</w:t>
      </w:r>
      <w:r w:rsidRPr="00E743E1">
        <w:rPr>
          <w:rFonts w:cstheme="minorHAnsi"/>
          <w:sz w:val="20"/>
          <w:szCs w:val="20"/>
        </w:rPr>
        <w:t xml:space="preserve"> demandada de forma subsidiária.</w:t>
      </w:r>
    </w:p>
    <w:p w14:paraId="783FD364" w14:textId="48D25345"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A temática d</w:t>
      </w:r>
      <w:r w:rsidR="003242F8">
        <w:rPr>
          <w:rFonts w:cstheme="minorHAnsi"/>
          <w:sz w:val="20"/>
          <w:szCs w:val="20"/>
        </w:rPr>
        <w:t>a</w:t>
      </w:r>
      <w:r w:rsidRPr="00E743E1">
        <w:rPr>
          <w:rFonts w:cstheme="minorHAnsi"/>
          <w:sz w:val="20"/>
          <w:szCs w:val="20"/>
        </w:rPr>
        <w:t xml:space="preserve"> responsabilidade subsidiária trabalhista é a mais recorrente no universo quantitativo e diz respeito ao descumprimento, pelas </w:t>
      </w:r>
      <w:r w:rsidR="0079084C">
        <w:rPr>
          <w:rFonts w:cstheme="minorHAnsi"/>
          <w:sz w:val="20"/>
          <w:szCs w:val="20"/>
        </w:rPr>
        <w:t>c</w:t>
      </w:r>
      <w:r w:rsidRPr="00E743E1">
        <w:rPr>
          <w:rFonts w:cstheme="minorHAnsi"/>
          <w:sz w:val="20"/>
          <w:szCs w:val="20"/>
        </w:rPr>
        <w:t xml:space="preserve">ontratadas, das obrigações trabalhistas em face aos seus próprios empregados mobilizados para prestação de serviços em contratos firmados com a Estatal, implicando na inclusão da </w:t>
      </w:r>
      <w:r w:rsidR="004716BE">
        <w:rPr>
          <w:rFonts w:cstheme="minorHAnsi"/>
          <w:sz w:val="20"/>
          <w:szCs w:val="20"/>
        </w:rPr>
        <w:t>VALEC</w:t>
      </w:r>
      <w:r w:rsidRPr="00E743E1">
        <w:rPr>
          <w:rFonts w:cstheme="minorHAnsi"/>
          <w:sz w:val="20"/>
          <w:szCs w:val="20"/>
        </w:rPr>
        <w:t> como responsável s</w:t>
      </w:r>
      <w:r w:rsidR="00D35885">
        <w:rPr>
          <w:rFonts w:cstheme="minorHAnsi"/>
          <w:sz w:val="20"/>
          <w:szCs w:val="20"/>
        </w:rPr>
        <w:t>ubsidiário</w:t>
      </w:r>
      <w:r w:rsidRPr="00E743E1">
        <w:rPr>
          <w:rFonts w:cstheme="minorHAnsi"/>
          <w:sz w:val="20"/>
          <w:szCs w:val="20"/>
        </w:rPr>
        <w:t xml:space="preserve"> no polo passivo dessas demandas judiciais.</w:t>
      </w:r>
    </w:p>
    <w:p w14:paraId="439DA913" w14:textId="1252D41F"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 xml:space="preserve">Além do quadro dito </w:t>
      </w:r>
      <w:r w:rsidR="00D35885">
        <w:rPr>
          <w:rFonts w:cstheme="minorHAnsi"/>
          <w:sz w:val="20"/>
          <w:szCs w:val="20"/>
        </w:rPr>
        <w:t>Infra S.A.</w:t>
      </w:r>
      <w:r w:rsidRPr="00E743E1">
        <w:rPr>
          <w:rFonts w:cstheme="minorHAnsi"/>
          <w:sz w:val="20"/>
          <w:szCs w:val="20"/>
        </w:rPr>
        <w:t xml:space="preserve">, sucedeu ao longo dos anos obrigações de empresas extintas, como GEIPOT e RFFSA, absorvendo o quadro de pessoal dessas empresas que passaram a compor, dentro das suas particularidades, também o seu quadro efetivo. Necessário explanar que, quando da extinção da GEIPOT, a transferência dos seus empregados ao quadro especial da </w:t>
      </w:r>
      <w:r w:rsidR="00B30451">
        <w:rPr>
          <w:rFonts w:cstheme="minorHAnsi"/>
          <w:sz w:val="20"/>
          <w:szCs w:val="20"/>
        </w:rPr>
        <w:t>Infra S.A.</w:t>
      </w:r>
      <w:r w:rsidR="008A62D7">
        <w:rPr>
          <w:rFonts w:cstheme="minorHAnsi"/>
          <w:sz w:val="20"/>
          <w:szCs w:val="20"/>
        </w:rPr>
        <w:t xml:space="preserve"> </w:t>
      </w:r>
      <w:r w:rsidRPr="00E743E1">
        <w:rPr>
          <w:rFonts w:cstheme="minorHAnsi"/>
          <w:sz w:val="20"/>
          <w:szCs w:val="20"/>
        </w:rPr>
        <w:t>ocorreu por força do art</w:t>
      </w:r>
      <w:r w:rsidR="008A121D">
        <w:rPr>
          <w:rFonts w:cstheme="minorHAnsi"/>
          <w:sz w:val="20"/>
          <w:szCs w:val="20"/>
        </w:rPr>
        <w:t>.</w:t>
      </w:r>
      <w:r w:rsidRPr="00E743E1">
        <w:rPr>
          <w:rFonts w:cstheme="minorHAnsi"/>
          <w:sz w:val="20"/>
          <w:szCs w:val="20"/>
        </w:rPr>
        <w:t xml:space="preserve"> 26 da Lei n</w:t>
      </w:r>
      <w:r w:rsidR="00E04049">
        <w:rPr>
          <w:rFonts w:cstheme="minorHAnsi"/>
          <w:sz w:val="20"/>
          <w:szCs w:val="20"/>
        </w:rPr>
        <w:t>°</w:t>
      </w:r>
      <w:r w:rsidRPr="00E743E1">
        <w:rPr>
          <w:rFonts w:cstheme="minorHAnsi"/>
          <w:sz w:val="20"/>
          <w:szCs w:val="20"/>
        </w:rPr>
        <w:t xml:space="preserve"> 11.772/2008, que previu a vedação de comunicação aos planos de cargos e salários da </w:t>
      </w:r>
      <w:r w:rsidR="00E63EBC">
        <w:rPr>
          <w:rFonts w:cstheme="minorHAnsi"/>
          <w:sz w:val="20"/>
          <w:szCs w:val="20"/>
        </w:rPr>
        <w:t>VALEC</w:t>
      </w:r>
      <w:r w:rsidRPr="00E743E1">
        <w:rPr>
          <w:rFonts w:cstheme="minorHAnsi"/>
          <w:sz w:val="20"/>
          <w:szCs w:val="20"/>
        </w:rPr>
        <w:t>.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126C2096" w14:textId="357824B9"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Quanto à RFFSA, a alteração do contrato de trabalho com a sucessão trabalhista se deu por força da Lei n</w:t>
      </w:r>
      <w:r w:rsidR="00E04049">
        <w:rPr>
          <w:rFonts w:cstheme="minorHAnsi"/>
          <w:sz w:val="20"/>
          <w:szCs w:val="20"/>
        </w:rPr>
        <w:t>°</w:t>
      </w:r>
      <w:r w:rsidRPr="00E743E1">
        <w:rPr>
          <w:rFonts w:cstheme="minorHAnsi"/>
          <w:sz w:val="20"/>
          <w:szCs w:val="20"/>
        </w:rPr>
        <w:t xml:space="preserve"> 11.483/2007 e as principais judicializações dessa categoria contemplam pedidos para manutenção dos empregados nas cidades em que laboravam à época da Inventariança. Ademais, também foram propostas ações requerendo equiparação salarial aos empregados da </w:t>
      </w:r>
      <w:r w:rsidR="00F7084D">
        <w:rPr>
          <w:rFonts w:cstheme="minorHAnsi"/>
          <w:sz w:val="20"/>
          <w:szCs w:val="20"/>
        </w:rPr>
        <w:t>VALEC</w:t>
      </w:r>
      <w:r w:rsidRPr="00E743E1">
        <w:rPr>
          <w:rFonts w:cstheme="minorHAnsi"/>
          <w:sz w:val="20"/>
          <w:szCs w:val="20"/>
        </w:rPr>
        <w:t>. De igual modo à legislação aplicada ao GEIPOT, há óbice nas demandas apresentadas em razão do disposto no §2</w:t>
      </w:r>
      <w:r w:rsidR="00E04049">
        <w:rPr>
          <w:rFonts w:cstheme="minorHAnsi"/>
          <w:sz w:val="20"/>
          <w:szCs w:val="20"/>
        </w:rPr>
        <w:t>°</w:t>
      </w:r>
      <w:r w:rsidRPr="00E743E1">
        <w:rPr>
          <w:rFonts w:cstheme="minorHAnsi"/>
          <w:sz w:val="20"/>
          <w:szCs w:val="20"/>
        </w:rPr>
        <w:t>, art. 17 da Lei n</w:t>
      </w:r>
      <w:r w:rsidR="00E04049">
        <w:rPr>
          <w:rFonts w:cstheme="minorHAnsi"/>
          <w:sz w:val="20"/>
          <w:szCs w:val="20"/>
        </w:rPr>
        <w:t>°</w:t>
      </w:r>
      <w:r w:rsidRPr="00E743E1">
        <w:rPr>
          <w:rFonts w:cstheme="minorHAnsi"/>
          <w:sz w:val="20"/>
          <w:szCs w:val="20"/>
        </w:rPr>
        <w:t xml:space="preserve"> 11.483</w:t>
      </w:r>
      <w:r w:rsidR="00F7084D">
        <w:rPr>
          <w:rFonts w:cstheme="minorHAnsi"/>
          <w:sz w:val="20"/>
          <w:szCs w:val="20"/>
        </w:rPr>
        <w:t>/</w:t>
      </w:r>
      <w:r w:rsidRPr="00E743E1">
        <w:rPr>
          <w:rFonts w:cstheme="minorHAnsi"/>
          <w:sz w:val="20"/>
          <w:szCs w:val="20"/>
        </w:rPr>
        <w:t xml:space="preserve">2007, que veda a comunicação dos Planos de Cargos e Salários da </w:t>
      </w:r>
      <w:r w:rsidR="001D41AA">
        <w:rPr>
          <w:rFonts w:cstheme="minorHAnsi"/>
          <w:sz w:val="20"/>
          <w:szCs w:val="20"/>
        </w:rPr>
        <w:t>VALEC</w:t>
      </w:r>
      <w:r w:rsidR="00B30451">
        <w:rPr>
          <w:rFonts w:cstheme="minorHAnsi"/>
          <w:sz w:val="20"/>
          <w:szCs w:val="20"/>
        </w:rPr>
        <w:t>.</w:t>
      </w:r>
    </w:p>
    <w:p w14:paraId="592AD66F" w14:textId="77777777" w:rsidR="00D0297F" w:rsidRPr="00E743E1" w:rsidRDefault="00D0297F" w:rsidP="00645DFB">
      <w:pPr>
        <w:spacing w:before="120" w:line="240" w:lineRule="auto"/>
        <w:jc w:val="both"/>
        <w:rPr>
          <w:rFonts w:cstheme="minorHAnsi"/>
          <w:sz w:val="20"/>
          <w:szCs w:val="20"/>
        </w:rPr>
      </w:pPr>
      <w:r w:rsidRPr="00E743E1">
        <w:rPr>
          <w:rFonts w:cstheme="minorHAnsi"/>
          <w:sz w:val="20"/>
          <w:szCs w:val="20"/>
        </w:rPr>
        <w:t>As principais ações com riscos de prováveis perdas são das varas trabalhistas, dentre as quais se destacam:</w:t>
      </w:r>
    </w:p>
    <w:p w14:paraId="20FAC2DA" w14:textId="77777777" w:rsidR="00D10944" w:rsidRDefault="00D10944" w:rsidP="00C000AF">
      <w:pPr>
        <w:pStyle w:val="PargrafodaLista"/>
        <w:numPr>
          <w:ilvl w:val="0"/>
          <w:numId w:val="15"/>
        </w:numPr>
        <w:spacing w:line="240" w:lineRule="auto"/>
        <w:jc w:val="both"/>
        <w:rPr>
          <w:rFonts w:cstheme="minorHAnsi"/>
          <w:sz w:val="20"/>
          <w:szCs w:val="20"/>
        </w:rPr>
      </w:pPr>
      <w:r w:rsidRPr="00D10944">
        <w:rPr>
          <w:rFonts w:cstheme="minorHAnsi"/>
          <w:sz w:val="20"/>
          <w:szCs w:val="20"/>
        </w:rPr>
        <w:t>Processo Nº 0001007-86.2012.5.03.0005: O Sindicato Autor requer pagamentos de diferenças dos dissídios/</w:t>
      </w:r>
      <w:proofErr w:type="spellStart"/>
      <w:r w:rsidRPr="00D10944">
        <w:rPr>
          <w:rFonts w:cstheme="minorHAnsi"/>
          <w:sz w:val="20"/>
          <w:szCs w:val="20"/>
        </w:rPr>
        <w:t>ACTs</w:t>
      </w:r>
      <w:proofErr w:type="spellEnd"/>
      <w:r w:rsidRPr="00D10944">
        <w:rPr>
          <w:rFonts w:cstheme="minorHAnsi"/>
          <w:sz w:val="20"/>
          <w:szCs w:val="20"/>
        </w:rPr>
        <w:t xml:space="preserve"> 2004/2005/2006, ação foi julgada procedente. A Valec argumenta que apenas 8 dos 29 empregados são beneficiários, resultando em agravo de petição pendente de julgamento. Valor provável da provisão da contingência R$ 13.263.298,09.</w:t>
      </w:r>
    </w:p>
    <w:p w14:paraId="265D7EB3" w14:textId="3B9D6A10" w:rsidR="00AE1D18" w:rsidRPr="001E12E7" w:rsidRDefault="008958A7" w:rsidP="00C000AF">
      <w:pPr>
        <w:pStyle w:val="PargrafodaLista"/>
        <w:numPr>
          <w:ilvl w:val="0"/>
          <w:numId w:val="15"/>
        </w:numPr>
        <w:spacing w:line="240" w:lineRule="auto"/>
        <w:jc w:val="both"/>
        <w:rPr>
          <w:rFonts w:cstheme="minorHAnsi"/>
          <w:sz w:val="20"/>
          <w:szCs w:val="20"/>
        </w:rPr>
      </w:pPr>
      <w:r w:rsidRPr="001E12E7">
        <w:rPr>
          <w:rFonts w:cstheme="minorHAnsi"/>
          <w:sz w:val="20"/>
          <w:szCs w:val="20"/>
        </w:rPr>
        <w:t>Processo n</w:t>
      </w:r>
      <w:r w:rsidR="00E04049" w:rsidRPr="001E12E7">
        <w:rPr>
          <w:rFonts w:cstheme="minorHAnsi"/>
          <w:sz w:val="20"/>
          <w:szCs w:val="20"/>
        </w:rPr>
        <w:t>°</w:t>
      </w:r>
      <w:r w:rsidRPr="001E12E7">
        <w:rPr>
          <w:rFonts w:cstheme="minorHAnsi"/>
          <w:sz w:val="20"/>
          <w:szCs w:val="20"/>
        </w:rPr>
        <w:t xml:space="preserve"> </w:t>
      </w:r>
      <w:r w:rsidR="00AE1D18" w:rsidRPr="001E12E7">
        <w:rPr>
          <w:rFonts w:cstheme="minorHAnsi"/>
          <w:sz w:val="20"/>
          <w:szCs w:val="20"/>
        </w:rPr>
        <w:t xml:space="preserve">0166100-75.1991.5.01.0011: Execução de Contribuição Previdenciária referente pagamento de execução efetuado pela </w:t>
      </w:r>
      <w:r w:rsidR="00427E0C" w:rsidRPr="001E12E7">
        <w:rPr>
          <w:rFonts w:cstheme="minorHAnsi"/>
          <w:sz w:val="20"/>
          <w:szCs w:val="20"/>
        </w:rPr>
        <w:t>VALEC</w:t>
      </w:r>
      <w:r w:rsidR="00AE1D18" w:rsidRPr="001E12E7">
        <w:rPr>
          <w:rFonts w:cstheme="minorHAnsi"/>
          <w:sz w:val="20"/>
          <w:szCs w:val="20"/>
        </w:rPr>
        <w:t>, de reclamação em que o SINTRACONST-RIO pleiteava diferenças salariais devidas aos empregados substituídos (PSC 88, atual 2007). Valor provável da provisão da contingência R$</w:t>
      </w:r>
      <w:r w:rsidR="00B57D8C" w:rsidRPr="001E12E7">
        <w:rPr>
          <w:rFonts w:cstheme="minorHAnsi"/>
          <w:sz w:val="20"/>
          <w:szCs w:val="20"/>
        </w:rPr>
        <w:t>:</w:t>
      </w:r>
      <w:r w:rsidR="00AE1D18" w:rsidRPr="001E12E7">
        <w:rPr>
          <w:rFonts w:cstheme="minorHAnsi"/>
          <w:sz w:val="20"/>
          <w:szCs w:val="20"/>
        </w:rPr>
        <w:t xml:space="preserve"> 6.139.245,68.</w:t>
      </w:r>
    </w:p>
    <w:p w14:paraId="239D1A3D" w14:textId="1297BA73" w:rsidR="00D0297F" w:rsidRPr="001E12E7" w:rsidRDefault="008958A7" w:rsidP="00C000AF">
      <w:pPr>
        <w:pStyle w:val="PargrafodaLista"/>
        <w:numPr>
          <w:ilvl w:val="0"/>
          <w:numId w:val="15"/>
        </w:numPr>
        <w:spacing w:line="240" w:lineRule="auto"/>
        <w:jc w:val="both"/>
        <w:rPr>
          <w:rFonts w:cstheme="minorHAnsi"/>
          <w:sz w:val="20"/>
          <w:szCs w:val="20"/>
        </w:rPr>
      </w:pPr>
      <w:r w:rsidRPr="001E12E7">
        <w:rPr>
          <w:rFonts w:cstheme="minorHAnsi"/>
          <w:sz w:val="20"/>
          <w:szCs w:val="20"/>
        </w:rPr>
        <w:t>Processo n</w:t>
      </w:r>
      <w:r w:rsidR="00E04049" w:rsidRPr="001E12E7">
        <w:rPr>
          <w:rFonts w:cstheme="minorHAnsi"/>
          <w:sz w:val="20"/>
          <w:szCs w:val="20"/>
        </w:rPr>
        <w:t>°</w:t>
      </w:r>
      <w:r w:rsidRPr="001E12E7">
        <w:rPr>
          <w:rFonts w:cstheme="minorHAnsi"/>
          <w:sz w:val="20"/>
          <w:szCs w:val="20"/>
        </w:rPr>
        <w:t xml:space="preserve"> </w:t>
      </w:r>
      <w:r w:rsidR="0046760E" w:rsidRPr="001E12E7">
        <w:rPr>
          <w:rFonts w:cstheme="minorHAnsi"/>
          <w:sz w:val="20"/>
          <w:szCs w:val="20"/>
        </w:rPr>
        <w:t>0100764-20.2023.5.01.0071</w:t>
      </w:r>
      <w:r w:rsidR="00D0297F" w:rsidRPr="001E12E7">
        <w:rPr>
          <w:rFonts w:cstheme="minorHAnsi"/>
          <w:sz w:val="20"/>
          <w:szCs w:val="20"/>
        </w:rPr>
        <w:t xml:space="preserve">: </w:t>
      </w:r>
      <w:r w:rsidR="00F602AD" w:rsidRPr="001E12E7">
        <w:rPr>
          <w:rFonts w:cstheme="minorHAnsi"/>
          <w:sz w:val="20"/>
          <w:szCs w:val="20"/>
        </w:rPr>
        <w:t>Trata-se de ação autônoma e individual de execução para cumprimento da sentença proferida na ação de cumprimento AC-00163600-69.2005.5.01.0003, na qual foram deferidos ao Rol de substituídos pelo SINTRACONST-RJ, os reajustes salariais das Convenções Coletivas dos anos de 2001/2002/2003. Impugnação apresentada</w:t>
      </w:r>
      <w:r w:rsidR="00D0297F" w:rsidRPr="001E12E7">
        <w:rPr>
          <w:rFonts w:cstheme="minorHAnsi"/>
          <w:sz w:val="20"/>
          <w:szCs w:val="20"/>
        </w:rPr>
        <w:t>.</w:t>
      </w:r>
      <w:r w:rsidR="00AB4706" w:rsidRPr="001E12E7">
        <w:rPr>
          <w:rFonts w:cstheme="minorHAnsi"/>
          <w:sz w:val="20"/>
          <w:szCs w:val="20"/>
        </w:rPr>
        <w:t xml:space="preserve"> Valor provável da provisão da contingência</w:t>
      </w:r>
      <w:r w:rsidR="00B57D8C" w:rsidRPr="001E12E7">
        <w:rPr>
          <w:rFonts w:cstheme="minorHAnsi"/>
          <w:sz w:val="20"/>
          <w:szCs w:val="20"/>
        </w:rPr>
        <w:t>:</w:t>
      </w:r>
      <w:r w:rsidR="00AB4706" w:rsidRPr="001E12E7">
        <w:rPr>
          <w:rFonts w:cstheme="minorHAnsi"/>
          <w:sz w:val="20"/>
          <w:szCs w:val="20"/>
        </w:rPr>
        <w:t xml:space="preserve"> R$ </w:t>
      </w:r>
      <w:r w:rsidR="00D75C5F" w:rsidRPr="001E12E7">
        <w:rPr>
          <w:rFonts w:cstheme="minorHAnsi"/>
          <w:sz w:val="20"/>
          <w:szCs w:val="20"/>
        </w:rPr>
        <w:t>2.789.994,71.</w:t>
      </w:r>
    </w:p>
    <w:p w14:paraId="3B9E6AD9" w14:textId="088FE02C" w:rsidR="00D75C5F" w:rsidRPr="001E12E7" w:rsidRDefault="008958A7" w:rsidP="00C000AF">
      <w:pPr>
        <w:pStyle w:val="PargrafodaLista"/>
        <w:numPr>
          <w:ilvl w:val="0"/>
          <w:numId w:val="15"/>
        </w:numPr>
        <w:spacing w:line="240" w:lineRule="auto"/>
        <w:jc w:val="both"/>
        <w:rPr>
          <w:rFonts w:cstheme="minorHAnsi"/>
          <w:sz w:val="20"/>
          <w:szCs w:val="20"/>
        </w:rPr>
      </w:pPr>
      <w:r w:rsidRPr="001E12E7">
        <w:rPr>
          <w:rFonts w:cstheme="minorHAnsi"/>
          <w:sz w:val="20"/>
          <w:szCs w:val="20"/>
        </w:rPr>
        <w:t>Processo n</w:t>
      </w:r>
      <w:r w:rsidR="00E04049" w:rsidRPr="001E12E7">
        <w:rPr>
          <w:rFonts w:cstheme="minorHAnsi"/>
          <w:sz w:val="20"/>
          <w:szCs w:val="20"/>
        </w:rPr>
        <w:t>°</w:t>
      </w:r>
      <w:r w:rsidRPr="001E12E7">
        <w:rPr>
          <w:rFonts w:cstheme="minorHAnsi"/>
          <w:sz w:val="20"/>
          <w:szCs w:val="20"/>
        </w:rPr>
        <w:t xml:space="preserve"> </w:t>
      </w:r>
      <w:r w:rsidR="006D425D" w:rsidRPr="001E12E7">
        <w:rPr>
          <w:rFonts w:cstheme="minorHAnsi"/>
          <w:sz w:val="20"/>
          <w:szCs w:val="20"/>
        </w:rPr>
        <w:t xml:space="preserve">0100869-51.2021.5.01.0011: </w:t>
      </w:r>
      <w:r w:rsidR="00B63379" w:rsidRPr="001E12E7">
        <w:rPr>
          <w:rFonts w:cstheme="minorHAnsi"/>
          <w:sz w:val="20"/>
          <w:szCs w:val="20"/>
        </w:rPr>
        <w:t xml:space="preserve">Trata-se de ação individual de cumprimento de sentença referente ao </w:t>
      </w:r>
      <w:r w:rsidR="00E04049" w:rsidRPr="001E12E7">
        <w:rPr>
          <w:rFonts w:cstheme="minorHAnsi"/>
          <w:sz w:val="20"/>
          <w:szCs w:val="20"/>
        </w:rPr>
        <w:t>P</w:t>
      </w:r>
      <w:r w:rsidR="00B63379" w:rsidRPr="001E12E7">
        <w:rPr>
          <w:rFonts w:cstheme="minorHAnsi"/>
          <w:sz w:val="20"/>
          <w:szCs w:val="20"/>
        </w:rPr>
        <w:t>rocesso</w:t>
      </w:r>
      <w:r w:rsidR="007A36F8" w:rsidRPr="001E12E7">
        <w:rPr>
          <w:rFonts w:cstheme="minorHAnsi"/>
          <w:sz w:val="20"/>
          <w:szCs w:val="20"/>
        </w:rPr>
        <w:t xml:space="preserve"> n°</w:t>
      </w:r>
      <w:r w:rsidR="00B63379" w:rsidRPr="001E12E7">
        <w:rPr>
          <w:rFonts w:cstheme="minorHAnsi"/>
          <w:sz w:val="20"/>
          <w:szCs w:val="20"/>
        </w:rPr>
        <w:t xml:space="preserve"> 0163600-69.2005.5.01.0003, ação </w:t>
      </w:r>
      <w:proofErr w:type="spellStart"/>
      <w:r w:rsidR="00B63379" w:rsidRPr="001E12E7">
        <w:rPr>
          <w:rFonts w:cstheme="minorHAnsi"/>
          <w:sz w:val="20"/>
          <w:szCs w:val="20"/>
        </w:rPr>
        <w:t>plúrima</w:t>
      </w:r>
      <w:proofErr w:type="spellEnd"/>
      <w:r w:rsidR="00B63379" w:rsidRPr="001E12E7">
        <w:rPr>
          <w:rFonts w:cstheme="minorHAnsi"/>
          <w:sz w:val="20"/>
          <w:szCs w:val="20"/>
        </w:rPr>
        <w:t xml:space="preserve"> ajuizada por sindicato RJ sobre cumprimento de acordos coletivos de trabalho.</w:t>
      </w:r>
      <w:r w:rsidR="00C97729" w:rsidRPr="001E12E7">
        <w:rPr>
          <w:rFonts w:cstheme="minorHAnsi"/>
          <w:sz w:val="20"/>
          <w:szCs w:val="20"/>
        </w:rPr>
        <w:t xml:space="preserve"> Valor provável da contingência</w:t>
      </w:r>
      <w:r w:rsidR="00B57D8C" w:rsidRPr="001E12E7">
        <w:rPr>
          <w:rFonts w:cstheme="minorHAnsi"/>
          <w:sz w:val="20"/>
          <w:szCs w:val="20"/>
        </w:rPr>
        <w:t>:</w:t>
      </w:r>
      <w:r w:rsidR="00C97729" w:rsidRPr="001E12E7">
        <w:rPr>
          <w:rFonts w:cstheme="minorHAnsi"/>
          <w:sz w:val="20"/>
          <w:szCs w:val="20"/>
        </w:rPr>
        <w:t xml:space="preserve"> R$ </w:t>
      </w:r>
      <w:r w:rsidR="002D66BA" w:rsidRPr="001E12E7">
        <w:rPr>
          <w:rFonts w:cstheme="minorHAnsi"/>
          <w:sz w:val="20"/>
          <w:szCs w:val="20"/>
        </w:rPr>
        <w:t>2.558.046,38.</w:t>
      </w:r>
    </w:p>
    <w:p w14:paraId="1E5B76EC" w14:textId="3197602A" w:rsidR="00D0297F" w:rsidRPr="00E743E1" w:rsidRDefault="00D0297F" w:rsidP="00C05E96">
      <w:pPr>
        <w:spacing w:before="120" w:line="240" w:lineRule="auto"/>
        <w:jc w:val="both"/>
        <w:rPr>
          <w:rFonts w:cstheme="minorHAnsi"/>
          <w:b/>
          <w:sz w:val="20"/>
          <w:szCs w:val="20"/>
          <w:u w:val="single"/>
        </w:rPr>
      </w:pPr>
      <w:r w:rsidRPr="00E743E1">
        <w:rPr>
          <w:rFonts w:cstheme="minorHAnsi"/>
          <w:b/>
          <w:sz w:val="20"/>
          <w:szCs w:val="20"/>
          <w:u w:val="single"/>
        </w:rPr>
        <w:t>Contingências de Ações de Desapropriações:</w:t>
      </w:r>
    </w:p>
    <w:p w14:paraId="35EDEF10" w14:textId="5E816B8C" w:rsidR="00D0297F" w:rsidRPr="00E743E1" w:rsidRDefault="00D0297F" w:rsidP="00EA524A">
      <w:pPr>
        <w:spacing w:before="120" w:line="240" w:lineRule="auto"/>
        <w:jc w:val="both"/>
        <w:rPr>
          <w:rFonts w:cstheme="minorHAnsi"/>
          <w:sz w:val="20"/>
          <w:szCs w:val="20"/>
        </w:rPr>
      </w:pPr>
      <w:r w:rsidRPr="00E743E1">
        <w:rPr>
          <w:rFonts w:cstheme="minorHAnsi"/>
          <w:sz w:val="20"/>
          <w:szCs w:val="20"/>
        </w:rPr>
        <w:t>Os processos de desapropriação são</w:t>
      </w:r>
      <w:r w:rsidR="00322A4E">
        <w:rPr>
          <w:rFonts w:cstheme="minorHAnsi"/>
          <w:sz w:val="20"/>
          <w:szCs w:val="20"/>
        </w:rPr>
        <w:t xml:space="preserve"> as</w:t>
      </w:r>
      <w:r w:rsidRPr="00E743E1">
        <w:rPr>
          <w:rFonts w:cstheme="minorHAnsi"/>
          <w:sz w:val="20"/>
          <w:szCs w:val="20"/>
        </w:rPr>
        <w:t xml:space="preserve"> medidas judiciais necessárias à obtenção de imóveis para implantar infraestrutura ferroviária, objeto social da estatal </w:t>
      </w:r>
      <w:r w:rsidR="00427E0C">
        <w:rPr>
          <w:rFonts w:cstheme="minorHAnsi"/>
          <w:sz w:val="20"/>
          <w:szCs w:val="20"/>
        </w:rPr>
        <w:t>V</w:t>
      </w:r>
      <w:r w:rsidR="00C0681E">
        <w:rPr>
          <w:rFonts w:cstheme="minorHAnsi"/>
          <w:sz w:val="20"/>
          <w:szCs w:val="20"/>
        </w:rPr>
        <w:t>alec</w:t>
      </w:r>
      <w:r w:rsidRPr="00E743E1">
        <w:rPr>
          <w:rFonts w:cstheme="minorHAnsi"/>
          <w:sz w:val="20"/>
          <w:szCs w:val="20"/>
        </w:rPr>
        <w:t>. Portanto, são parte da atividade fim da companhia. Regulamentada pelo Decreto Lei n</w:t>
      </w:r>
      <w:r w:rsidR="00E04049">
        <w:rPr>
          <w:rFonts w:cstheme="minorHAnsi"/>
          <w:sz w:val="20"/>
          <w:szCs w:val="20"/>
        </w:rPr>
        <w:t>°</w:t>
      </w:r>
      <w:r w:rsidRPr="00E743E1">
        <w:rPr>
          <w:rFonts w:cstheme="minorHAnsi"/>
          <w:sz w:val="20"/>
          <w:szCs w:val="20"/>
        </w:rPr>
        <w:t xml:space="preserve"> 3.365/1941</w:t>
      </w:r>
      <w:r w:rsidR="00BD6712">
        <w:rPr>
          <w:rFonts w:cstheme="minorHAnsi"/>
          <w:sz w:val="20"/>
          <w:szCs w:val="20"/>
        </w:rPr>
        <w:t xml:space="preserve"> </w:t>
      </w:r>
      <w:r w:rsidR="00BD6712" w:rsidRPr="007B7B87">
        <w:rPr>
          <w:rFonts w:cstheme="minorHAnsi"/>
          <w:sz w:val="20"/>
          <w:szCs w:val="20"/>
        </w:rPr>
        <w:t>(Dispõe sobre desapropriações por utilidade pública)</w:t>
      </w:r>
      <w:r w:rsidRPr="00E743E1">
        <w:rPr>
          <w:rFonts w:cstheme="minorHAnsi"/>
          <w:sz w:val="20"/>
          <w:szCs w:val="20"/>
        </w:rPr>
        <w:t xml:space="preserve">,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03F8FC8D" w14:textId="77777777" w:rsidR="00D0297F" w:rsidRDefault="00D0297F" w:rsidP="00EA524A">
      <w:pPr>
        <w:spacing w:before="120" w:line="240" w:lineRule="auto"/>
        <w:jc w:val="both"/>
        <w:rPr>
          <w:rFonts w:cstheme="minorHAnsi"/>
          <w:sz w:val="20"/>
          <w:szCs w:val="20"/>
        </w:rPr>
      </w:pPr>
      <w:r w:rsidRPr="00E743E1">
        <w:rPr>
          <w:rFonts w:cstheme="minorHAnsi"/>
          <w:sz w:val="20"/>
          <w:szCs w:val="20"/>
        </w:rPr>
        <w:t xml:space="preserve">Negando-se o expropriado, a Administração ajuíza uma ação de desapropriação por utilidade pública. </w:t>
      </w:r>
    </w:p>
    <w:p w14:paraId="01FD687F" w14:textId="77777777" w:rsidR="00D0297F" w:rsidRPr="00E743E1" w:rsidRDefault="00D0297F" w:rsidP="00C000AF">
      <w:pPr>
        <w:numPr>
          <w:ilvl w:val="0"/>
          <w:numId w:val="8"/>
        </w:numPr>
        <w:spacing w:before="120" w:line="240" w:lineRule="auto"/>
        <w:ind w:left="0" w:firstLine="0"/>
        <w:jc w:val="both"/>
        <w:rPr>
          <w:rFonts w:cstheme="minorHAnsi"/>
          <w:b/>
          <w:sz w:val="20"/>
          <w:szCs w:val="20"/>
          <w:u w:val="single"/>
        </w:rPr>
      </w:pPr>
      <w:r w:rsidRPr="00E743E1">
        <w:rPr>
          <w:rFonts w:cstheme="minorHAnsi"/>
          <w:b/>
          <w:sz w:val="20"/>
          <w:szCs w:val="20"/>
          <w:u w:val="single"/>
        </w:rPr>
        <w:t xml:space="preserve">Contingências de Ações Tributárias: </w:t>
      </w:r>
    </w:p>
    <w:p w14:paraId="719E773F" w14:textId="767853C2" w:rsidR="00D0297F" w:rsidRPr="00E743E1" w:rsidRDefault="00D0297F" w:rsidP="00EA524A">
      <w:pPr>
        <w:spacing w:before="120" w:line="240" w:lineRule="auto"/>
        <w:jc w:val="both"/>
        <w:rPr>
          <w:rFonts w:cstheme="minorHAnsi"/>
          <w:sz w:val="20"/>
          <w:szCs w:val="20"/>
        </w:rPr>
      </w:pPr>
      <w:r w:rsidRPr="00E743E1">
        <w:rPr>
          <w:rFonts w:cstheme="minorHAnsi"/>
          <w:sz w:val="20"/>
          <w:szCs w:val="20"/>
        </w:rPr>
        <w:lastRenderedPageBreak/>
        <w:t xml:space="preserve">As ações tributárias, essencialmente, versam sobre ações em que a </w:t>
      </w:r>
      <w:r w:rsidR="00C0681E">
        <w:rPr>
          <w:rFonts w:cstheme="minorHAnsi"/>
          <w:sz w:val="20"/>
          <w:szCs w:val="20"/>
        </w:rPr>
        <w:t>Valec</w:t>
      </w:r>
      <w:r w:rsidRPr="00E743E1">
        <w:rPr>
          <w:rFonts w:cstheme="minorHAnsi"/>
          <w:sz w:val="20"/>
          <w:szCs w:val="20"/>
        </w:rPr>
        <w:t xml:space="preserve">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6751A50C" w14:textId="7E9895A2" w:rsidR="00D0297F" w:rsidRPr="00E743E1" w:rsidRDefault="00D0297F" w:rsidP="00EA524A">
      <w:pPr>
        <w:spacing w:before="120" w:line="240" w:lineRule="auto"/>
        <w:jc w:val="both"/>
        <w:rPr>
          <w:rFonts w:cstheme="minorHAnsi"/>
          <w:sz w:val="20"/>
          <w:szCs w:val="20"/>
        </w:rPr>
      </w:pPr>
      <w:r w:rsidRPr="00E743E1">
        <w:rPr>
          <w:rFonts w:cstheme="minorHAnsi"/>
          <w:sz w:val="20"/>
          <w:szCs w:val="20"/>
        </w:rPr>
        <w:t>A principa</w:t>
      </w:r>
      <w:r w:rsidR="00A90AAA">
        <w:rPr>
          <w:rFonts w:cstheme="minorHAnsi"/>
          <w:sz w:val="20"/>
          <w:szCs w:val="20"/>
        </w:rPr>
        <w:t>l</w:t>
      </w:r>
      <w:r w:rsidRPr="00E743E1">
        <w:rPr>
          <w:rFonts w:cstheme="minorHAnsi"/>
          <w:sz w:val="20"/>
          <w:szCs w:val="20"/>
        </w:rPr>
        <w:t xml:space="preserve"> provis</w:t>
      </w:r>
      <w:r w:rsidR="00A90AAA">
        <w:rPr>
          <w:rFonts w:cstheme="minorHAnsi"/>
          <w:sz w:val="20"/>
          <w:szCs w:val="20"/>
        </w:rPr>
        <w:t>ão</w:t>
      </w:r>
      <w:r w:rsidRPr="00E743E1">
        <w:rPr>
          <w:rFonts w:cstheme="minorHAnsi"/>
          <w:sz w:val="20"/>
          <w:szCs w:val="20"/>
        </w:rPr>
        <w:t xml:space="preserve"> prováve</w:t>
      </w:r>
      <w:r w:rsidR="00A90AAA">
        <w:rPr>
          <w:rFonts w:cstheme="minorHAnsi"/>
          <w:sz w:val="20"/>
          <w:szCs w:val="20"/>
        </w:rPr>
        <w:t>l</w:t>
      </w:r>
      <w:r w:rsidRPr="00E743E1">
        <w:rPr>
          <w:rFonts w:cstheme="minorHAnsi"/>
          <w:sz w:val="20"/>
          <w:szCs w:val="20"/>
        </w:rPr>
        <w:t xml:space="preserve"> tributária </w:t>
      </w:r>
      <w:r w:rsidR="00A90AAA">
        <w:rPr>
          <w:rFonts w:cstheme="minorHAnsi"/>
          <w:sz w:val="20"/>
          <w:szCs w:val="20"/>
        </w:rPr>
        <w:t>é</w:t>
      </w:r>
      <w:r w:rsidRPr="00E743E1">
        <w:rPr>
          <w:rFonts w:cstheme="minorHAnsi"/>
          <w:sz w:val="20"/>
          <w:szCs w:val="20"/>
        </w:rPr>
        <w:t>:</w:t>
      </w:r>
    </w:p>
    <w:p w14:paraId="4235A330" w14:textId="3FFEAD69" w:rsidR="00D0297F" w:rsidRPr="00EA524A" w:rsidRDefault="00C113D6" w:rsidP="00C000AF">
      <w:pPr>
        <w:pStyle w:val="PargrafodaLista"/>
        <w:numPr>
          <w:ilvl w:val="0"/>
          <w:numId w:val="16"/>
        </w:numPr>
        <w:spacing w:after="0" w:line="240" w:lineRule="auto"/>
        <w:jc w:val="both"/>
        <w:rPr>
          <w:rFonts w:cstheme="minorHAnsi"/>
          <w:sz w:val="20"/>
          <w:szCs w:val="20"/>
        </w:rPr>
      </w:pPr>
      <w:r w:rsidRPr="00EA524A">
        <w:rPr>
          <w:rFonts w:cstheme="minorHAnsi"/>
          <w:sz w:val="20"/>
          <w:szCs w:val="20"/>
        </w:rPr>
        <w:t>Processo n</w:t>
      </w:r>
      <w:r w:rsidR="00E04049" w:rsidRPr="00EA524A">
        <w:rPr>
          <w:rFonts w:cstheme="minorHAnsi"/>
          <w:sz w:val="20"/>
          <w:szCs w:val="20"/>
        </w:rPr>
        <w:t>°</w:t>
      </w:r>
      <w:r w:rsidRPr="00EA524A">
        <w:rPr>
          <w:rFonts w:cstheme="minorHAnsi"/>
          <w:sz w:val="20"/>
          <w:szCs w:val="20"/>
        </w:rPr>
        <w:t xml:space="preserve"> </w:t>
      </w:r>
      <w:r w:rsidR="00D0297F" w:rsidRPr="00EA524A">
        <w:rPr>
          <w:rFonts w:cstheme="minorHAnsi"/>
          <w:sz w:val="20"/>
          <w:szCs w:val="20"/>
        </w:rPr>
        <w:t xml:space="preserve">1005464-23.2019.4.01.3309. Trata-se de ação anulatória de ISS pelo município de </w:t>
      </w:r>
      <w:proofErr w:type="spellStart"/>
      <w:r w:rsidR="00D0297F" w:rsidRPr="00EA524A">
        <w:rPr>
          <w:rFonts w:cstheme="minorHAnsi"/>
          <w:sz w:val="20"/>
          <w:szCs w:val="20"/>
        </w:rPr>
        <w:t>Ibiassuncê</w:t>
      </w:r>
      <w:proofErr w:type="spellEnd"/>
      <w:r w:rsidR="00D0297F" w:rsidRPr="00EA524A">
        <w:rPr>
          <w:rFonts w:cstheme="minorHAnsi"/>
          <w:sz w:val="20"/>
          <w:szCs w:val="20"/>
        </w:rPr>
        <w:t>-BA. Valor provável da provisão da contingência</w:t>
      </w:r>
      <w:r w:rsidR="00B57D8C" w:rsidRPr="00EA524A">
        <w:rPr>
          <w:rFonts w:cstheme="minorHAnsi"/>
          <w:sz w:val="20"/>
          <w:szCs w:val="20"/>
        </w:rPr>
        <w:t>:</w:t>
      </w:r>
      <w:r w:rsidR="00D0297F" w:rsidRPr="00EA524A">
        <w:rPr>
          <w:rFonts w:cstheme="minorHAnsi"/>
          <w:sz w:val="20"/>
          <w:szCs w:val="20"/>
        </w:rPr>
        <w:t xml:space="preserve"> R$ 1.105.829,47.</w:t>
      </w:r>
      <w:r w:rsidR="00D0297F" w:rsidRPr="00EA524A">
        <w:rPr>
          <w:rFonts w:cstheme="minorHAnsi"/>
          <w:sz w:val="20"/>
          <w:szCs w:val="20"/>
        </w:rPr>
        <w:tab/>
      </w:r>
    </w:p>
    <w:p w14:paraId="1EC23C82" w14:textId="77777777" w:rsidR="00D0297F" w:rsidRPr="00E743E1" w:rsidRDefault="00D0297F" w:rsidP="00C000AF">
      <w:pPr>
        <w:numPr>
          <w:ilvl w:val="0"/>
          <w:numId w:val="8"/>
        </w:numPr>
        <w:spacing w:before="120" w:line="240" w:lineRule="auto"/>
        <w:ind w:left="567" w:right="-142" w:hanging="567"/>
        <w:jc w:val="both"/>
        <w:rPr>
          <w:rFonts w:cstheme="minorHAnsi"/>
          <w:b/>
          <w:sz w:val="20"/>
          <w:szCs w:val="20"/>
          <w:u w:val="single"/>
        </w:rPr>
      </w:pPr>
      <w:r w:rsidRPr="00E743E1">
        <w:rPr>
          <w:rFonts w:cstheme="minorHAnsi"/>
          <w:b/>
          <w:sz w:val="20"/>
          <w:szCs w:val="20"/>
          <w:u w:val="single"/>
        </w:rPr>
        <w:t xml:space="preserve">Contingências de Ações Previdenciárias: </w:t>
      </w:r>
    </w:p>
    <w:p w14:paraId="1C98196D" w14:textId="18D38A84" w:rsidR="00D0297F" w:rsidRPr="00E743E1" w:rsidRDefault="00D0297F" w:rsidP="00EA524A">
      <w:pPr>
        <w:spacing w:before="120" w:line="240" w:lineRule="auto"/>
        <w:jc w:val="both"/>
        <w:rPr>
          <w:rFonts w:cstheme="minorHAnsi"/>
          <w:sz w:val="20"/>
          <w:szCs w:val="20"/>
        </w:rPr>
      </w:pPr>
      <w:r w:rsidRPr="00E743E1">
        <w:rPr>
          <w:rFonts w:cstheme="minorHAnsi"/>
          <w:sz w:val="20"/>
          <w:szCs w:val="20"/>
        </w:rPr>
        <w:t xml:space="preserve">Nas ações de natureza previdenciária acompanhadas pela </w:t>
      </w:r>
      <w:r w:rsidR="00427E0C">
        <w:rPr>
          <w:rFonts w:cstheme="minorHAnsi"/>
          <w:sz w:val="20"/>
          <w:szCs w:val="20"/>
        </w:rPr>
        <w:t>VALEC</w:t>
      </w:r>
      <w:r w:rsidRPr="00E743E1">
        <w:rPr>
          <w:rFonts w:cstheme="minorHAnsi"/>
          <w:sz w:val="20"/>
          <w:szCs w:val="20"/>
        </w:rPr>
        <w:t xml:space="preserve"> a parte autora pleiteia, da União, a complementação dos vencimentos de aposentadoria (Lei n</w:t>
      </w:r>
      <w:r w:rsidR="00E04049">
        <w:rPr>
          <w:rFonts w:cstheme="minorHAnsi"/>
          <w:sz w:val="20"/>
          <w:szCs w:val="20"/>
        </w:rPr>
        <w:t>°</w:t>
      </w:r>
      <w:r w:rsidRPr="00E743E1">
        <w:rPr>
          <w:rFonts w:cstheme="minorHAnsi"/>
          <w:sz w:val="20"/>
          <w:szCs w:val="20"/>
        </w:rPr>
        <w:t xml:space="preserve"> 10.233/200</w:t>
      </w:r>
      <w:r w:rsidR="00C113D6">
        <w:rPr>
          <w:rFonts w:cstheme="minorHAnsi"/>
          <w:sz w:val="20"/>
          <w:szCs w:val="20"/>
        </w:rPr>
        <w:t>1</w:t>
      </w:r>
      <w:r w:rsidRPr="00E743E1">
        <w:rPr>
          <w:rFonts w:cstheme="minorHAnsi"/>
          <w:sz w:val="20"/>
          <w:szCs w:val="20"/>
        </w:rPr>
        <w:t xml:space="preserve">) em relação aos valores atualmente pagos ao pessoal do quadro da </w:t>
      </w:r>
      <w:r w:rsidR="00427E0C">
        <w:rPr>
          <w:rFonts w:cstheme="minorHAnsi"/>
          <w:sz w:val="20"/>
          <w:szCs w:val="20"/>
        </w:rPr>
        <w:t>VALEC</w:t>
      </w:r>
      <w:r w:rsidRPr="00E743E1">
        <w:rPr>
          <w:rFonts w:cstheme="minorHAnsi"/>
          <w:sz w:val="20"/>
          <w:szCs w:val="20"/>
        </w:rPr>
        <w:t>, estatal que absorveu os empregados ativos da extinta RFFSA (Lei n</w:t>
      </w:r>
      <w:r w:rsidR="00E04049">
        <w:rPr>
          <w:rFonts w:cstheme="minorHAnsi"/>
          <w:sz w:val="20"/>
          <w:szCs w:val="20"/>
        </w:rPr>
        <w:t>°</w:t>
      </w:r>
      <w:r w:rsidRPr="00E743E1">
        <w:rPr>
          <w:rFonts w:cstheme="minorHAnsi"/>
          <w:sz w:val="20"/>
          <w:szCs w:val="20"/>
        </w:rPr>
        <w:t xml:space="preserve"> 11.483/2007). Não obstante a responsável pela eventual complementação de aposentadoria seja a União, os pedidos direcionados à V</w:t>
      </w:r>
      <w:r w:rsidR="00764AE6">
        <w:rPr>
          <w:rFonts w:cstheme="minorHAnsi"/>
          <w:sz w:val="20"/>
          <w:szCs w:val="20"/>
        </w:rPr>
        <w:t>ALEC</w:t>
      </w:r>
      <w:r w:rsidRPr="00E743E1">
        <w:rPr>
          <w:rFonts w:cstheme="minorHAnsi"/>
          <w:sz w:val="20"/>
          <w:szCs w:val="20"/>
        </w:rPr>
        <w:t xml:space="preserve"> resumem-se, basicamente, à apresentação de documentos relativos ao seu quadro de pessoal, como meio de confirmar e calcular esta possível complementação. </w:t>
      </w:r>
    </w:p>
    <w:p w14:paraId="1214280B" w14:textId="77777777" w:rsidR="00D0297F" w:rsidRPr="00E743E1" w:rsidRDefault="00D0297F" w:rsidP="00EA524A">
      <w:pPr>
        <w:spacing w:before="120" w:line="240" w:lineRule="auto"/>
        <w:jc w:val="both"/>
        <w:rPr>
          <w:rFonts w:cstheme="minorHAnsi"/>
          <w:sz w:val="20"/>
          <w:szCs w:val="20"/>
        </w:rPr>
      </w:pPr>
      <w:r w:rsidRPr="00E743E1">
        <w:rPr>
          <w:rFonts w:cstheme="minorHAnsi"/>
          <w:sz w:val="20"/>
          <w:szCs w:val="20"/>
        </w:rPr>
        <w:t>As principais provisões prováveis previdenciárias são:</w:t>
      </w:r>
    </w:p>
    <w:p w14:paraId="7B96343F" w14:textId="068E1624" w:rsidR="00D0297F" w:rsidRPr="00E743E1" w:rsidRDefault="00831DF5" w:rsidP="00C000AF">
      <w:pPr>
        <w:pStyle w:val="PargrafodaLista"/>
        <w:numPr>
          <w:ilvl w:val="0"/>
          <w:numId w:val="17"/>
        </w:numPr>
        <w:spacing w:line="240" w:lineRule="auto"/>
        <w:jc w:val="both"/>
        <w:rPr>
          <w:rFonts w:cstheme="minorHAnsi"/>
          <w:sz w:val="20"/>
          <w:szCs w:val="20"/>
        </w:rPr>
      </w:pPr>
      <w:r w:rsidRPr="00831DF5">
        <w:rPr>
          <w:rFonts w:cstheme="minorHAnsi"/>
          <w:sz w:val="20"/>
          <w:szCs w:val="20"/>
        </w:rPr>
        <w:t>Processo n</w:t>
      </w:r>
      <w:r w:rsidR="00E04049">
        <w:rPr>
          <w:rFonts w:cstheme="minorHAnsi"/>
          <w:sz w:val="24"/>
          <w:szCs w:val="24"/>
        </w:rPr>
        <w:t>°</w:t>
      </w:r>
      <w:r w:rsidRPr="00831DF5">
        <w:rPr>
          <w:rFonts w:cstheme="minorHAnsi"/>
          <w:sz w:val="20"/>
          <w:szCs w:val="20"/>
        </w:rPr>
        <w:t xml:space="preserve"> </w:t>
      </w:r>
      <w:r w:rsidR="00D0297F" w:rsidRPr="00E743E1">
        <w:rPr>
          <w:rFonts w:cstheme="minorHAnsi"/>
          <w:sz w:val="20"/>
          <w:szCs w:val="20"/>
        </w:rPr>
        <w:t xml:space="preserve">5000627-71.2021.4.03.6107. Trata-se de pleito para que a União/INSS proceda com a complementação de aposentadoria com equiparação no quadro ativo da </w:t>
      </w:r>
      <w:r w:rsidR="00427E0C">
        <w:rPr>
          <w:rFonts w:cstheme="minorHAnsi"/>
          <w:sz w:val="20"/>
          <w:szCs w:val="20"/>
        </w:rPr>
        <w:t>VALEC</w:t>
      </w:r>
      <w:r w:rsidR="00D0297F" w:rsidRPr="00E743E1">
        <w:rPr>
          <w:rFonts w:cstheme="minorHAnsi"/>
          <w:sz w:val="20"/>
          <w:szCs w:val="20"/>
        </w:rPr>
        <w:t>. Valor provável da provisão da contingência</w:t>
      </w:r>
      <w:r w:rsidR="009A56AD">
        <w:rPr>
          <w:rFonts w:cstheme="minorHAnsi"/>
          <w:sz w:val="20"/>
          <w:szCs w:val="20"/>
        </w:rPr>
        <w:t>:</w:t>
      </w:r>
      <w:r w:rsidR="00D0297F" w:rsidRPr="00E743E1">
        <w:rPr>
          <w:rFonts w:cstheme="minorHAnsi"/>
          <w:sz w:val="20"/>
          <w:szCs w:val="20"/>
        </w:rPr>
        <w:t xml:space="preserve"> R$ 231.573,00.</w:t>
      </w:r>
    </w:p>
    <w:p w14:paraId="4C5F54F0" w14:textId="1C2BA035" w:rsidR="00D0297F" w:rsidRPr="00E743E1" w:rsidRDefault="00764AE6" w:rsidP="00C000AF">
      <w:pPr>
        <w:pStyle w:val="PargrafodaLista"/>
        <w:numPr>
          <w:ilvl w:val="0"/>
          <w:numId w:val="17"/>
        </w:numPr>
        <w:tabs>
          <w:tab w:val="left" w:pos="851"/>
        </w:tabs>
        <w:spacing w:line="240" w:lineRule="auto"/>
        <w:jc w:val="both"/>
        <w:rPr>
          <w:rFonts w:cstheme="minorHAnsi"/>
          <w:sz w:val="20"/>
          <w:szCs w:val="20"/>
        </w:rPr>
      </w:pPr>
      <w:r w:rsidRPr="00831DF5">
        <w:rPr>
          <w:rFonts w:cstheme="minorHAnsi"/>
          <w:sz w:val="20"/>
          <w:szCs w:val="20"/>
        </w:rPr>
        <w:t>Processo n</w:t>
      </w:r>
      <w:r w:rsidR="00E04049">
        <w:rPr>
          <w:rFonts w:cstheme="minorHAnsi"/>
          <w:sz w:val="24"/>
          <w:szCs w:val="24"/>
        </w:rPr>
        <w:t>°</w:t>
      </w:r>
      <w:r w:rsidRPr="00831DF5">
        <w:rPr>
          <w:rFonts w:cstheme="minorHAnsi"/>
          <w:sz w:val="20"/>
          <w:szCs w:val="20"/>
        </w:rPr>
        <w:t xml:space="preserve"> </w:t>
      </w:r>
      <w:r w:rsidR="00D0297F" w:rsidRPr="00E743E1">
        <w:rPr>
          <w:rFonts w:cstheme="minorHAnsi"/>
          <w:sz w:val="20"/>
          <w:szCs w:val="20"/>
        </w:rPr>
        <w:t>5001880-31.2020.4.03.6107. Autor requer pagamento de diferenças referentes à complementação de aposentadoria com base na Lei n</w:t>
      </w:r>
      <w:r w:rsidR="00E04049">
        <w:rPr>
          <w:rFonts w:cstheme="minorHAnsi"/>
          <w:sz w:val="20"/>
          <w:szCs w:val="20"/>
        </w:rPr>
        <w:t>°</w:t>
      </w:r>
      <w:r w:rsidR="00D0297F" w:rsidRPr="00E743E1">
        <w:rPr>
          <w:rFonts w:cstheme="minorHAnsi"/>
          <w:sz w:val="20"/>
          <w:szCs w:val="20"/>
        </w:rPr>
        <w:t xml:space="preserve"> 8.186/91. Valor provável da provisão da contingência</w:t>
      </w:r>
      <w:r w:rsidR="009A56AD">
        <w:rPr>
          <w:rFonts w:cstheme="minorHAnsi"/>
          <w:sz w:val="20"/>
          <w:szCs w:val="20"/>
        </w:rPr>
        <w:t>:</w:t>
      </w:r>
      <w:r w:rsidR="00D0297F" w:rsidRPr="00E743E1">
        <w:rPr>
          <w:rFonts w:cstheme="minorHAnsi"/>
          <w:sz w:val="20"/>
          <w:szCs w:val="20"/>
        </w:rPr>
        <w:t xml:space="preserve"> R$108.197,88.</w:t>
      </w:r>
    </w:p>
    <w:p w14:paraId="14FDC5E8" w14:textId="50ADD5E3" w:rsidR="00757B50" w:rsidRDefault="00764AE6" w:rsidP="00C000AF">
      <w:pPr>
        <w:pStyle w:val="PargrafodaLista"/>
        <w:numPr>
          <w:ilvl w:val="0"/>
          <w:numId w:val="17"/>
        </w:numPr>
        <w:tabs>
          <w:tab w:val="left" w:pos="851"/>
        </w:tabs>
        <w:spacing w:line="240" w:lineRule="auto"/>
        <w:jc w:val="both"/>
        <w:rPr>
          <w:rFonts w:cstheme="minorHAnsi"/>
          <w:sz w:val="20"/>
          <w:szCs w:val="20"/>
        </w:rPr>
      </w:pPr>
      <w:r w:rsidRPr="00831DF5">
        <w:rPr>
          <w:rFonts w:cstheme="minorHAnsi"/>
          <w:sz w:val="20"/>
          <w:szCs w:val="20"/>
        </w:rPr>
        <w:t>Processo n</w:t>
      </w:r>
      <w:r w:rsidR="00E04049">
        <w:rPr>
          <w:rFonts w:cstheme="minorHAnsi"/>
          <w:sz w:val="24"/>
          <w:szCs w:val="24"/>
        </w:rPr>
        <w:t>°</w:t>
      </w:r>
      <w:r w:rsidRPr="00831DF5">
        <w:rPr>
          <w:rFonts w:cstheme="minorHAnsi"/>
          <w:sz w:val="20"/>
          <w:szCs w:val="20"/>
        </w:rPr>
        <w:t xml:space="preserve"> </w:t>
      </w:r>
      <w:r w:rsidR="000473D0" w:rsidRPr="00E743E1">
        <w:rPr>
          <w:rFonts w:cstheme="minorHAnsi"/>
          <w:sz w:val="20"/>
          <w:szCs w:val="20"/>
        </w:rPr>
        <w:t xml:space="preserve">0044589-52.2013.4.01.3300. Trata-se de pleito para que a União/INSS proceda com a complementação de aposentadoria conforme remuneração do pessoal da ativa da </w:t>
      </w:r>
      <w:r w:rsidR="00427E0C">
        <w:rPr>
          <w:rFonts w:cstheme="minorHAnsi"/>
          <w:sz w:val="20"/>
          <w:szCs w:val="20"/>
        </w:rPr>
        <w:t>VALEC</w:t>
      </w:r>
      <w:r w:rsidR="000473D0" w:rsidRPr="00E743E1">
        <w:rPr>
          <w:rFonts w:cstheme="minorHAnsi"/>
          <w:sz w:val="20"/>
          <w:szCs w:val="20"/>
        </w:rPr>
        <w:t>. Valor provável da provisão da contingência</w:t>
      </w:r>
      <w:r w:rsidR="009A56AD">
        <w:rPr>
          <w:rFonts w:cstheme="minorHAnsi"/>
          <w:sz w:val="20"/>
          <w:szCs w:val="20"/>
        </w:rPr>
        <w:t>:</w:t>
      </w:r>
      <w:r w:rsidR="000473D0" w:rsidRPr="00E743E1">
        <w:rPr>
          <w:rFonts w:cstheme="minorHAnsi"/>
          <w:sz w:val="20"/>
          <w:szCs w:val="20"/>
        </w:rPr>
        <w:t xml:space="preserve"> R$ 100.000,00.</w:t>
      </w:r>
    </w:p>
    <w:p w14:paraId="004A655D" w14:textId="77777777" w:rsidR="00D0297F" w:rsidRPr="00E743E1" w:rsidRDefault="00D0297F" w:rsidP="00FF2A02">
      <w:pPr>
        <w:spacing w:before="120" w:line="240" w:lineRule="auto"/>
        <w:jc w:val="both"/>
        <w:rPr>
          <w:rFonts w:cstheme="minorHAnsi"/>
          <w:b/>
          <w:sz w:val="20"/>
          <w:szCs w:val="20"/>
        </w:rPr>
      </w:pPr>
      <w:r w:rsidRPr="00E743E1">
        <w:rPr>
          <w:rFonts w:cstheme="minorHAnsi"/>
          <w:b/>
          <w:sz w:val="20"/>
          <w:szCs w:val="20"/>
        </w:rPr>
        <w:t xml:space="preserve">c) Ações com Riscos de Perdas Possíveis: </w:t>
      </w:r>
    </w:p>
    <w:p w14:paraId="01EE5E44" w14:textId="77777777" w:rsidR="009E386B" w:rsidRPr="009E386B" w:rsidRDefault="009E386B" w:rsidP="009E386B">
      <w:pPr>
        <w:spacing w:before="120" w:line="240" w:lineRule="auto"/>
        <w:jc w:val="both"/>
        <w:rPr>
          <w:rFonts w:cstheme="minorHAnsi"/>
          <w:sz w:val="20"/>
          <w:szCs w:val="20"/>
        </w:rPr>
      </w:pPr>
      <w:r w:rsidRPr="009E386B">
        <w:rPr>
          <w:rFonts w:cstheme="minorHAnsi"/>
          <w:sz w:val="20"/>
          <w:szCs w:val="20"/>
        </w:rPr>
        <w:t>Conforme Item n° 86 do Pronunciamento Técnico CPC 25 - Provisões, Passivos Contingentes e Ativos Contingentes; “a entidade deve divulgar para cada classe de passivo contingente na data do balanço, uma breve descrição da natureza do passivo contingente...”. Assim, os processos judiciais impetrados contra a VALEC, a extinta RFFSA e o GEIPOT, classificados pela Assessoria Jurídica como obrigações “possíveis”, não foram contabilizados, apenas divulgados em Nota Explicativa.</w:t>
      </w:r>
    </w:p>
    <w:p w14:paraId="6C26A689" w14:textId="242EC20C" w:rsidR="00D0297F" w:rsidRDefault="009E386B" w:rsidP="009E386B">
      <w:pPr>
        <w:spacing w:before="120" w:line="240" w:lineRule="auto"/>
        <w:jc w:val="both"/>
        <w:rPr>
          <w:rFonts w:cstheme="minorHAnsi"/>
          <w:sz w:val="20"/>
          <w:szCs w:val="20"/>
        </w:rPr>
      </w:pPr>
      <w:r w:rsidRPr="009E386B">
        <w:rPr>
          <w:rFonts w:cstheme="minorHAnsi"/>
          <w:sz w:val="20"/>
          <w:szCs w:val="20"/>
        </w:rPr>
        <w:t xml:space="preserve">Os processos judiciais classificados com “possível” risco de perda, apresentaram no </w:t>
      </w:r>
      <w:r w:rsidR="009A7BA3">
        <w:rPr>
          <w:rFonts w:cstheme="minorHAnsi"/>
          <w:sz w:val="20"/>
          <w:szCs w:val="20"/>
        </w:rPr>
        <w:t>primeiro trimestre</w:t>
      </w:r>
      <w:r w:rsidRPr="009E386B">
        <w:rPr>
          <w:rFonts w:cstheme="minorHAnsi"/>
          <w:sz w:val="20"/>
          <w:szCs w:val="20"/>
        </w:rPr>
        <w:t xml:space="preserve"> de 202</w:t>
      </w:r>
      <w:r w:rsidR="009A7BA3">
        <w:rPr>
          <w:rFonts w:cstheme="minorHAnsi"/>
          <w:sz w:val="20"/>
          <w:szCs w:val="20"/>
        </w:rPr>
        <w:t>4</w:t>
      </w:r>
      <w:r w:rsidRPr="009E386B">
        <w:rPr>
          <w:rFonts w:cstheme="minorHAnsi"/>
          <w:sz w:val="20"/>
          <w:szCs w:val="20"/>
        </w:rPr>
        <w:t xml:space="preserve"> os seguintes saldos:</w:t>
      </w:r>
    </w:p>
    <w:tbl>
      <w:tblPr>
        <w:tblW w:w="5000" w:type="pct"/>
        <w:tblCellMar>
          <w:left w:w="70" w:type="dxa"/>
          <w:right w:w="70" w:type="dxa"/>
        </w:tblCellMar>
        <w:tblLook w:val="04A0" w:firstRow="1" w:lastRow="0" w:firstColumn="1" w:lastColumn="0" w:noHBand="0" w:noVBand="1"/>
      </w:tblPr>
      <w:tblGrid>
        <w:gridCol w:w="2339"/>
        <w:gridCol w:w="4465"/>
        <w:gridCol w:w="1842"/>
        <w:gridCol w:w="1821"/>
      </w:tblGrid>
      <w:tr w:rsidR="00D0297F" w:rsidRPr="00F269C4" w14:paraId="5D59B878" w14:textId="77777777" w:rsidTr="00C05E96">
        <w:trPr>
          <w:trHeight w:hRule="exact" w:val="227"/>
        </w:trPr>
        <w:tc>
          <w:tcPr>
            <w:tcW w:w="1117" w:type="pct"/>
            <w:tcBorders>
              <w:top w:val="nil"/>
              <w:left w:val="nil"/>
              <w:bottom w:val="single" w:sz="8" w:space="0" w:color="auto"/>
              <w:right w:val="nil"/>
            </w:tcBorders>
            <w:shd w:val="clear" w:color="auto" w:fill="DEEAF6" w:themeFill="accent1" w:themeFillTint="33"/>
            <w:noWrap/>
            <w:vAlign w:val="center"/>
            <w:hideMark/>
          </w:tcPr>
          <w:bookmarkEnd w:id="85"/>
          <w:p w14:paraId="21CFB754" w14:textId="707E223C" w:rsidR="00D0297F" w:rsidRPr="005757D8" w:rsidRDefault="00D91C60"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Processos</w:t>
            </w:r>
          </w:p>
        </w:tc>
        <w:tc>
          <w:tcPr>
            <w:tcW w:w="2133" w:type="pct"/>
            <w:tcBorders>
              <w:top w:val="nil"/>
              <w:left w:val="nil"/>
              <w:bottom w:val="single" w:sz="8" w:space="0" w:color="auto"/>
              <w:right w:val="nil"/>
            </w:tcBorders>
            <w:shd w:val="clear" w:color="auto" w:fill="DEEAF6" w:themeFill="accent1" w:themeFillTint="33"/>
            <w:vAlign w:val="center"/>
          </w:tcPr>
          <w:p w14:paraId="38B8D82C"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nil"/>
              <w:left w:val="nil"/>
              <w:bottom w:val="single" w:sz="8" w:space="0" w:color="auto"/>
              <w:right w:val="nil"/>
            </w:tcBorders>
            <w:shd w:val="clear" w:color="auto" w:fill="DEEAF6" w:themeFill="accent1" w:themeFillTint="33"/>
            <w:vAlign w:val="center"/>
          </w:tcPr>
          <w:p w14:paraId="2649F4D7"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nil"/>
              <w:left w:val="nil"/>
              <w:bottom w:val="single" w:sz="8" w:space="0" w:color="auto"/>
              <w:right w:val="nil"/>
            </w:tcBorders>
            <w:shd w:val="clear" w:color="auto" w:fill="DEEAF6" w:themeFill="accent1" w:themeFillTint="33"/>
            <w:vAlign w:val="center"/>
            <w:hideMark/>
          </w:tcPr>
          <w:p w14:paraId="7E42A24F" w14:textId="27112F31" w:rsidR="00D0297F" w:rsidRPr="005757D8" w:rsidRDefault="00D0297F" w:rsidP="00127260">
            <w:pPr>
              <w:spacing w:after="0" w:line="256" w:lineRule="auto"/>
              <w:jc w:val="right"/>
              <w:rPr>
                <w:rFonts w:ascii="Calibri" w:hAnsi="Calibri" w:cs="Calibri"/>
                <w:b/>
                <w:sz w:val="16"/>
                <w:szCs w:val="16"/>
                <w:lang w:eastAsia="en-US"/>
              </w:rPr>
            </w:pPr>
            <w:r w:rsidRPr="005757D8">
              <w:rPr>
                <w:rFonts w:ascii="Calibri" w:hAnsi="Calibri" w:cs="Calibri"/>
                <w:b/>
                <w:sz w:val="16"/>
                <w:szCs w:val="16"/>
                <w:lang w:eastAsia="en-US"/>
              </w:rPr>
              <w:t>3</w:t>
            </w:r>
            <w:r w:rsidR="008F60E2">
              <w:rPr>
                <w:rFonts w:ascii="Calibri" w:hAnsi="Calibri" w:cs="Calibri"/>
                <w:b/>
                <w:sz w:val="16"/>
                <w:szCs w:val="16"/>
                <w:lang w:eastAsia="en-US"/>
              </w:rPr>
              <w:t>1</w:t>
            </w:r>
            <w:r w:rsidRPr="005757D8">
              <w:rPr>
                <w:rFonts w:ascii="Calibri" w:hAnsi="Calibri" w:cs="Calibri"/>
                <w:b/>
                <w:sz w:val="16"/>
                <w:szCs w:val="16"/>
                <w:lang w:eastAsia="en-US"/>
              </w:rPr>
              <w:t>/</w:t>
            </w:r>
            <w:r w:rsidR="005E2D9C">
              <w:rPr>
                <w:rFonts w:ascii="Calibri" w:hAnsi="Calibri" w:cs="Calibri"/>
                <w:b/>
                <w:sz w:val="16"/>
                <w:szCs w:val="16"/>
                <w:lang w:eastAsia="en-US"/>
              </w:rPr>
              <w:t>03</w:t>
            </w:r>
            <w:r w:rsidRPr="005757D8">
              <w:rPr>
                <w:rFonts w:ascii="Calibri" w:hAnsi="Calibri" w:cs="Calibri"/>
                <w:b/>
                <w:sz w:val="16"/>
                <w:szCs w:val="16"/>
                <w:lang w:eastAsia="en-US"/>
              </w:rPr>
              <w:t>/202</w:t>
            </w:r>
            <w:r w:rsidR="005E2D9C">
              <w:rPr>
                <w:rFonts w:ascii="Calibri" w:hAnsi="Calibri" w:cs="Calibri"/>
                <w:b/>
                <w:sz w:val="16"/>
                <w:szCs w:val="16"/>
                <w:lang w:eastAsia="en-US"/>
              </w:rPr>
              <w:t>4</w:t>
            </w:r>
          </w:p>
        </w:tc>
      </w:tr>
      <w:tr w:rsidR="00E447B7" w:rsidRPr="00F269C4" w14:paraId="1BA8C46A" w14:textId="77777777" w:rsidTr="00C05E96">
        <w:trPr>
          <w:trHeight w:hRule="exact" w:val="227"/>
        </w:trPr>
        <w:tc>
          <w:tcPr>
            <w:tcW w:w="1117" w:type="pct"/>
            <w:noWrap/>
            <w:vAlign w:val="center"/>
            <w:hideMark/>
          </w:tcPr>
          <w:p w14:paraId="5606B28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Desapropriações</w:t>
            </w:r>
          </w:p>
        </w:tc>
        <w:tc>
          <w:tcPr>
            <w:tcW w:w="2133" w:type="pct"/>
            <w:noWrap/>
            <w:vAlign w:val="center"/>
          </w:tcPr>
          <w:p w14:paraId="59FBC43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2AA2CC9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28FA48E" w14:textId="2FB7077A" w:rsidR="00E447B7" w:rsidRPr="005757D8" w:rsidRDefault="00967F5B" w:rsidP="00E447B7">
            <w:pPr>
              <w:spacing w:after="0" w:line="256" w:lineRule="auto"/>
              <w:jc w:val="right"/>
              <w:rPr>
                <w:rFonts w:ascii="Calibri" w:hAnsi="Calibri" w:cs="Calibri"/>
                <w:sz w:val="16"/>
                <w:szCs w:val="16"/>
                <w:lang w:eastAsia="en-US"/>
              </w:rPr>
            </w:pPr>
            <w:r>
              <w:rPr>
                <w:rFonts w:ascii="Calibri" w:hAnsi="Calibri" w:cs="Calibri"/>
                <w:sz w:val="16"/>
                <w:szCs w:val="16"/>
                <w:lang w:eastAsia="en-US"/>
              </w:rPr>
              <w:t>4.080.</w:t>
            </w:r>
            <w:r w:rsidR="0032109C">
              <w:rPr>
                <w:rFonts w:ascii="Calibri" w:hAnsi="Calibri" w:cs="Calibri"/>
                <w:sz w:val="16"/>
                <w:szCs w:val="16"/>
                <w:lang w:eastAsia="en-US"/>
              </w:rPr>
              <w:t>824</w:t>
            </w:r>
          </w:p>
        </w:tc>
      </w:tr>
      <w:tr w:rsidR="00E447B7" w:rsidRPr="00F269C4" w14:paraId="6AC23C33" w14:textId="77777777" w:rsidTr="00C05E96">
        <w:trPr>
          <w:trHeight w:hRule="exact" w:val="227"/>
        </w:trPr>
        <w:tc>
          <w:tcPr>
            <w:tcW w:w="1117" w:type="pct"/>
            <w:noWrap/>
            <w:vAlign w:val="center"/>
            <w:hideMark/>
          </w:tcPr>
          <w:p w14:paraId="3483CE6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Trabalhistas</w:t>
            </w:r>
          </w:p>
        </w:tc>
        <w:tc>
          <w:tcPr>
            <w:tcW w:w="2133" w:type="pct"/>
            <w:noWrap/>
            <w:vAlign w:val="center"/>
          </w:tcPr>
          <w:p w14:paraId="3F92329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66AB974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5FD7897C" w14:textId="1428FB78" w:rsidR="00E447B7" w:rsidRPr="005757D8" w:rsidRDefault="0032109C" w:rsidP="00E447B7">
            <w:pPr>
              <w:spacing w:after="0" w:line="256" w:lineRule="auto"/>
              <w:jc w:val="right"/>
              <w:rPr>
                <w:rFonts w:ascii="Calibri" w:hAnsi="Calibri" w:cs="Calibri"/>
                <w:sz w:val="16"/>
                <w:szCs w:val="16"/>
                <w:lang w:eastAsia="en-US"/>
              </w:rPr>
            </w:pPr>
            <w:r>
              <w:rPr>
                <w:rFonts w:ascii="Calibri" w:hAnsi="Calibri" w:cs="Calibri"/>
                <w:sz w:val="16"/>
                <w:szCs w:val="16"/>
                <w:lang w:eastAsia="en-US"/>
              </w:rPr>
              <w:t>73.415</w:t>
            </w:r>
            <w:r w:rsidR="009A51BD">
              <w:rPr>
                <w:rFonts w:ascii="Calibri" w:hAnsi="Calibri" w:cs="Calibri"/>
                <w:sz w:val="16"/>
                <w:szCs w:val="16"/>
                <w:lang w:eastAsia="en-US"/>
              </w:rPr>
              <w:t>.703</w:t>
            </w:r>
          </w:p>
        </w:tc>
      </w:tr>
      <w:tr w:rsidR="00E447B7" w:rsidRPr="00F269C4" w14:paraId="1CE494B8" w14:textId="77777777" w:rsidTr="00C05E96">
        <w:trPr>
          <w:trHeight w:hRule="exact" w:val="227"/>
        </w:trPr>
        <w:tc>
          <w:tcPr>
            <w:tcW w:w="1117" w:type="pct"/>
            <w:noWrap/>
            <w:vAlign w:val="center"/>
            <w:hideMark/>
          </w:tcPr>
          <w:p w14:paraId="388C6EC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Cíveis</w:t>
            </w:r>
          </w:p>
        </w:tc>
        <w:tc>
          <w:tcPr>
            <w:tcW w:w="2133" w:type="pct"/>
            <w:noWrap/>
            <w:vAlign w:val="center"/>
          </w:tcPr>
          <w:p w14:paraId="7E82CAF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7AB15D8A"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015E620F" w14:textId="3A1F6D30" w:rsidR="00E447B7" w:rsidRPr="005757D8" w:rsidRDefault="007B16B1" w:rsidP="00E447B7">
            <w:pPr>
              <w:spacing w:after="0" w:line="256" w:lineRule="auto"/>
              <w:jc w:val="right"/>
              <w:rPr>
                <w:rFonts w:ascii="Calibri" w:hAnsi="Calibri" w:cs="Calibri"/>
                <w:sz w:val="16"/>
                <w:szCs w:val="16"/>
                <w:lang w:eastAsia="en-US"/>
              </w:rPr>
            </w:pPr>
            <w:r w:rsidRPr="007B16B1">
              <w:rPr>
                <w:rFonts w:ascii="Calibri" w:hAnsi="Calibri" w:cs="Calibri"/>
                <w:sz w:val="16"/>
                <w:szCs w:val="16"/>
                <w:lang w:eastAsia="en-US"/>
              </w:rPr>
              <w:t>1.</w:t>
            </w:r>
            <w:r w:rsidR="009A51BD">
              <w:rPr>
                <w:rFonts w:ascii="Calibri" w:hAnsi="Calibri" w:cs="Calibri"/>
                <w:sz w:val="16"/>
                <w:szCs w:val="16"/>
                <w:lang w:eastAsia="en-US"/>
              </w:rPr>
              <w:t>849.990.696</w:t>
            </w:r>
          </w:p>
        </w:tc>
      </w:tr>
      <w:tr w:rsidR="00E447B7" w:rsidRPr="00F269C4" w14:paraId="0E524DE1" w14:textId="77777777" w:rsidTr="00C05E96">
        <w:trPr>
          <w:trHeight w:hRule="exact" w:val="227"/>
        </w:trPr>
        <w:tc>
          <w:tcPr>
            <w:tcW w:w="1117" w:type="pct"/>
            <w:noWrap/>
            <w:vAlign w:val="center"/>
            <w:hideMark/>
          </w:tcPr>
          <w:p w14:paraId="082A2453"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Tributárias</w:t>
            </w:r>
          </w:p>
        </w:tc>
        <w:tc>
          <w:tcPr>
            <w:tcW w:w="2133" w:type="pct"/>
            <w:noWrap/>
            <w:vAlign w:val="center"/>
          </w:tcPr>
          <w:p w14:paraId="53C03C16"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10CDF57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84EB3BE" w14:textId="06C2CBE2" w:rsidR="00E447B7" w:rsidRPr="005757D8" w:rsidRDefault="00090769" w:rsidP="00E447B7">
            <w:pPr>
              <w:spacing w:after="0" w:line="256" w:lineRule="auto"/>
              <w:jc w:val="right"/>
              <w:rPr>
                <w:rFonts w:ascii="Calibri" w:hAnsi="Calibri" w:cs="Calibri"/>
                <w:sz w:val="16"/>
                <w:szCs w:val="16"/>
                <w:lang w:eastAsia="en-US"/>
              </w:rPr>
            </w:pPr>
            <w:r>
              <w:rPr>
                <w:rFonts w:ascii="Calibri" w:hAnsi="Calibri" w:cs="Calibri"/>
                <w:sz w:val="16"/>
                <w:szCs w:val="16"/>
                <w:lang w:eastAsia="en-US"/>
              </w:rPr>
              <w:t>24.497</w:t>
            </w:r>
            <w:r w:rsidR="0045074B">
              <w:rPr>
                <w:rFonts w:ascii="Calibri" w:hAnsi="Calibri" w:cs="Calibri"/>
                <w:sz w:val="16"/>
                <w:szCs w:val="16"/>
                <w:lang w:eastAsia="en-US"/>
              </w:rPr>
              <w:t>.505</w:t>
            </w:r>
          </w:p>
        </w:tc>
      </w:tr>
      <w:tr w:rsidR="00E447B7" w:rsidRPr="00F269C4" w14:paraId="0AE3A193" w14:textId="77777777" w:rsidTr="00C05E96">
        <w:trPr>
          <w:trHeight w:hRule="exact" w:val="227"/>
        </w:trPr>
        <w:tc>
          <w:tcPr>
            <w:tcW w:w="1117" w:type="pct"/>
            <w:noWrap/>
            <w:vAlign w:val="center"/>
            <w:hideMark/>
          </w:tcPr>
          <w:p w14:paraId="068259A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Previdenciárias</w:t>
            </w:r>
          </w:p>
        </w:tc>
        <w:tc>
          <w:tcPr>
            <w:tcW w:w="2133" w:type="pct"/>
            <w:noWrap/>
            <w:vAlign w:val="center"/>
          </w:tcPr>
          <w:p w14:paraId="51B615E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51728479"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3150FC16" w14:textId="3A9418EC" w:rsidR="00E447B7" w:rsidRPr="005757D8" w:rsidRDefault="0045074B" w:rsidP="00E447B7">
            <w:pPr>
              <w:spacing w:after="0" w:line="256" w:lineRule="auto"/>
              <w:jc w:val="right"/>
              <w:rPr>
                <w:rFonts w:ascii="Calibri" w:hAnsi="Calibri" w:cs="Calibri"/>
                <w:sz w:val="16"/>
                <w:szCs w:val="16"/>
                <w:lang w:eastAsia="en-US"/>
              </w:rPr>
            </w:pPr>
            <w:r>
              <w:rPr>
                <w:rFonts w:ascii="Calibri" w:hAnsi="Calibri" w:cs="Calibri"/>
                <w:sz w:val="16"/>
                <w:szCs w:val="16"/>
                <w:lang w:eastAsia="en-US"/>
              </w:rPr>
              <w:t>8.198</w:t>
            </w:r>
            <w:r w:rsidR="005E063E">
              <w:rPr>
                <w:rFonts w:ascii="Calibri" w:hAnsi="Calibri" w:cs="Calibri"/>
                <w:sz w:val="16"/>
                <w:szCs w:val="16"/>
                <w:lang w:eastAsia="en-US"/>
              </w:rPr>
              <w:t>.143</w:t>
            </w:r>
          </w:p>
        </w:tc>
      </w:tr>
      <w:tr w:rsidR="00D0297F" w:rsidRPr="00F269C4" w14:paraId="079E9488" w14:textId="77777777" w:rsidTr="00C05E96">
        <w:trPr>
          <w:trHeight w:hRule="exact" w:val="227"/>
        </w:trPr>
        <w:tc>
          <w:tcPr>
            <w:tcW w:w="1117" w:type="pct"/>
            <w:tcBorders>
              <w:top w:val="single" w:sz="8" w:space="0" w:color="auto"/>
              <w:left w:val="nil"/>
              <w:bottom w:val="single" w:sz="8" w:space="0" w:color="auto"/>
              <w:right w:val="nil"/>
            </w:tcBorders>
            <w:shd w:val="clear" w:color="auto" w:fill="DEEAF6" w:themeFill="accent1" w:themeFillTint="33"/>
            <w:noWrap/>
            <w:vAlign w:val="center"/>
            <w:hideMark/>
          </w:tcPr>
          <w:p w14:paraId="59BA461D" w14:textId="70FFB49E" w:rsidR="00D0297F" w:rsidRPr="005757D8" w:rsidRDefault="00A52415"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Saldo</w:t>
            </w:r>
          </w:p>
        </w:tc>
        <w:tc>
          <w:tcPr>
            <w:tcW w:w="2133" w:type="pct"/>
            <w:tcBorders>
              <w:top w:val="single" w:sz="8" w:space="0" w:color="auto"/>
              <w:left w:val="nil"/>
              <w:bottom w:val="single" w:sz="8" w:space="0" w:color="auto"/>
              <w:right w:val="nil"/>
            </w:tcBorders>
            <w:shd w:val="clear" w:color="auto" w:fill="DEEAF6" w:themeFill="accent1" w:themeFillTint="33"/>
            <w:noWrap/>
            <w:vAlign w:val="center"/>
          </w:tcPr>
          <w:p w14:paraId="5A20ABD6"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single" w:sz="8" w:space="0" w:color="auto"/>
              <w:left w:val="nil"/>
              <w:bottom w:val="single" w:sz="8" w:space="0" w:color="auto"/>
              <w:right w:val="nil"/>
            </w:tcBorders>
            <w:shd w:val="clear" w:color="auto" w:fill="DEEAF6" w:themeFill="accent1" w:themeFillTint="33"/>
            <w:vAlign w:val="center"/>
          </w:tcPr>
          <w:p w14:paraId="326D20C3"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single" w:sz="8" w:space="0" w:color="auto"/>
              <w:left w:val="nil"/>
              <w:bottom w:val="single" w:sz="8" w:space="0" w:color="auto"/>
              <w:right w:val="nil"/>
            </w:tcBorders>
            <w:shd w:val="clear" w:color="auto" w:fill="DEEAF6" w:themeFill="accent1" w:themeFillTint="33"/>
            <w:vAlign w:val="center"/>
            <w:hideMark/>
          </w:tcPr>
          <w:p w14:paraId="3DD74C80" w14:textId="4C1EC3A9" w:rsidR="00D0297F" w:rsidRPr="005757D8" w:rsidRDefault="00211FEA" w:rsidP="00127260">
            <w:pPr>
              <w:spacing w:after="0" w:line="256" w:lineRule="auto"/>
              <w:jc w:val="right"/>
              <w:rPr>
                <w:rFonts w:ascii="Calibri" w:hAnsi="Calibri" w:cs="Calibri"/>
                <w:b/>
                <w:sz w:val="16"/>
                <w:szCs w:val="16"/>
                <w:lang w:eastAsia="en-US"/>
              </w:rPr>
            </w:pPr>
            <w:r w:rsidRPr="00211FEA">
              <w:rPr>
                <w:rFonts w:ascii="Calibri" w:hAnsi="Calibri" w:cs="Calibri"/>
                <w:b/>
                <w:sz w:val="16"/>
                <w:szCs w:val="16"/>
              </w:rPr>
              <w:t>1.</w:t>
            </w:r>
            <w:r w:rsidR="00473146">
              <w:rPr>
                <w:rFonts w:ascii="Calibri" w:hAnsi="Calibri" w:cs="Calibri"/>
                <w:b/>
                <w:sz w:val="16"/>
                <w:szCs w:val="16"/>
              </w:rPr>
              <w:t>960</w:t>
            </w:r>
            <w:r w:rsidR="00E83C63">
              <w:rPr>
                <w:rFonts w:ascii="Calibri" w:hAnsi="Calibri" w:cs="Calibri"/>
                <w:b/>
                <w:sz w:val="16"/>
                <w:szCs w:val="16"/>
              </w:rPr>
              <w:t>.</w:t>
            </w:r>
            <w:r w:rsidR="00473146">
              <w:rPr>
                <w:rFonts w:ascii="Calibri" w:hAnsi="Calibri" w:cs="Calibri"/>
                <w:b/>
                <w:sz w:val="16"/>
                <w:szCs w:val="16"/>
              </w:rPr>
              <w:t>182.871</w:t>
            </w:r>
          </w:p>
        </w:tc>
      </w:tr>
    </w:tbl>
    <w:p w14:paraId="4512D5D4" w14:textId="77777777" w:rsidR="008D0515" w:rsidRPr="00F269C4" w:rsidRDefault="008D0515" w:rsidP="006E5BCC">
      <w:pPr>
        <w:spacing w:after="0"/>
        <w:jc w:val="both"/>
        <w:rPr>
          <w:rFonts w:ascii="Calibri" w:hAnsi="Calibri" w:cs="Calibri"/>
          <w:color w:val="FF0000"/>
          <w:shd w:val="clear" w:color="auto" w:fill="FFFFFF"/>
        </w:rPr>
      </w:pPr>
    </w:p>
    <w:p w14:paraId="32F78C6F" w14:textId="4DDB78DF" w:rsidR="00E71553" w:rsidRPr="006E5BCC" w:rsidRDefault="00806911" w:rsidP="006E5BCC">
      <w:pPr>
        <w:pStyle w:val="Ttulo1"/>
      </w:pPr>
      <w:bookmarkStart w:id="86" w:name="_Toc184926692"/>
      <w:bookmarkStart w:id="87" w:name="_Hlk126321850"/>
      <w:bookmarkEnd w:id="58"/>
      <w:bookmarkEnd w:id="63"/>
      <w:r w:rsidRPr="006E5BCC">
        <w:t>2</w:t>
      </w:r>
      <w:r w:rsidR="001F54A0">
        <w:t>3</w:t>
      </w:r>
      <w:r w:rsidRPr="006E5BCC">
        <w:t xml:space="preserve"> </w:t>
      </w:r>
      <w:r w:rsidR="004B6C8A" w:rsidRPr="00053E94">
        <w:t>–</w:t>
      </w:r>
      <w:r w:rsidR="004E10EA" w:rsidRPr="00053E94">
        <w:t xml:space="preserve"> </w:t>
      </w:r>
      <w:r w:rsidR="00E71553" w:rsidRPr="00053E94">
        <w:t>Depósitos Retidos sobre Fornecedores</w:t>
      </w:r>
      <w:bookmarkEnd w:id="86"/>
    </w:p>
    <w:p w14:paraId="3FE9A4DA" w14:textId="728F4AC5" w:rsidR="0077683C" w:rsidRPr="006E5BCC" w:rsidRDefault="007706F3" w:rsidP="006C0510">
      <w:pPr>
        <w:pStyle w:val="Textoembloco"/>
        <w:spacing w:before="120" w:line="240" w:lineRule="auto"/>
        <w:ind w:left="0" w:right="0"/>
        <w:rPr>
          <w:rFonts w:asciiTheme="minorHAnsi" w:hAnsiTheme="minorHAnsi" w:cstheme="minorHAnsi"/>
          <w:shd w:val="clear" w:color="auto" w:fill="FFFFFF"/>
        </w:rPr>
      </w:pPr>
      <w:r w:rsidRPr="007706F3">
        <w:rPr>
          <w:rFonts w:asciiTheme="minorHAnsi" w:hAnsiTheme="minorHAnsi" w:cstheme="minorHAnsi"/>
          <w:shd w:val="clear" w:color="auto" w:fill="FFFFFF"/>
        </w:rPr>
        <w:t>A conta “Depósitos Retidos de Fornecedores” registra as retenções contratuais sobre pagamentos a fornecedores e outras retenções como glosas por determinações dos Órgãos de Controle, principalmente relacionadas às glosas de ISS em razão de diferença de alíquota utilizada no cálculo do BDI e a da efetiva quando do serviço prestado.</w:t>
      </w:r>
    </w:p>
    <w:tbl>
      <w:tblPr>
        <w:tblW w:w="5000" w:type="pct"/>
        <w:tblCellMar>
          <w:left w:w="70" w:type="dxa"/>
          <w:right w:w="70" w:type="dxa"/>
        </w:tblCellMar>
        <w:tblLook w:val="04A0" w:firstRow="1" w:lastRow="0" w:firstColumn="1" w:lastColumn="0" w:noHBand="0" w:noVBand="1"/>
      </w:tblPr>
      <w:tblGrid>
        <w:gridCol w:w="4983"/>
        <w:gridCol w:w="681"/>
        <w:gridCol w:w="678"/>
        <w:gridCol w:w="1835"/>
        <w:gridCol w:w="1145"/>
        <w:gridCol w:w="1145"/>
      </w:tblGrid>
      <w:tr w:rsidR="00F56B1D" w:rsidRPr="005A4718" w14:paraId="46682305" w14:textId="77777777" w:rsidTr="00C05E96">
        <w:trPr>
          <w:trHeight w:hRule="exact" w:val="227"/>
        </w:trPr>
        <w:tc>
          <w:tcPr>
            <w:tcW w:w="6282" w:type="dxa"/>
            <w:gridSpan w:val="3"/>
            <w:tcBorders>
              <w:top w:val="nil"/>
              <w:left w:val="nil"/>
              <w:bottom w:val="single" w:sz="8" w:space="0" w:color="auto"/>
              <w:right w:val="nil"/>
            </w:tcBorders>
            <w:shd w:val="clear" w:color="auto" w:fill="DEEAF6" w:themeFill="accent1" w:themeFillTint="33"/>
            <w:noWrap/>
            <w:vAlign w:val="center"/>
            <w:hideMark/>
          </w:tcPr>
          <w:bookmarkEnd w:id="87"/>
          <w:p w14:paraId="5DD35C6F"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DEPÓSITOS RETIDOS SOBRE FORNECEDORES</w:t>
            </w:r>
          </w:p>
        </w:tc>
        <w:tc>
          <w:tcPr>
            <w:tcW w:w="1817" w:type="dxa"/>
            <w:tcBorders>
              <w:top w:val="nil"/>
              <w:left w:val="nil"/>
              <w:bottom w:val="single" w:sz="8" w:space="0" w:color="auto"/>
              <w:right w:val="nil"/>
            </w:tcBorders>
            <w:shd w:val="clear" w:color="auto" w:fill="DEEAF6" w:themeFill="accent1" w:themeFillTint="33"/>
            <w:noWrap/>
            <w:vAlign w:val="center"/>
            <w:hideMark/>
          </w:tcPr>
          <w:p w14:paraId="108DED90"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1134" w:type="dxa"/>
            <w:tcBorders>
              <w:top w:val="nil"/>
              <w:left w:val="nil"/>
              <w:bottom w:val="single" w:sz="8" w:space="0" w:color="auto"/>
              <w:right w:val="nil"/>
            </w:tcBorders>
            <w:shd w:val="clear" w:color="auto" w:fill="DEEAF6" w:themeFill="accent1" w:themeFillTint="33"/>
            <w:noWrap/>
            <w:vAlign w:val="center"/>
            <w:hideMark/>
          </w:tcPr>
          <w:p w14:paraId="2FDF5B9F" w14:textId="44790C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3</w:t>
            </w:r>
            <w:r w:rsidR="008E42DB">
              <w:rPr>
                <w:rFonts w:ascii="Calibri" w:hAnsi="Calibri" w:cs="Calibri"/>
                <w:b/>
                <w:sz w:val="16"/>
                <w:szCs w:val="16"/>
              </w:rPr>
              <w:t>1</w:t>
            </w:r>
            <w:r w:rsidRPr="00CA4F46">
              <w:rPr>
                <w:rFonts w:ascii="Calibri" w:hAnsi="Calibri" w:cs="Calibri"/>
                <w:b/>
                <w:sz w:val="16"/>
                <w:szCs w:val="16"/>
              </w:rPr>
              <w:t>/</w:t>
            </w:r>
            <w:r w:rsidR="00A55212">
              <w:rPr>
                <w:rFonts w:ascii="Calibri" w:hAnsi="Calibri" w:cs="Calibri"/>
                <w:b/>
                <w:sz w:val="16"/>
                <w:szCs w:val="16"/>
              </w:rPr>
              <w:t>03/2024</w:t>
            </w:r>
          </w:p>
        </w:tc>
        <w:tc>
          <w:tcPr>
            <w:tcW w:w="1134" w:type="dxa"/>
            <w:tcBorders>
              <w:top w:val="nil"/>
              <w:left w:val="nil"/>
              <w:bottom w:val="single" w:sz="8" w:space="0" w:color="auto"/>
              <w:right w:val="nil"/>
            </w:tcBorders>
            <w:shd w:val="clear" w:color="auto" w:fill="DEEAF6" w:themeFill="accent1" w:themeFillTint="33"/>
            <w:noWrap/>
            <w:vAlign w:val="center"/>
            <w:hideMark/>
          </w:tcPr>
          <w:p w14:paraId="26CA9FFB" w14:textId="46C803EC"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31/12/202</w:t>
            </w:r>
            <w:r w:rsidR="00A55212">
              <w:rPr>
                <w:rFonts w:ascii="Calibri" w:hAnsi="Calibri" w:cs="Calibri"/>
                <w:b/>
                <w:sz w:val="16"/>
                <w:szCs w:val="16"/>
              </w:rPr>
              <w:t>3</w:t>
            </w:r>
          </w:p>
        </w:tc>
      </w:tr>
      <w:tr w:rsidR="00A55212" w:rsidRPr="005A4718" w14:paraId="0E61237E" w14:textId="77777777" w:rsidTr="00C05E96">
        <w:trPr>
          <w:trHeight w:hRule="exact" w:val="227"/>
        </w:trPr>
        <w:tc>
          <w:tcPr>
            <w:tcW w:w="5610" w:type="dxa"/>
            <w:gridSpan w:val="2"/>
            <w:tcBorders>
              <w:top w:val="single" w:sz="8" w:space="0" w:color="auto"/>
              <w:left w:val="nil"/>
              <w:bottom w:val="nil"/>
              <w:right w:val="nil"/>
            </w:tcBorders>
            <w:shd w:val="clear" w:color="auto" w:fill="auto"/>
            <w:noWrap/>
            <w:vAlign w:val="center"/>
            <w:hideMark/>
          </w:tcPr>
          <w:p w14:paraId="2414518E" w14:textId="7A580BA5" w:rsidR="00A55212" w:rsidRPr="00CA4F46" w:rsidRDefault="00A55212" w:rsidP="00A55212">
            <w:pPr>
              <w:spacing w:after="0"/>
              <w:rPr>
                <w:rFonts w:ascii="Calibri" w:hAnsi="Calibri" w:cs="Calibri"/>
                <w:sz w:val="16"/>
                <w:szCs w:val="16"/>
              </w:rPr>
            </w:pPr>
            <w:r w:rsidRPr="00CA4F46">
              <w:rPr>
                <w:rFonts w:ascii="Calibri" w:hAnsi="Calibri" w:cs="Calibri"/>
                <w:sz w:val="16"/>
                <w:szCs w:val="16"/>
              </w:rPr>
              <w:t xml:space="preserve"> Saldo </w:t>
            </w:r>
            <w:r>
              <w:rPr>
                <w:rFonts w:ascii="Calibri" w:hAnsi="Calibri" w:cs="Calibri"/>
                <w:sz w:val="16"/>
                <w:szCs w:val="16"/>
              </w:rPr>
              <w:t>A</w:t>
            </w:r>
            <w:r w:rsidRPr="00CA4F46">
              <w:rPr>
                <w:rFonts w:ascii="Calibri" w:hAnsi="Calibri" w:cs="Calibri"/>
                <w:sz w:val="16"/>
                <w:szCs w:val="16"/>
              </w:rPr>
              <w:t>nterior</w:t>
            </w:r>
          </w:p>
        </w:tc>
        <w:tc>
          <w:tcPr>
            <w:tcW w:w="672" w:type="dxa"/>
            <w:tcBorders>
              <w:top w:val="nil"/>
              <w:left w:val="nil"/>
              <w:bottom w:val="nil"/>
              <w:right w:val="nil"/>
            </w:tcBorders>
            <w:shd w:val="clear" w:color="auto" w:fill="auto"/>
            <w:noWrap/>
            <w:vAlign w:val="center"/>
            <w:hideMark/>
          </w:tcPr>
          <w:p w14:paraId="3A898D27" w14:textId="77777777" w:rsidR="00A55212" w:rsidRPr="00CA4F46" w:rsidRDefault="00A55212" w:rsidP="00A55212">
            <w:pPr>
              <w:spacing w:after="0"/>
              <w:rPr>
                <w:rFonts w:ascii="Calibri" w:hAnsi="Calibri" w:cs="Calibri"/>
                <w:sz w:val="16"/>
                <w:szCs w:val="16"/>
              </w:rPr>
            </w:pPr>
          </w:p>
        </w:tc>
        <w:tc>
          <w:tcPr>
            <w:tcW w:w="1817" w:type="dxa"/>
            <w:tcBorders>
              <w:top w:val="nil"/>
              <w:left w:val="nil"/>
              <w:bottom w:val="nil"/>
              <w:right w:val="nil"/>
            </w:tcBorders>
            <w:shd w:val="clear" w:color="auto" w:fill="auto"/>
            <w:noWrap/>
            <w:vAlign w:val="center"/>
            <w:hideMark/>
          </w:tcPr>
          <w:p w14:paraId="49F8DF78" w14:textId="77777777" w:rsidR="00A55212" w:rsidRPr="00CA4F46" w:rsidRDefault="00A55212" w:rsidP="00A55212">
            <w:pPr>
              <w:spacing w:after="0"/>
              <w:rPr>
                <w:sz w:val="20"/>
                <w:szCs w:val="20"/>
              </w:rPr>
            </w:pPr>
          </w:p>
        </w:tc>
        <w:tc>
          <w:tcPr>
            <w:tcW w:w="1134" w:type="dxa"/>
            <w:tcBorders>
              <w:top w:val="nil"/>
              <w:left w:val="nil"/>
              <w:bottom w:val="nil"/>
              <w:right w:val="nil"/>
            </w:tcBorders>
            <w:shd w:val="clear" w:color="auto" w:fill="auto"/>
            <w:noWrap/>
            <w:vAlign w:val="center"/>
          </w:tcPr>
          <w:p w14:paraId="6BA1D150" w14:textId="0C04F62E" w:rsidR="00A55212" w:rsidRPr="00CA4F46" w:rsidRDefault="007E3C8C" w:rsidP="00A55212">
            <w:pPr>
              <w:spacing w:after="0"/>
              <w:jc w:val="right"/>
              <w:rPr>
                <w:rFonts w:ascii="Calibri" w:hAnsi="Calibri" w:cs="Calibri"/>
                <w:sz w:val="16"/>
                <w:szCs w:val="16"/>
              </w:rPr>
            </w:pPr>
            <w:r>
              <w:rPr>
                <w:rFonts w:ascii="Calibri" w:hAnsi="Calibri" w:cs="Calibri"/>
                <w:sz w:val="16"/>
                <w:szCs w:val="16"/>
              </w:rPr>
              <w:t>27.544.83</w:t>
            </w:r>
            <w:r w:rsidR="00B7230C">
              <w:rPr>
                <w:rFonts w:ascii="Calibri" w:hAnsi="Calibri" w:cs="Calibri"/>
                <w:sz w:val="16"/>
                <w:szCs w:val="16"/>
              </w:rPr>
              <w:t>8</w:t>
            </w:r>
          </w:p>
        </w:tc>
        <w:tc>
          <w:tcPr>
            <w:tcW w:w="1134" w:type="dxa"/>
            <w:tcBorders>
              <w:top w:val="nil"/>
              <w:left w:val="nil"/>
              <w:bottom w:val="nil"/>
              <w:right w:val="nil"/>
            </w:tcBorders>
            <w:shd w:val="clear" w:color="auto" w:fill="auto"/>
            <w:noWrap/>
            <w:vAlign w:val="center"/>
            <w:hideMark/>
          </w:tcPr>
          <w:p w14:paraId="39E7D848" w14:textId="58B8021C" w:rsidR="00A55212" w:rsidRPr="00CA4F46" w:rsidRDefault="00125024" w:rsidP="00A55212">
            <w:pPr>
              <w:spacing w:after="0"/>
              <w:jc w:val="right"/>
              <w:rPr>
                <w:rFonts w:ascii="Calibri" w:hAnsi="Calibri" w:cs="Calibri"/>
                <w:sz w:val="16"/>
                <w:szCs w:val="16"/>
              </w:rPr>
            </w:pPr>
            <w:r w:rsidRPr="00125024">
              <w:rPr>
                <w:rFonts w:ascii="Calibri" w:hAnsi="Calibri" w:cs="Calibri"/>
                <w:sz w:val="16"/>
                <w:szCs w:val="16"/>
              </w:rPr>
              <w:t>26.989.294</w:t>
            </w:r>
          </w:p>
        </w:tc>
      </w:tr>
      <w:tr w:rsidR="00A55212" w:rsidRPr="005A4718" w14:paraId="0C1646BA" w14:textId="77777777" w:rsidTr="00C05E96">
        <w:trPr>
          <w:trHeight w:hRule="exact" w:val="227"/>
        </w:trPr>
        <w:tc>
          <w:tcPr>
            <w:tcW w:w="6282" w:type="dxa"/>
            <w:gridSpan w:val="3"/>
            <w:tcBorders>
              <w:top w:val="nil"/>
              <w:left w:val="nil"/>
              <w:bottom w:val="nil"/>
              <w:right w:val="nil"/>
            </w:tcBorders>
            <w:shd w:val="clear" w:color="auto" w:fill="auto"/>
            <w:noWrap/>
            <w:vAlign w:val="center"/>
            <w:hideMark/>
          </w:tcPr>
          <w:p w14:paraId="3F9B4A60" w14:textId="5751BECA" w:rsidR="00A55212" w:rsidRPr="00CA4F46" w:rsidRDefault="00A55212" w:rsidP="00A55212">
            <w:pPr>
              <w:spacing w:after="0"/>
              <w:rPr>
                <w:rFonts w:ascii="Calibri" w:hAnsi="Calibri" w:cs="Calibri"/>
                <w:sz w:val="16"/>
                <w:szCs w:val="16"/>
              </w:rPr>
            </w:pPr>
            <w:r w:rsidRPr="00CA4F46">
              <w:rPr>
                <w:rFonts w:ascii="Calibri" w:hAnsi="Calibri" w:cs="Calibri"/>
                <w:sz w:val="16"/>
                <w:szCs w:val="16"/>
              </w:rPr>
              <w:t xml:space="preserve"> Retenções sobre </w:t>
            </w:r>
            <w:r>
              <w:rPr>
                <w:rFonts w:ascii="Calibri" w:hAnsi="Calibri" w:cs="Calibri"/>
                <w:sz w:val="16"/>
                <w:szCs w:val="16"/>
              </w:rPr>
              <w:t>F</w:t>
            </w:r>
            <w:r w:rsidRPr="00CA4F46">
              <w:rPr>
                <w:rFonts w:ascii="Calibri" w:hAnsi="Calibri" w:cs="Calibri"/>
                <w:sz w:val="16"/>
                <w:szCs w:val="16"/>
              </w:rPr>
              <w:t>ornecedores</w:t>
            </w:r>
          </w:p>
        </w:tc>
        <w:tc>
          <w:tcPr>
            <w:tcW w:w="1817" w:type="dxa"/>
            <w:tcBorders>
              <w:top w:val="nil"/>
              <w:left w:val="nil"/>
              <w:bottom w:val="nil"/>
              <w:right w:val="nil"/>
            </w:tcBorders>
            <w:shd w:val="clear" w:color="auto" w:fill="auto"/>
            <w:noWrap/>
            <w:vAlign w:val="center"/>
            <w:hideMark/>
          </w:tcPr>
          <w:p w14:paraId="43812828" w14:textId="77777777" w:rsidR="00A55212" w:rsidRPr="00CA4F46" w:rsidRDefault="00A55212" w:rsidP="00A55212">
            <w:pPr>
              <w:spacing w:after="0"/>
              <w:rPr>
                <w:rFonts w:ascii="Calibri" w:hAnsi="Calibri" w:cs="Calibri"/>
                <w:sz w:val="16"/>
                <w:szCs w:val="16"/>
              </w:rPr>
            </w:pPr>
          </w:p>
        </w:tc>
        <w:tc>
          <w:tcPr>
            <w:tcW w:w="1134" w:type="dxa"/>
            <w:tcBorders>
              <w:top w:val="nil"/>
              <w:left w:val="nil"/>
              <w:bottom w:val="nil"/>
              <w:right w:val="nil"/>
            </w:tcBorders>
            <w:shd w:val="clear" w:color="auto" w:fill="auto"/>
            <w:noWrap/>
            <w:vAlign w:val="center"/>
          </w:tcPr>
          <w:p w14:paraId="4CEE53DB" w14:textId="0C9EE8FC" w:rsidR="00A55212" w:rsidRPr="00CA4F46" w:rsidRDefault="00965C63" w:rsidP="00A55212">
            <w:pPr>
              <w:spacing w:after="0"/>
              <w:jc w:val="right"/>
              <w:rPr>
                <w:rFonts w:ascii="Calibri" w:hAnsi="Calibri" w:cs="Calibri"/>
                <w:sz w:val="16"/>
                <w:szCs w:val="16"/>
              </w:rPr>
            </w:pPr>
            <w:r>
              <w:rPr>
                <w:rFonts w:ascii="Calibri" w:hAnsi="Calibri" w:cs="Calibri"/>
                <w:sz w:val="16"/>
                <w:szCs w:val="16"/>
              </w:rPr>
              <w:t>110.705</w:t>
            </w:r>
          </w:p>
        </w:tc>
        <w:tc>
          <w:tcPr>
            <w:tcW w:w="1134" w:type="dxa"/>
            <w:tcBorders>
              <w:top w:val="nil"/>
              <w:left w:val="nil"/>
              <w:bottom w:val="nil"/>
              <w:right w:val="nil"/>
            </w:tcBorders>
            <w:shd w:val="clear" w:color="auto" w:fill="auto"/>
            <w:noWrap/>
            <w:vAlign w:val="center"/>
            <w:hideMark/>
          </w:tcPr>
          <w:p w14:paraId="6E13E3C7" w14:textId="17DC51CF" w:rsidR="00A55212" w:rsidRPr="00CA4F46" w:rsidRDefault="00D57FB9" w:rsidP="00A55212">
            <w:pPr>
              <w:spacing w:after="0"/>
              <w:jc w:val="right"/>
              <w:rPr>
                <w:rFonts w:ascii="Calibri" w:hAnsi="Calibri" w:cs="Calibri"/>
                <w:sz w:val="16"/>
                <w:szCs w:val="16"/>
              </w:rPr>
            </w:pPr>
            <w:r w:rsidRPr="00D57FB9">
              <w:rPr>
                <w:rFonts w:ascii="Calibri" w:hAnsi="Calibri" w:cs="Calibri"/>
                <w:sz w:val="16"/>
                <w:szCs w:val="16"/>
              </w:rPr>
              <w:t>661.570</w:t>
            </w:r>
          </w:p>
        </w:tc>
      </w:tr>
      <w:tr w:rsidR="00A55212" w:rsidRPr="005A4718" w14:paraId="1F7F25C0" w14:textId="77777777" w:rsidTr="00C05E96">
        <w:trPr>
          <w:trHeight w:hRule="exact" w:val="227"/>
        </w:trPr>
        <w:tc>
          <w:tcPr>
            <w:tcW w:w="5610" w:type="dxa"/>
            <w:gridSpan w:val="2"/>
            <w:tcBorders>
              <w:top w:val="nil"/>
              <w:left w:val="nil"/>
              <w:bottom w:val="nil"/>
              <w:right w:val="nil"/>
            </w:tcBorders>
            <w:shd w:val="clear" w:color="auto" w:fill="auto"/>
            <w:noWrap/>
            <w:vAlign w:val="center"/>
            <w:hideMark/>
          </w:tcPr>
          <w:p w14:paraId="4DA403BE" w14:textId="0B2129A2" w:rsidR="00A55212" w:rsidRPr="00CA4F46" w:rsidRDefault="00A55212" w:rsidP="00A55212">
            <w:pPr>
              <w:spacing w:after="0"/>
              <w:rPr>
                <w:rFonts w:ascii="Calibri" w:hAnsi="Calibri" w:cs="Calibri"/>
                <w:sz w:val="16"/>
                <w:szCs w:val="16"/>
              </w:rPr>
            </w:pPr>
            <w:r w:rsidRPr="00CA4F46">
              <w:rPr>
                <w:rFonts w:ascii="Calibri" w:hAnsi="Calibri" w:cs="Calibri"/>
                <w:sz w:val="16"/>
                <w:szCs w:val="16"/>
              </w:rPr>
              <w:t xml:space="preserve"> Baixa de </w:t>
            </w:r>
            <w:r>
              <w:rPr>
                <w:rFonts w:ascii="Calibri" w:hAnsi="Calibri" w:cs="Calibri"/>
                <w:sz w:val="16"/>
                <w:szCs w:val="16"/>
              </w:rPr>
              <w:t>D</w:t>
            </w:r>
            <w:r w:rsidRPr="00CA4F46">
              <w:rPr>
                <w:rFonts w:ascii="Calibri" w:hAnsi="Calibri" w:cs="Calibri"/>
                <w:sz w:val="16"/>
                <w:szCs w:val="16"/>
              </w:rPr>
              <w:t>epósitos</w:t>
            </w:r>
          </w:p>
        </w:tc>
        <w:tc>
          <w:tcPr>
            <w:tcW w:w="672" w:type="dxa"/>
            <w:tcBorders>
              <w:top w:val="nil"/>
              <w:left w:val="nil"/>
              <w:bottom w:val="nil"/>
              <w:right w:val="nil"/>
            </w:tcBorders>
            <w:shd w:val="clear" w:color="auto" w:fill="auto"/>
            <w:noWrap/>
            <w:vAlign w:val="center"/>
            <w:hideMark/>
          </w:tcPr>
          <w:p w14:paraId="28307661" w14:textId="77777777" w:rsidR="00A55212" w:rsidRPr="00CA4F46" w:rsidRDefault="00A55212" w:rsidP="00A55212">
            <w:pPr>
              <w:spacing w:after="0"/>
              <w:rPr>
                <w:rFonts w:ascii="Calibri" w:hAnsi="Calibri" w:cs="Calibri"/>
                <w:sz w:val="16"/>
                <w:szCs w:val="16"/>
              </w:rPr>
            </w:pPr>
          </w:p>
        </w:tc>
        <w:tc>
          <w:tcPr>
            <w:tcW w:w="1817" w:type="dxa"/>
            <w:tcBorders>
              <w:top w:val="nil"/>
              <w:left w:val="nil"/>
              <w:bottom w:val="nil"/>
              <w:right w:val="nil"/>
            </w:tcBorders>
            <w:shd w:val="clear" w:color="auto" w:fill="auto"/>
            <w:noWrap/>
            <w:vAlign w:val="center"/>
            <w:hideMark/>
          </w:tcPr>
          <w:p w14:paraId="663A1F5C" w14:textId="77777777" w:rsidR="00A55212" w:rsidRPr="00CA4F46" w:rsidRDefault="00A55212" w:rsidP="00A55212">
            <w:pPr>
              <w:spacing w:after="0"/>
              <w:rPr>
                <w:sz w:val="20"/>
                <w:szCs w:val="20"/>
              </w:rPr>
            </w:pPr>
          </w:p>
        </w:tc>
        <w:tc>
          <w:tcPr>
            <w:tcW w:w="1134" w:type="dxa"/>
            <w:tcBorders>
              <w:top w:val="nil"/>
              <w:left w:val="nil"/>
              <w:bottom w:val="nil"/>
              <w:right w:val="nil"/>
            </w:tcBorders>
            <w:shd w:val="clear" w:color="auto" w:fill="auto"/>
            <w:noWrap/>
            <w:vAlign w:val="center"/>
          </w:tcPr>
          <w:p w14:paraId="5ED1E822" w14:textId="46DE8C5A" w:rsidR="00A55212" w:rsidRPr="00CA4F46" w:rsidRDefault="00BE7EDD" w:rsidP="00A55212">
            <w:pPr>
              <w:spacing w:after="0"/>
              <w:jc w:val="right"/>
              <w:rPr>
                <w:rFonts w:ascii="Calibri" w:hAnsi="Calibri" w:cs="Calibri"/>
                <w:sz w:val="16"/>
                <w:szCs w:val="16"/>
              </w:rPr>
            </w:pPr>
            <w:r>
              <w:rPr>
                <w:rFonts w:ascii="Calibri" w:hAnsi="Calibri" w:cs="Calibri"/>
                <w:sz w:val="16"/>
                <w:szCs w:val="16"/>
              </w:rPr>
              <w:t>-</w:t>
            </w:r>
          </w:p>
        </w:tc>
        <w:tc>
          <w:tcPr>
            <w:tcW w:w="1134" w:type="dxa"/>
            <w:tcBorders>
              <w:top w:val="nil"/>
              <w:left w:val="nil"/>
              <w:bottom w:val="nil"/>
              <w:right w:val="nil"/>
            </w:tcBorders>
            <w:shd w:val="clear" w:color="auto" w:fill="auto"/>
            <w:noWrap/>
            <w:vAlign w:val="center"/>
            <w:hideMark/>
          </w:tcPr>
          <w:p w14:paraId="35C346C8" w14:textId="4D21C219" w:rsidR="00A55212" w:rsidRPr="00CA4F46" w:rsidRDefault="00A55212" w:rsidP="00A55212">
            <w:pPr>
              <w:spacing w:after="0"/>
              <w:jc w:val="right"/>
              <w:rPr>
                <w:rFonts w:ascii="Calibri" w:hAnsi="Calibri" w:cs="Calibri"/>
                <w:sz w:val="16"/>
                <w:szCs w:val="16"/>
              </w:rPr>
            </w:pPr>
            <w:r w:rsidRPr="00CA4F46">
              <w:rPr>
                <w:rFonts w:ascii="Calibri" w:hAnsi="Calibri" w:cs="Calibri"/>
                <w:sz w:val="16"/>
                <w:szCs w:val="16"/>
              </w:rPr>
              <w:t>(</w:t>
            </w:r>
            <w:r w:rsidRPr="00C91584">
              <w:rPr>
                <w:rFonts w:ascii="Calibri" w:hAnsi="Calibri" w:cs="Calibri"/>
                <w:sz w:val="16"/>
                <w:szCs w:val="16"/>
              </w:rPr>
              <w:t>106.02</w:t>
            </w:r>
            <w:r w:rsidR="002C199F">
              <w:rPr>
                <w:rFonts w:ascii="Calibri" w:hAnsi="Calibri" w:cs="Calibri"/>
                <w:sz w:val="16"/>
                <w:szCs w:val="16"/>
              </w:rPr>
              <w:t>6</w:t>
            </w:r>
            <w:r w:rsidRPr="00CA4F46">
              <w:rPr>
                <w:rFonts w:ascii="Calibri" w:hAnsi="Calibri" w:cs="Calibri"/>
                <w:sz w:val="16"/>
                <w:szCs w:val="16"/>
              </w:rPr>
              <w:t>)</w:t>
            </w:r>
          </w:p>
        </w:tc>
      </w:tr>
      <w:tr w:rsidR="009D4ACB" w:rsidRPr="005A4718" w14:paraId="066D90A5" w14:textId="77777777" w:rsidTr="00C05E96">
        <w:trPr>
          <w:trHeight w:hRule="exact" w:val="227"/>
        </w:trPr>
        <w:tc>
          <w:tcPr>
            <w:tcW w:w="4936" w:type="dxa"/>
            <w:tcBorders>
              <w:top w:val="nil"/>
              <w:left w:val="nil"/>
              <w:bottom w:val="single" w:sz="8" w:space="0" w:color="auto"/>
              <w:right w:val="nil"/>
            </w:tcBorders>
            <w:shd w:val="clear" w:color="auto" w:fill="DEEAF6" w:themeFill="accent1" w:themeFillTint="33"/>
            <w:noWrap/>
            <w:vAlign w:val="center"/>
            <w:hideMark/>
          </w:tcPr>
          <w:p w14:paraId="35B28D83" w14:textId="77777777" w:rsidR="009D4ACB" w:rsidRPr="00CA4F46" w:rsidRDefault="009D4ACB" w:rsidP="009D4ACB">
            <w:pPr>
              <w:spacing w:after="0"/>
              <w:rPr>
                <w:rFonts w:ascii="Calibri" w:hAnsi="Calibri" w:cs="Calibri"/>
                <w:b/>
                <w:sz w:val="16"/>
                <w:szCs w:val="16"/>
              </w:rPr>
            </w:pPr>
            <w:r w:rsidRPr="00CA4F46">
              <w:rPr>
                <w:rFonts w:ascii="Calibri" w:hAnsi="Calibri" w:cs="Calibri"/>
                <w:b/>
                <w:sz w:val="16"/>
                <w:szCs w:val="16"/>
              </w:rPr>
              <w:t xml:space="preserve"> TOTAL</w:t>
            </w:r>
          </w:p>
        </w:tc>
        <w:tc>
          <w:tcPr>
            <w:tcW w:w="674" w:type="dxa"/>
            <w:tcBorders>
              <w:top w:val="nil"/>
              <w:left w:val="nil"/>
              <w:bottom w:val="single" w:sz="8" w:space="0" w:color="auto"/>
              <w:right w:val="nil"/>
            </w:tcBorders>
            <w:shd w:val="clear" w:color="auto" w:fill="DEEAF6" w:themeFill="accent1" w:themeFillTint="33"/>
            <w:noWrap/>
            <w:vAlign w:val="center"/>
            <w:hideMark/>
          </w:tcPr>
          <w:p w14:paraId="1DEB9A48" w14:textId="77777777" w:rsidR="009D4ACB" w:rsidRPr="00CA4F46" w:rsidRDefault="009D4ACB" w:rsidP="009D4ACB">
            <w:pPr>
              <w:spacing w:after="0"/>
              <w:rPr>
                <w:rFonts w:ascii="Calibri" w:hAnsi="Calibri" w:cs="Calibri"/>
                <w:sz w:val="16"/>
                <w:szCs w:val="16"/>
              </w:rPr>
            </w:pPr>
            <w:r w:rsidRPr="00CA4F46">
              <w:rPr>
                <w:rFonts w:ascii="Calibri" w:hAnsi="Calibri" w:cs="Calibri"/>
                <w:sz w:val="16"/>
                <w:szCs w:val="16"/>
              </w:rPr>
              <w:t> </w:t>
            </w:r>
          </w:p>
        </w:tc>
        <w:tc>
          <w:tcPr>
            <w:tcW w:w="672" w:type="dxa"/>
            <w:tcBorders>
              <w:top w:val="nil"/>
              <w:left w:val="nil"/>
              <w:bottom w:val="single" w:sz="8" w:space="0" w:color="auto"/>
              <w:right w:val="nil"/>
            </w:tcBorders>
            <w:shd w:val="clear" w:color="auto" w:fill="DEEAF6" w:themeFill="accent1" w:themeFillTint="33"/>
            <w:noWrap/>
            <w:vAlign w:val="center"/>
            <w:hideMark/>
          </w:tcPr>
          <w:p w14:paraId="728A7EC4" w14:textId="562DB2CB" w:rsidR="009D4ACB" w:rsidRPr="00CA4F46" w:rsidRDefault="009D4ACB" w:rsidP="009D4ACB">
            <w:pPr>
              <w:spacing w:after="0"/>
              <w:rPr>
                <w:rFonts w:ascii="Calibri" w:hAnsi="Calibri" w:cs="Calibri"/>
                <w:sz w:val="16"/>
                <w:szCs w:val="16"/>
              </w:rPr>
            </w:pPr>
          </w:p>
        </w:tc>
        <w:tc>
          <w:tcPr>
            <w:tcW w:w="1817" w:type="dxa"/>
            <w:tcBorders>
              <w:top w:val="nil"/>
              <w:left w:val="nil"/>
              <w:bottom w:val="single" w:sz="8" w:space="0" w:color="auto"/>
              <w:right w:val="nil"/>
            </w:tcBorders>
            <w:shd w:val="clear" w:color="auto" w:fill="DEEAF6" w:themeFill="accent1" w:themeFillTint="33"/>
            <w:noWrap/>
            <w:vAlign w:val="center"/>
            <w:hideMark/>
          </w:tcPr>
          <w:p w14:paraId="462E1166" w14:textId="323101DE" w:rsidR="009D4ACB" w:rsidRPr="00CA4F46" w:rsidRDefault="009D4ACB" w:rsidP="009D4ACB">
            <w:pPr>
              <w:spacing w:after="0"/>
              <w:jc w:val="right"/>
              <w:rPr>
                <w:rFonts w:ascii="Calibri" w:hAnsi="Calibri" w:cs="Calibri"/>
                <w:b/>
                <w:sz w:val="16"/>
                <w:szCs w:val="16"/>
              </w:rPr>
            </w:pPr>
          </w:p>
        </w:tc>
        <w:tc>
          <w:tcPr>
            <w:tcW w:w="1134" w:type="dxa"/>
            <w:tcBorders>
              <w:top w:val="nil"/>
              <w:left w:val="nil"/>
              <w:bottom w:val="single" w:sz="8" w:space="0" w:color="auto"/>
              <w:right w:val="nil"/>
            </w:tcBorders>
            <w:shd w:val="clear" w:color="auto" w:fill="DEEAF6" w:themeFill="accent1" w:themeFillTint="33"/>
            <w:noWrap/>
            <w:vAlign w:val="center"/>
          </w:tcPr>
          <w:p w14:paraId="705E5AFB" w14:textId="7FB2452C" w:rsidR="009D4ACB" w:rsidRPr="00CA4F46" w:rsidRDefault="009D4ACB" w:rsidP="009D4ACB">
            <w:pPr>
              <w:spacing w:after="0"/>
              <w:jc w:val="right"/>
              <w:rPr>
                <w:rFonts w:ascii="Calibri" w:hAnsi="Calibri" w:cs="Calibri"/>
                <w:b/>
                <w:sz w:val="16"/>
                <w:szCs w:val="16"/>
              </w:rPr>
            </w:pPr>
            <w:r w:rsidRPr="00E96C7C">
              <w:rPr>
                <w:rFonts w:ascii="Calibri" w:hAnsi="Calibri" w:cs="Calibri"/>
                <w:b/>
                <w:sz w:val="16"/>
                <w:szCs w:val="16"/>
              </w:rPr>
              <w:t>27.</w:t>
            </w:r>
            <w:r w:rsidR="00502799">
              <w:rPr>
                <w:rFonts w:ascii="Calibri" w:hAnsi="Calibri" w:cs="Calibri"/>
                <w:b/>
                <w:sz w:val="16"/>
                <w:szCs w:val="16"/>
              </w:rPr>
              <w:t>655.54</w:t>
            </w:r>
            <w:r w:rsidR="00B7230C">
              <w:rPr>
                <w:rFonts w:ascii="Calibri" w:hAnsi="Calibri" w:cs="Calibri"/>
                <w:b/>
                <w:sz w:val="16"/>
                <w:szCs w:val="16"/>
              </w:rPr>
              <w:t>3</w:t>
            </w:r>
          </w:p>
        </w:tc>
        <w:tc>
          <w:tcPr>
            <w:tcW w:w="1134" w:type="dxa"/>
            <w:tcBorders>
              <w:top w:val="nil"/>
              <w:left w:val="nil"/>
              <w:bottom w:val="single" w:sz="8" w:space="0" w:color="auto"/>
              <w:right w:val="nil"/>
            </w:tcBorders>
            <w:shd w:val="clear" w:color="auto" w:fill="DEEAF6" w:themeFill="accent1" w:themeFillTint="33"/>
            <w:noWrap/>
            <w:vAlign w:val="center"/>
            <w:hideMark/>
          </w:tcPr>
          <w:p w14:paraId="6ED542B8" w14:textId="6A00CE2B" w:rsidR="009D4ACB" w:rsidRPr="00CA4F46" w:rsidRDefault="009D4ACB" w:rsidP="009D4ACB">
            <w:pPr>
              <w:spacing w:after="0"/>
              <w:jc w:val="right"/>
              <w:rPr>
                <w:rFonts w:ascii="Calibri" w:hAnsi="Calibri" w:cs="Calibri"/>
                <w:b/>
                <w:sz w:val="16"/>
                <w:szCs w:val="16"/>
              </w:rPr>
            </w:pPr>
            <w:r w:rsidRPr="00E96C7C">
              <w:rPr>
                <w:rFonts w:ascii="Calibri" w:hAnsi="Calibri" w:cs="Calibri"/>
                <w:b/>
                <w:sz w:val="16"/>
                <w:szCs w:val="16"/>
              </w:rPr>
              <w:t>27.544.83</w:t>
            </w:r>
            <w:r w:rsidR="00BB22B8">
              <w:rPr>
                <w:rFonts w:ascii="Calibri" w:hAnsi="Calibri" w:cs="Calibri"/>
                <w:b/>
                <w:sz w:val="16"/>
                <w:szCs w:val="16"/>
              </w:rPr>
              <w:t>8</w:t>
            </w:r>
          </w:p>
        </w:tc>
      </w:tr>
    </w:tbl>
    <w:p w14:paraId="39D0F82D" w14:textId="77777777" w:rsidR="005A4718" w:rsidRDefault="005A4718" w:rsidP="002A002C">
      <w:pPr>
        <w:pStyle w:val="Textoembloco"/>
        <w:spacing w:after="0" w:line="240" w:lineRule="auto"/>
        <w:ind w:left="0" w:right="0"/>
        <w:rPr>
          <w:rFonts w:ascii="Calibri" w:hAnsi="Calibri" w:cs="Calibri"/>
          <w:sz w:val="21"/>
          <w:szCs w:val="21"/>
          <w:shd w:val="clear" w:color="auto" w:fill="FFFFFF"/>
        </w:rPr>
      </w:pPr>
    </w:p>
    <w:p w14:paraId="0BAEF44B" w14:textId="0CAC69F6" w:rsidR="009E54C8" w:rsidRPr="006E5BCC" w:rsidRDefault="009E54C8" w:rsidP="006E5BCC">
      <w:pPr>
        <w:pStyle w:val="Ttulo1"/>
      </w:pPr>
      <w:bookmarkStart w:id="88" w:name="_Toc184926693"/>
      <w:r w:rsidRPr="00725F93">
        <w:lastRenderedPageBreak/>
        <w:t>2</w:t>
      </w:r>
      <w:r w:rsidR="001F54A0">
        <w:t>4</w:t>
      </w:r>
      <w:r w:rsidRPr="00725F93">
        <w:t xml:space="preserve"> </w:t>
      </w:r>
      <w:r w:rsidR="00370646" w:rsidRPr="00725F93">
        <w:t>–</w:t>
      </w:r>
      <w:r w:rsidRPr="00725F93">
        <w:t xml:space="preserve"> </w:t>
      </w:r>
      <w:r w:rsidR="00370646" w:rsidRPr="00725F93">
        <w:t>Investimento Cruzado</w:t>
      </w:r>
      <w:bookmarkEnd w:id="88"/>
    </w:p>
    <w:p w14:paraId="2DDE12A3" w14:textId="77777777" w:rsidR="00995304" w:rsidRPr="006E5BCC" w:rsidRDefault="00995304" w:rsidP="00995304">
      <w:pPr>
        <w:spacing w:before="120"/>
        <w:jc w:val="both"/>
        <w:rPr>
          <w:rFonts w:cstheme="minorHAnsi"/>
          <w:sz w:val="20"/>
        </w:rPr>
      </w:pPr>
      <w:bookmarkStart w:id="89" w:name="_Hlk97555121"/>
      <w:r w:rsidRPr="006E5BCC">
        <w:rPr>
          <w:rFonts w:cstheme="minorHAnsi"/>
          <w:sz w:val="20"/>
          <w:shd w:val="clear" w:color="auto" w:fill="FFFFFF"/>
        </w:rPr>
        <w:t>A Lei n</w:t>
      </w:r>
      <w:r>
        <w:rPr>
          <w:rFonts w:cstheme="minorHAnsi"/>
          <w:sz w:val="20"/>
          <w:shd w:val="clear" w:color="auto" w:fill="FFFFFF"/>
        </w:rPr>
        <w:t>°</w:t>
      </w:r>
      <w:r w:rsidRPr="006E5BCC">
        <w:rPr>
          <w:rFonts w:cstheme="minorHAnsi"/>
          <w:sz w:val="20"/>
          <w:shd w:val="clear" w:color="auto" w:fill="FFFFFF"/>
        </w:rPr>
        <w:t xml:space="preserve"> 13.448</w:t>
      </w:r>
      <w:r>
        <w:rPr>
          <w:rFonts w:cstheme="minorHAnsi"/>
          <w:sz w:val="20"/>
          <w:shd w:val="clear" w:color="auto" w:fill="FFFFFF"/>
        </w:rPr>
        <w:t>/</w:t>
      </w:r>
      <w:r w:rsidRPr="006E5BCC">
        <w:rPr>
          <w:rFonts w:cstheme="minorHAnsi"/>
          <w:sz w:val="20"/>
          <w:shd w:val="clear" w:color="auto" w:fill="FFFFFF"/>
        </w:rPr>
        <w:t>2017 trouxe, como inovação no ordenamento jurídico, a possibilidade de realização de investimentos em malhas ferroviárias distintas como contrapartida às prorrogações de contratos de concessão,</w:t>
      </w:r>
      <w:r w:rsidRPr="006E5BCC">
        <w:rPr>
          <w:rFonts w:cstheme="minorHAnsi"/>
          <w:sz w:val="20"/>
        </w:rPr>
        <w:t xml:space="preserve"> onde configura-se obrigações de fazer, impostas como contrapartida à celebração de um contrato de concessão, em substituição à obrigação de pagar o correspondente valor de outorga.</w:t>
      </w:r>
    </w:p>
    <w:p w14:paraId="3B7DC85D"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A </w:t>
      </w:r>
      <w:r>
        <w:rPr>
          <w:rFonts w:cstheme="minorHAnsi"/>
          <w:sz w:val="20"/>
          <w:shd w:val="clear" w:color="auto" w:fill="FFFFFF"/>
        </w:rPr>
        <w:t>referida l</w:t>
      </w:r>
      <w:r w:rsidRPr="006E5BCC">
        <w:rPr>
          <w:rFonts w:cstheme="minorHAnsi"/>
          <w:sz w:val="20"/>
          <w:shd w:val="clear" w:color="auto" w:fill="FFFFFF"/>
        </w:rPr>
        <w:t>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637C66C2"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367F0B8D"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Esse dispositivo passou a ser chamado de </w:t>
      </w:r>
      <w:r>
        <w:rPr>
          <w:rFonts w:cstheme="minorHAnsi"/>
          <w:sz w:val="20"/>
          <w:shd w:val="clear" w:color="auto" w:fill="FFFFFF"/>
        </w:rPr>
        <w:t>“</w:t>
      </w:r>
      <w:r w:rsidRPr="006E5BCC">
        <w:rPr>
          <w:rFonts w:cstheme="minorHAnsi"/>
          <w:sz w:val="20"/>
          <w:shd w:val="clear" w:color="auto" w:fill="FFFFFF"/>
        </w:rPr>
        <w:t>Investimento Cruzado</w:t>
      </w:r>
      <w:r>
        <w:rPr>
          <w:rFonts w:cstheme="minorHAnsi"/>
          <w:sz w:val="20"/>
          <w:shd w:val="clear" w:color="auto" w:fill="FFFFFF"/>
        </w:rPr>
        <w:t>”</w:t>
      </w:r>
      <w:r w:rsidRPr="006E5BCC">
        <w:rPr>
          <w:rFonts w:cstheme="minorHAnsi"/>
          <w:sz w:val="20"/>
          <w:shd w:val="clear" w:color="auto" w:fill="FFFFFF"/>
        </w:rPr>
        <w:t>, pelo qual é possibilitada a ampliação da malha e da capacidade do subsistema ferroviário, sem que haja uma obrigação direta da União em aportar recursos.</w:t>
      </w:r>
    </w:p>
    <w:p w14:paraId="42EAE95A"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Fundamentado em referida Lei, o Terceiro Termo Aditivo ao contrato de concessão da Estrada de Ferro Vitória a Minas, concedida à VALE S</w:t>
      </w:r>
      <w:r>
        <w:rPr>
          <w:rFonts w:cstheme="minorHAnsi"/>
          <w:sz w:val="20"/>
          <w:shd w:val="clear" w:color="auto" w:fill="FFFFFF"/>
        </w:rPr>
        <w:t>.</w:t>
      </w:r>
      <w:r w:rsidRPr="006E5BCC">
        <w:rPr>
          <w:rFonts w:cstheme="minorHAnsi"/>
          <w:sz w:val="20"/>
          <w:shd w:val="clear" w:color="auto" w:fill="FFFFFF"/>
        </w:rPr>
        <w:t>A</w:t>
      </w:r>
      <w:r>
        <w:rPr>
          <w:rFonts w:cstheme="minorHAnsi"/>
          <w:sz w:val="20"/>
          <w:shd w:val="clear" w:color="auto" w:fill="FFFFFF"/>
        </w:rPr>
        <w:t>.</w:t>
      </w:r>
      <w:r w:rsidRPr="006E5BCC">
        <w:rPr>
          <w:rFonts w:cstheme="minorHAnsi"/>
          <w:sz w:val="20"/>
          <w:shd w:val="clear" w:color="auto" w:fill="FFFFFF"/>
        </w:rPr>
        <w:t xml:space="preserve">, prevê a renovação antecipada de outorga e descreve, no Anexo 9, termos que disciplinam as condições de realização das Obrigações de Investimento assumidas pela Concessionária em projetos de titularidade da Infra S.A, envolvendo a Ferrovia de Integração Oeste Leste </w:t>
      </w:r>
      <w:r>
        <w:rPr>
          <w:rFonts w:cstheme="minorHAnsi"/>
          <w:sz w:val="20"/>
          <w:shd w:val="clear" w:color="auto" w:fill="FFFFFF"/>
        </w:rPr>
        <w:t xml:space="preserve">– </w:t>
      </w:r>
      <w:r w:rsidRPr="006E5BCC">
        <w:rPr>
          <w:rFonts w:cstheme="minorHAnsi"/>
          <w:sz w:val="20"/>
          <w:shd w:val="clear" w:color="auto" w:fill="FFFFFF"/>
        </w:rPr>
        <w:t xml:space="preserve">FIOL </w:t>
      </w:r>
      <w:r>
        <w:rPr>
          <w:rFonts w:cstheme="minorHAnsi"/>
          <w:sz w:val="20"/>
          <w:shd w:val="clear" w:color="auto" w:fill="FFFFFF"/>
        </w:rPr>
        <w:t>(</w:t>
      </w:r>
      <w:r w:rsidRPr="006E5BCC">
        <w:rPr>
          <w:rFonts w:cstheme="minorHAnsi"/>
          <w:sz w:val="20"/>
        </w:rPr>
        <w:t>EF – 334</w:t>
      </w:r>
      <w:r>
        <w:rPr>
          <w:rFonts w:cstheme="minorHAnsi"/>
          <w:sz w:val="20"/>
        </w:rPr>
        <w:t>)</w:t>
      </w:r>
      <w:r w:rsidRPr="006E5BCC">
        <w:rPr>
          <w:rFonts w:cstheme="minorHAnsi"/>
          <w:sz w:val="20"/>
          <w:shd w:val="clear" w:color="auto" w:fill="FFFFFF"/>
        </w:rPr>
        <w:t xml:space="preserve"> e a Ferrovia de Integração Centro-Oeste </w:t>
      </w:r>
      <w:r>
        <w:rPr>
          <w:rFonts w:cstheme="minorHAnsi"/>
          <w:sz w:val="20"/>
          <w:shd w:val="clear" w:color="auto" w:fill="FFFFFF"/>
        </w:rPr>
        <w:t>–</w:t>
      </w:r>
      <w:r w:rsidRPr="006E5BCC">
        <w:rPr>
          <w:rFonts w:cstheme="minorHAnsi"/>
          <w:sz w:val="20"/>
          <w:shd w:val="clear" w:color="auto" w:fill="FFFFFF"/>
        </w:rPr>
        <w:t xml:space="preserve"> FICO</w:t>
      </w:r>
      <w:r>
        <w:rPr>
          <w:rFonts w:cstheme="minorHAnsi"/>
          <w:sz w:val="20"/>
          <w:shd w:val="clear" w:color="auto" w:fill="FFFFFF"/>
        </w:rPr>
        <w:t xml:space="preserve"> (</w:t>
      </w:r>
      <w:r w:rsidRPr="006E5BCC">
        <w:rPr>
          <w:rFonts w:cstheme="minorHAnsi"/>
          <w:sz w:val="20"/>
        </w:rPr>
        <w:t>EF-354</w:t>
      </w:r>
      <w:r>
        <w:rPr>
          <w:rFonts w:cstheme="minorHAnsi"/>
          <w:sz w:val="20"/>
        </w:rPr>
        <w:t>)</w:t>
      </w:r>
      <w:r w:rsidRPr="006E5BCC">
        <w:rPr>
          <w:rFonts w:cstheme="minorHAnsi"/>
          <w:sz w:val="20"/>
          <w:shd w:val="clear" w:color="auto" w:fill="FFFFFF"/>
        </w:rPr>
        <w:t xml:space="preserve">:  </w:t>
      </w:r>
    </w:p>
    <w:p w14:paraId="49070653" w14:textId="77777777" w:rsidR="00995304" w:rsidRPr="006E5BCC" w:rsidRDefault="00995304" w:rsidP="00C000AF">
      <w:pPr>
        <w:pStyle w:val="PargrafodaLista"/>
        <w:widowControl w:val="0"/>
        <w:numPr>
          <w:ilvl w:val="0"/>
          <w:numId w:val="3"/>
        </w:numPr>
        <w:ind w:hanging="578"/>
        <w:jc w:val="both"/>
        <w:rPr>
          <w:rFonts w:cstheme="minorHAnsi"/>
          <w:sz w:val="20"/>
        </w:rPr>
      </w:pPr>
      <w:r w:rsidRPr="006E5BCC">
        <w:rPr>
          <w:rFonts w:cstheme="minorHAnsi"/>
          <w:sz w:val="20"/>
        </w:rPr>
        <w:t>A implantação da Infraestrutura e superestrutura ferroviária de Trecho da FICO compreendido entre os municípios de Água Boa/MT e Mara Rosa/GO; e</w:t>
      </w:r>
    </w:p>
    <w:p w14:paraId="2D8A75D2" w14:textId="77777777" w:rsidR="00995304" w:rsidRPr="006E5BCC" w:rsidRDefault="00995304" w:rsidP="00C000AF">
      <w:pPr>
        <w:pStyle w:val="PargrafodaLista"/>
        <w:widowControl w:val="0"/>
        <w:numPr>
          <w:ilvl w:val="0"/>
          <w:numId w:val="3"/>
        </w:numPr>
        <w:ind w:hanging="578"/>
        <w:jc w:val="both"/>
        <w:rPr>
          <w:rFonts w:cstheme="minorHAnsi"/>
          <w:sz w:val="20"/>
        </w:rPr>
      </w:pPr>
      <w:r w:rsidRPr="006E5BCC">
        <w:rPr>
          <w:rFonts w:cstheme="minorHAnsi"/>
          <w:sz w:val="20"/>
        </w:rPr>
        <w:t>A aquisição de Trilhos e Dormentes a serem incorporados no Projeto de Infraestrutura da FIOL.</w:t>
      </w:r>
    </w:p>
    <w:p w14:paraId="33D6C0B2"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No âmbito do Anexo 9 do Terceiro Termo Aditivo, assinado em 18 de dezembro de 2020, a Infra S.A, na figura de Interveniente Anuente e titular dos Projetos de Infraestrutura da FICO e da FIOL, nos termos da Lei n</w:t>
      </w:r>
      <w:r>
        <w:rPr>
          <w:rFonts w:cstheme="minorHAnsi"/>
          <w:sz w:val="20"/>
          <w:shd w:val="clear" w:color="auto" w:fill="FFFFFF"/>
        </w:rPr>
        <w:t>°</w:t>
      </w:r>
      <w:r w:rsidRPr="006E5BCC">
        <w:rPr>
          <w:rFonts w:cstheme="minorHAnsi"/>
          <w:sz w:val="20"/>
          <w:shd w:val="clear" w:color="auto" w:fill="FFFFFF"/>
        </w:rPr>
        <w:t xml:space="preserve"> 11.772/2008, comprometeu-se a requerer os enquadramentos dos Projetos junto ao </w:t>
      </w:r>
      <w:r>
        <w:rPr>
          <w:rFonts w:cstheme="minorHAnsi"/>
          <w:sz w:val="20"/>
          <w:shd w:val="clear" w:color="auto" w:fill="FFFFFF"/>
        </w:rPr>
        <w:t xml:space="preserve">então </w:t>
      </w:r>
      <w:r w:rsidRPr="006E5BCC">
        <w:rPr>
          <w:rFonts w:cstheme="minorHAnsi"/>
          <w:sz w:val="20"/>
          <w:shd w:val="clear" w:color="auto" w:fill="FFFFFF"/>
        </w:rPr>
        <w:t xml:space="preserve">Ministério da Infraestrutura, bem como as suas habilitações no </w:t>
      </w:r>
      <w:r>
        <w:rPr>
          <w:rFonts w:cstheme="minorHAnsi"/>
          <w:sz w:val="20"/>
          <w:shd w:val="clear" w:color="auto" w:fill="FFFFFF"/>
        </w:rPr>
        <w:t xml:space="preserve">Regime Especial de Incentivos para o Desenvolvimento da Infraestrutura – </w:t>
      </w:r>
      <w:r w:rsidRPr="006E5BCC">
        <w:rPr>
          <w:rFonts w:cstheme="minorHAnsi"/>
          <w:sz w:val="20"/>
          <w:shd w:val="clear" w:color="auto" w:fill="FFFFFF"/>
        </w:rPr>
        <w:t>REIDI, regulado pela Lei n</w:t>
      </w:r>
      <w:r>
        <w:rPr>
          <w:rFonts w:cstheme="minorHAnsi"/>
          <w:sz w:val="20"/>
          <w:shd w:val="clear" w:color="auto" w:fill="FFFFFF"/>
        </w:rPr>
        <w:t>°</w:t>
      </w:r>
      <w:r w:rsidRPr="006E5BCC">
        <w:rPr>
          <w:rFonts w:cstheme="minorHAnsi"/>
          <w:sz w:val="20"/>
          <w:shd w:val="clear" w:color="auto" w:fill="FFFFFF"/>
        </w:rPr>
        <w:t xml:space="preserve"> 11.488</w:t>
      </w:r>
      <w:r>
        <w:rPr>
          <w:rFonts w:cstheme="minorHAnsi"/>
          <w:sz w:val="20"/>
          <w:shd w:val="clear" w:color="auto" w:fill="FFFFFF"/>
        </w:rPr>
        <w:t>/</w:t>
      </w:r>
      <w:r w:rsidRPr="006E5BCC">
        <w:rPr>
          <w:rFonts w:cstheme="minorHAnsi"/>
          <w:sz w:val="20"/>
          <w:shd w:val="clear" w:color="auto" w:fill="FFFFFF"/>
        </w:rPr>
        <w:t>2007, perante a Receita Federal do Brasil</w:t>
      </w:r>
      <w:r>
        <w:rPr>
          <w:rFonts w:cstheme="minorHAnsi"/>
          <w:sz w:val="20"/>
          <w:shd w:val="clear" w:color="auto" w:fill="FFFFFF"/>
        </w:rPr>
        <w:t xml:space="preserve"> – RFB</w:t>
      </w:r>
      <w:r w:rsidRPr="006E5BCC">
        <w:rPr>
          <w:rFonts w:cstheme="minorHAnsi"/>
          <w:sz w:val="20"/>
          <w:shd w:val="clear" w:color="auto" w:fill="FFFFFF"/>
        </w:rPr>
        <w:t>.</w:t>
      </w:r>
    </w:p>
    <w:p w14:paraId="50AB4A79"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habilitação da Infra S.A no</w:t>
      </w:r>
      <w:r>
        <w:rPr>
          <w:rFonts w:cstheme="minorHAnsi"/>
          <w:sz w:val="20"/>
          <w:shd w:val="clear" w:color="auto" w:fill="FFFFFF"/>
        </w:rPr>
        <w:t xml:space="preserve"> </w:t>
      </w:r>
      <w:r w:rsidRPr="006E5BCC">
        <w:rPr>
          <w:rFonts w:cstheme="minorHAnsi"/>
          <w:sz w:val="20"/>
          <w:shd w:val="clear" w:color="auto" w:fill="FFFFFF"/>
        </w:rPr>
        <w:t>REIDI para os Projetos FICO e FIOL foi realizada em 21 de junho de 2021, por meio dos Atos Declaratórios n</w:t>
      </w:r>
      <w:r w:rsidRPr="007B7B87">
        <w:rPr>
          <w:rFonts w:cstheme="minorHAnsi"/>
          <w:sz w:val="20"/>
          <w:shd w:val="clear" w:color="auto" w:fill="FFFFFF"/>
        </w:rPr>
        <w:t>º</w:t>
      </w:r>
      <w:r w:rsidRPr="006E5BCC">
        <w:rPr>
          <w:rFonts w:cstheme="minorHAnsi"/>
          <w:sz w:val="20"/>
          <w:shd w:val="clear" w:color="auto" w:fill="FFFFFF"/>
        </w:rPr>
        <w:t xml:space="preserve"> 107 e 108 da Secretaria Especial da Receita Federal do Brasil, conforme publicado no Diário Oficial da União </w:t>
      </w:r>
      <w:r>
        <w:rPr>
          <w:rFonts w:cstheme="minorHAnsi"/>
          <w:sz w:val="20"/>
          <w:shd w:val="clear" w:color="auto" w:fill="FFFFFF"/>
        </w:rPr>
        <w:t>– DOU,</w:t>
      </w:r>
      <w:r w:rsidRPr="006E5BCC">
        <w:rPr>
          <w:rFonts w:cstheme="minorHAnsi"/>
          <w:sz w:val="20"/>
          <w:shd w:val="clear" w:color="auto" w:fill="FFFFFF"/>
        </w:rPr>
        <w:t xml:space="preserve"> em 24 de junho de 2021.</w:t>
      </w:r>
    </w:p>
    <w:p w14:paraId="5654EDAE" w14:textId="77777777" w:rsidR="00995304" w:rsidRPr="006E5BCC" w:rsidRDefault="00995304" w:rsidP="00995304">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89"/>
    <w:p w14:paraId="132F115E" w14:textId="77777777" w:rsidR="00995304" w:rsidRPr="006E5BCC" w:rsidRDefault="00995304" w:rsidP="00995304">
      <w:pPr>
        <w:spacing w:before="120"/>
        <w:jc w:val="both"/>
        <w:rPr>
          <w:rFonts w:cstheme="minorHAnsi"/>
          <w:sz w:val="20"/>
        </w:rPr>
      </w:pPr>
      <w:r w:rsidRPr="006E5BCC">
        <w:rPr>
          <w:rFonts w:cstheme="minorHAnsi"/>
          <w:sz w:val="20"/>
        </w:rPr>
        <w:t>Como os investimentos cruzados são aqueles realizados sobre malha alheia, diferentemente do investimento ordinário em contratos de concessão, pressupõe-se uma relação trilateral. No caso em tela envolve a União, como poder concedente; a Vale S</w:t>
      </w:r>
      <w:r>
        <w:rPr>
          <w:rFonts w:cstheme="minorHAnsi"/>
          <w:sz w:val="20"/>
        </w:rPr>
        <w:t>.</w:t>
      </w:r>
      <w:r w:rsidRPr="006E5BCC">
        <w:rPr>
          <w:rFonts w:cstheme="minorHAnsi"/>
          <w:sz w:val="20"/>
        </w:rPr>
        <w:t>A</w:t>
      </w:r>
      <w:r>
        <w:rPr>
          <w:rFonts w:cstheme="minorHAnsi"/>
          <w:sz w:val="20"/>
        </w:rPr>
        <w:t>.</w:t>
      </w:r>
      <w:r w:rsidRPr="006E5BCC">
        <w:rPr>
          <w:rFonts w:cstheme="minorHAnsi"/>
          <w:sz w:val="20"/>
        </w:rPr>
        <w:t xml:space="preserve">, como concessionária da Ferrovia Vitória Minas; e a Infra S.A. como concessionária da FIOL e da FICO, </w:t>
      </w:r>
      <w:r>
        <w:rPr>
          <w:rFonts w:cstheme="minorHAnsi"/>
          <w:sz w:val="20"/>
        </w:rPr>
        <w:t xml:space="preserve">bem </w:t>
      </w:r>
      <w:r w:rsidRPr="006E5BCC">
        <w:rPr>
          <w:rFonts w:cstheme="minorHAnsi"/>
          <w:sz w:val="20"/>
        </w:rPr>
        <w:t xml:space="preserve">como titular dos projetos a serem executados. </w:t>
      </w:r>
    </w:p>
    <w:p w14:paraId="0FB9FEDF" w14:textId="77777777" w:rsidR="00995304" w:rsidRPr="006E5BCC" w:rsidRDefault="00995304" w:rsidP="00995304">
      <w:pPr>
        <w:spacing w:before="120"/>
        <w:jc w:val="both"/>
        <w:rPr>
          <w:rFonts w:cstheme="minorHAnsi"/>
          <w:sz w:val="20"/>
        </w:rPr>
      </w:pPr>
      <w:r w:rsidRPr="006E5BCC">
        <w:rPr>
          <w:rFonts w:cstheme="minorHAnsi"/>
          <w:sz w:val="20"/>
        </w:rPr>
        <w:t>A relação tripartite requer uma série de especificidades, dentre elas destaca-se a necessidade de um crédito em favor da União (enquanto titular do direito à contrapartida exigida da Vale S</w:t>
      </w:r>
      <w:r>
        <w:rPr>
          <w:rFonts w:cstheme="minorHAnsi"/>
          <w:sz w:val="20"/>
        </w:rPr>
        <w:t>.</w:t>
      </w:r>
      <w:r w:rsidRPr="006E5BCC">
        <w:rPr>
          <w:rFonts w:cstheme="minorHAnsi"/>
          <w:sz w:val="20"/>
        </w:rPr>
        <w:t>A</w:t>
      </w:r>
      <w:r>
        <w:rPr>
          <w:rFonts w:cstheme="minorHAnsi"/>
          <w:sz w:val="20"/>
        </w:rPr>
        <w:t>.</w:t>
      </w:r>
      <w:r w:rsidRPr="006E5BCC">
        <w:rPr>
          <w:rFonts w:cstheme="minorHAnsi"/>
          <w:sz w:val="20"/>
        </w:rPr>
        <w:t xml:space="preserve"> por ocasião da Prorrogação Antecipada da Ferrovia Vitória Minas), contra a Infra S.A. (beneficiária-final dos Investimentos Cruzados empreendidos pela Vale S</w:t>
      </w:r>
      <w:r>
        <w:rPr>
          <w:rFonts w:cstheme="minorHAnsi"/>
          <w:sz w:val="20"/>
        </w:rPr>
        <w:t>.</w:t>
      </w:r>
      <w:r w:rsidRPr="006E5BCC">
        <w:rPr>
          <w:rFonts w:cstheme="minorHAnsi"/>
          <w:sz w:val="20"/>
        </w:rPr>
        <w:t>A</w:t>
      </w:r>
      <w:r>
        <w:rPr>
          <w:rFonts w:cstheme="minorHAnsi"/>
          <w:sz w:val="20"/>
        </w:rPr>
        <w:t>.</w:t>
      </w:r>
      <w:r w:rsidRPr="006E5BCC">
        <w:rPr>
          <w:rFonts w:cstheme="minorHAnsi"/>
          <w:sz w:val="20"/>
        </w:rPr>
        <w:t xml:space="preserve">). </w:t>
      </w:r>
    </w:p>
    <w:p w14:paraId="6D735B92" w14:textId="77777777" w:rsidR="00995304" w:rsidRPr="006E5BCC" w:rsidRDefault="00995304" w:rsidP="00995304">
      <w:pPr>
        <w:spacing w:before="120"/>
        <w:jc w:val="both"/>
        <w:rPr>
          <w:rFonts w:cstheme="minorHAnsi"/>
          <w:sz w:val="20"/>
        </w:rPr>
      </w:pPr>
      <w:r w:rsidRPr="006E5BCC">
        <w:rPr>
          <w:rFonts w:cstheme="minorHAnsi"/>
          <w:sz w:val="20"/>
        </w:rPr>
        <w:t>Está sendo discutido com o Ministério dos Transportes, Coordenação de Contabilidade da Secretaria do Tesouro Nacional e a Coordenação de Participações Societária do Tesouro Nacional uma forma de internalização na Infra S.A. do direito de receber da Vale S</w:t>
      </w:r>
      <w:r>
        <w:rPr>
          <w:rFonts w:cstheme="minorHAnsi"/>
          <w:sz w:val="20"/>
        </w:rPr>
        <w:t>.</w:t>
      </w:r>
      <w:r w:rsidRPr="006E5BCC">
        <w:rPr>
          <w:rFonts w:cstheme="minorHAnsi"/>
          <w:sz w:val="20"/>
        </w:rPr>
        <w:t>A</w:t>
      </w:r>
      <w:r>
        <w:rPr>
          <w:rFonts w:cstheme="minorHAnsi"/>
          <w:sz w:val="20"/>
        </w:rPr>
        <w:t>.</w:t>
      </w:r>
      <w:r w:rsidRPr="006E5BCC">
        <w:rPr>
          <w:rFonts w:cstheme="minorHAnsi"/>
          <w:sz w:val="20"/>
        </w:rPr>
        <w:t>, se por aumento de capital social ou por outro meio. No entanto, enquanto não h</w:t>
      </w:r>
      <w:r>
        <w:rPr>
          <w:rFonts w:cstheme="minorHAnsi"/>
          <w:sz w:val="20"/>
        </w:rPr>
        <w:t>á</w:t>
      </w:r>
      <w:r w:rsidRPr="006E5BCC">
        <w:rPr>
          <w:rFonts w:cstheme="minorHAnsi"/>
          <w:sz w:val="20"/>
        </w:rPr>
        <w:t xml:space="preserve"> um entendimento em comum, a Infra S.A. está contabilizando </w:t>
      </w:r>
      <w:r>
        <w:rPr>
          <w:rFonts w:cstheme="minorHAnsi"/>
          <w:sz w:val="20"/>
        </w:rPr>
        <w:t xml:space="preserve">os </w:t>
      </w:r>
      <w:r w:rsidRPr="006E5BCC">
        <w:rPr>
          <w:rFonts w:cstheme="minorHAnsi"/>
          <w:sz w:val="20"/>
        </w:rPr>
        <w:t xml:space="preserve">custos já efetuados </w:t>
      </w:r>
      <w:r>
        <w:rPr>
          <w:rFonts w:cstheme="minorHAnsi"/>
          <w:sz w:val="20"/>
        </w:rPr>
        <w:t>no ativo imobilizado</w:t>
      </w:r>
      <w:r w:rsidRPr="006E5BCC">
        <w:rPr>
          <w:rFonts w:cstheme="minorHAnsi"/>
          <w:sz w:val="20"/>
        </w:rPr>
        <w:t xml:space="preserve"> em contrapartida a um passivo, sem que interfira no </w:t>
      </w:r>
      <w:r w:rsidRPr="006E5BCC">
        <w:rPr>
          <w:rFonts w:cstheme="minorHAnsi"/>
          <w:sz w:val="20"/>
        </w:rPr>
        <w:lastRenderedPageBreak/>
        <w:t>orçamento e nem nas contas de resultado</w:t>
      </w:r>
      <w:r>
        <w:rPr>
          <w:rFonts w:cstheme="minorHAnsi"/>
          <w:sz w:val="20"/>
        </w:rPr>
        <w:t>. Tal medida será adotada</w:t>
      </w:r>
      <w:r w:rsidRPr="006E5BCC">
        <w:rPr>
          <w:rFonts w:cstheme="minorHAnsi"/>
          <w:sz w:val="20"/>
        </w:rPr>
        <w:t xml:space="preserve"> até que seja</w:t>
      </w:r>
      <w:r>
        <w:rPr>
          <w:rFonts w:cstheme="minorHAnsi"/>
          <w:sz w:val="20"/>
        </w:rPr>
        <w:t>m</w:t>
      </w:r>
      <w:r w:rsidRPr="006E5BCC">
        <w:rPr>
          <w:rFonts w:cstheme="minorHAnsi"/>
          <w:sz w:val="20"/>
        </w:rPr>
        <w:t xml:space="preserve"> concluído</w:t>
      </w:r>
      <w:r>
        <w:rPr>
          <w:rFonts w:cstheme="minorHAnsi"/>
          <w:sz w:val="20"/>
        </w:rPr>
        <w:t>s</w:t>
      </w:r>
      <w:r w:rsidRPr="006E5BCC">
        <w:rPr>
          <w:rFonts w:cstheme="minorHAnsi"/>
          <w:sz w:val="20"/>
        </w:rPr>
        <w:t xml:space="preserve"> os estudos e todos os órgãos envolvidos estejam de acordo. </w:t>
      </w:r>
    </w:p>
    <w:p w14:paraId="02D6ECA9" w14:textId="1F9A1073" w:rsidR="00E258AD" w:rsidRPr="006E5BCC" w:rsidRDefault="00995304" w:rsidP="00995304">
      <w:pPr>
        <w:spacing w:before="120"/>
        <w:jc w:val="both"/>
        <w:rPr>
          <w:rFonts w:cstheme="minorHAnsi"/>
          <w:sz w:val="20"/>
        </w:rPr>
      </w:pPr>
      <w:r w:rsidRPr="006E5BCC">
        <w:rPr>
          <w:rFonts w:cstheme="minorHAnsi"/>
          <w:sz w:val="20"/>
        </w:rPr>
        <w:t xml:space="preserve">Assim, </w:t>
      </w:r>
      <w:r>
        <w:rPr>
          <w:rFonts w:cstheme="minorHAnsi"/>
          <w:sz w:val="20"/>
        </w:rPr>
        <w:t>no primeiro trimestre</w:t>
      </w:r>
      <w:r w:rsidRPr="006E5BCC">
        <w:rPr>
          <w:rFonts w:cstheme="minorHAnsi"/>
          <w:sz w:val="20"/>
        </w:rPr>
        <w:t xml:space="preserve"> de 202</w:t>
      </w:r>
      <w:r>
        <w:rPr>
          <w:rFonts w:cstheme="minorHAnsi"/>
          <w:sz w:val="20"/>
        </w:rPr>
        <w:t xml:space="preserve">4, </w:t>
      </w:r>
      <w:r w:rsidRPr="006E5BCC">
        <w:rPr>
          <w:rFonts w:cstheme="minorHAnsi"/>
          <w:sz w:val="20"/>
        </w:rPr>
        <w:t xml:space="preserve">a Infra S.A. reconheceu no Ativo Imobilizado o total de R$ </w:t>
      </w:r>
      <w:r w:rsidR="00545F37">
        <w:rPr>
          <w:rFonts w:cstheme="minorHAnsi"/>
          <w:sz w:val="20"/>
        </w:rPr>
        <w:t>1,45</w:t>
      </w:r>
      <w:r w:rsidRPr="00B44F97">
        <w:rPr>
          <w:rFonts w:cstheme="minorHAnsi"/>
          <w:sz w:val="20"/>
        </w:rPr>
        <w:t xml:space="preserve"> bilhão</w:t>
      </w:r>
      <w:r w:rsidRPr="006E5BCC">
        <w:rPr>
          <w:rFonts w:cstheme="minorHAnsi"/>
          <w:sz w:val="20"/>
        </w:rPr>
        <w:t xml:space="preserve"> no âmbito do Investimento Cruzado, com contrapartida à presente conta de passivo:</w:t>
      </w:r>
    </w:p>
    <w:tbl>
      <w:tblPr>
        <w:tblW w:w="5000" w:type="pct"/>
        <w:tblCellMar>
          <w:left w:w="70" w:type="dxa"/>
          <w:right w:w="70" w:type="dxa"/>
        </w:tblCellMar>
        <w:tblLook w:val="04A0" w:firstRow="1" w:lastRow="0" w:firstColumn="1" w:lastColumn="0" w:noHBand="0" w:noVBand="1"/>
      </w:tblPr>
      <w:tblGrid>
        <w:gridCol w:w="6447"/>
        <w:gridCol w:w="1340"/>
        <w:gridCol w:w="1340"/>
        <w:gridCol w:w="1340"/>
      </w:tblGrid>
      <w:tr w:rsidR="0024273F" w:rsidRPr="0024273F" w14:paraId="5105466F" w14:textId="77777777" w:rsidTr="006C0510">
        <w:trPr>
          <w:trHeight w:hRule="exact" w:val="394"/>
        </w:trPr>
        <w:tc>
          <w:tcPr>
            <w:tcW w:w="5454" w:type="dxa"/>
            <w:tcBorders>
              <w:top w:val="nil"/>
              <w:left w:val="nil"/>
              <w:bottom w:val="single" w:sz="8" w:space="0" w:color="auto"/>
              <w:right w:val="nil"/>
            </w:tcBorders>
            <w:shd w:val="clear" w:color="000000" w:fill="DEEAF6"/>
            <w:noWrap/>
            <w:vAlign w:val="center"/>
            <w:hideMark/>
          </w:tcPr>
          <w:p w14:paraId="4564D236" w14:textId="77777777" w:rsidR="0024273F" w:rsidRPr="0024273F" w:rsidRDefault="0024273F" w:rsidP="0024273F">
            <w:pPr>
              <w:spacing w:after="0" w:line="240" w:lineRule="auto"/>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Imobilizado x Passivo de Investimento Cruzado</w:t>
            </w:r>
          </w:p>
        </w:tc>
        <w:tc>
          <w:tcPr>
            <w:tcW w:w="1134" w:type="dxa"/>
            <w:tcBorders>
              <w:top w:val="nil"/>
              <w:left w:val="nil"/>
              <w:bottom w:val="single" w:sz="8" w:space="0" w:color="auto"/>
              <w:right w:val="nil"/>
            </w:tcBorders>
            <w:shd w:val="clear" w:color="000000" w:fill="DEEAF6"/>
            <w:vAlign w:val="center"/>
            <w:hideMark/>
          </w:tcPr>
          <w:p w14:paraId="47E144E6" w14:textId="77777777"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281CF8E2" w14:textId="77777777"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Entradas no Período</w:t>
            </w:r>
          </w:p>
        </w:tc>
        <w:tc>
          <w:tcPr>
            <w:tcW w:w="1134" w:type="dxa"/>
            <w:tcBorders>
              <w:top w:val="nil"/>
              <w:left w:val="nil"/>
              <w:bottom w:val="single" w:sz="8" w:space="0" w:color="auto"/>
              <w:right w:val="nil"/>
            </w:tcBorders>
            <w:shd w:val="clear" w:color="000000" w:fill="DEEAF6"/>
            <w:vAlign w:val="center"/>
            <w:hideMark/>
          </w:tcPr>
          <w:p w14:paraId="7A84BAF5" w14:textId="77777777"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Saldo em 31/03/2024</w:t>
            </w:r>
          </w:p>
        </w:tc>
      </w:tr>
      <w:tr w:rsidR="0024273F" w:rsidRPr="0024273F" w14:paraId="0E83AA46" w14:textId="77777777" w:rsidTr="006C0510">
        <w:trPr>
          <w:trHeight w:hRule="exact" w:val="227"/>
        </w:trPr>
        <w:tc>
          <w:tcPr>
            <w:tcW w:w="5454" w:type="dxa"/>
            <w:tcBorders>
              <w:top w:val="nil"/>
              <w:left w:val="nil"/>
              <w:bottom w:val="nil"/>
              <w:right w:val="nil"/>
            </w:tcBorders>
            <w:shd w:val="clear" w:color="auto" w:fill="auto"/>
            <w:noWrap/>
            <w:vAlign w:val="center"/>
            <w:hideMark/>
          </w:tcPr>
          <w:p w14:paraId="526BECDC" w14:textId="77777777" w:rsidR="0024273F" w:rsidRPr="0024273F" w:rsidRDefault="0024273F" w:rsidP="0024273F">
            <w:pPr>
              <w:spacing w:after="0" w:line="240" w:lineRule="auto"/>
              <w:rPr>
                <w:rFonts w:ascii="Calibri" w:eastAsia="Times New Roman" w:hAnsi="Calibri" w:cs="Calibri"/>
                <w:color w:val="000000"/>
                <w:sz w:val="16"/>
                <w:szCs w:val="16"/>
              </w:rPr>
            </w:pPr>
            <w:r w:rsidRPr="0024273F">
              <w:rPr>
                <w:rFonts w:ascii="Calibri" w:eastAsia="Times New Roman" w:hAnsi="Calibri" w:cs="Calibri"/>
                <w:color w:val="000000"/>
                <w:sz w:val="16"/>
                <w:szCs w:val="16"/>
              </w:rPr>
              <w:t>Terrenos – FICO</w:t>
            </w:r>
          </w:p>
        </w:tc>
        <w:tc>
          <w:tcPr>
            <w:tcW w:w="1134" w:type="dxa"/>
            <w:tcBorders>
              <w:top w:val="nil"/>
              <w:left w:val="nil"/>
              <w:bottom w:val="nil"/>
              <w:right w:val="nil"/>
            </w:tcBorders>
            <w:shd w:val="clear" w:color="auto" w:fill="auto"/>
            <w:noWrap/>
            <w:vAlign w:val="center"/>
            <w:hideMark/>
          </w:tcPr>
          <w:p w14:paraId="116A9A47" w14:textId="1E624840"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59.841.32</w:t>
            </w:r>
            <w:r w:rsidR="00F757DD">
              <w:rPr>
                <w:rFonts w:ascii="Calibri" w:eastAsia="Times New Roman" w:hAnsi="Calibri" w:cs="Calibri"/>
                <w:color w:val="000000"/>
                <w:sz w:val="16"/>
                <w:szCs w:val="16"/>
              </w:rPr>
              <w:t>7</w:t>
            </w:r>
          </w:p>
        </w:tc>
        <w:tc>
          <w:tcPr>
            <w:tcW w:w="1134" w:type="dxa"/>
            <w:tcBorders>
              <w:top w:val="nil"/>
              <w:left w:val="nil"/>
              <w:bottom w:val="nil"/>
              <w:right w:val="nil"/>
            </w:tcBorders>
            <w:shd w:val="clear" w:color="auto" w:fill="auto"/>
            <w:noWrap/>
            <w:vAlign w:val="center"/>
            <w:hideMark/>
          </w:tcPr>
          <w:p w14:paraId="41AD4DEA" w14:textId="66CBF5FF"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7.817.39</w:t>
            </w:r>
            <w:r w:rsidR="00F757DD">
              <w:rPr>
                <w:rFonts w:ascii="Calibri" w:eastAsia="Times New Roman" w:hAnsi="Calibri" w:cs="Calibri"/>
                <w:color w:val="000000"/>
                <w:sz w:val="16"/>
                <w:szCs w:val="16"/>
              </w:rPr>
              <w:t>1</w:t>
            </w:r>
          </w:p>
        </w:tc>
        <w:tc>
          <w:tcPr>
            <w:tcW w:w="1134" w:type="dxa"/>
            <w:tcBorders>
              <w:top w:val="nil"/>
              <w:left w:val="nil"/>
              <w:bottom w:val="nil"/>
              <w:right w:val="nil"/>
            </w:tcBorders>
            <w:shd w:val="clear" w:color="auto" w:fill="auto"/>
            <w:noWrap/>
            <w:vAlign w:val="center"/>
            <w:hideMark/>
          </w:tcPr>
          <w:p w14:paraId="3092E5B9"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67.658.718</w:t>
            </w:r>
          </w:p>
        </w:tc>
      </w:tr>
      <w:tr w:rsidR="0024273F" w:rsidRPr="0024273F" w14:paraId="0255C631" w14:textId="77777777" w:rsidTr="006C0510">
        <w:trPr>
          <w:trHeight w:hRule="exact" w:val="227"/>
        </w:trPr>
        <w:tc>
          <w:tcPr>
            <w:tcW w:w="5454" w:type="dxa"/>
            <w:tcBorders>
              <w:top w:val="nil"/>
              <w:left w:val="nil"/>
              <w:bottom w:val="nil"/>
              <w:right w:val="nil"/>
            </w:tcBorders>
            <w:shd w:val="clear" w:color="auto" w:fill="auto"/>
            <w:noWrap/>
            <w:vAlign w:val="center"/>
            <w:hideMark/>
          </w:tcPr>
          <w:p w14:paraId="6C27FE84" w14:textId="77777777" w:rsidR="0024273F" w:rsidRPr="0024273F" w:rsidRDefault="0024273F" w:rsidP="0024273F">
            <w:pPr>
              <w:spacing w:after="0" w:line="240" w:lineRule="auto"/>
              <w:rPr>
                <w:rFonts w:ascii="Calibri" w:eastAsia="Times New Roman" w:hAnsi="Calibri" w:cs="Calibri"/>
                <w:color w:val="000000"/>
                <w:sz w:val="16"/>
                <w:szCs w:val="16"/>
              </w:rPr>
            </w:pPr>
            <w:r w:rsidRPr="0024273F">
              <w:rPr>
                <w:rFonts w:ascii="Calibri" w:eastAsia="Times New Roman" w:hAnsi="Calibri" w:cs="Calibri"/>
                <w:color w:val="000000"/>
                <w:sz w:val="16"/>
                <w:szCs w:val="16"/>
              </w:rPr>
              <w:t>Obras em Andamento – FICO</w:t>
            </w:r>
          </w:p>
        </w:tc>
        <w:tc>
          <w:tcPr>
            <w:tcW w:w="1134" w:type="dxa"/>
            <w:tcBorders>
              <w:top w:val="nil"/>
              <w:left w:val="nil"/>
              <w:bottom w:val="nil"/>
              <w:right w:val="nil"/>
            </w:tcBorders>
            <w:shd w:val="clear" w:color="auto" w:fill="auto"/>
            <w:noWrap/>
            <w:vAlign w:val="center"/>
            <w:hideMark/>
          </w:tcPr>
          <w:p w14:paraId="555C0BE8"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819.116.260</w:t>
            </w:r>
          </w:p>
        </w:tc>
        <w:tc>
          <w:tcPr>
            <w:tcW w:w="1134" w:type="dxa"/>
            <w:tcBorders>
              <w:top w:val="nil"/>
              <w:left w:val="nil"/>
              <w:bottom w:val="nil"/>
              <w:right w:val="nil"/>
            </w:tcBorders>
            <w:shd w:val="clear" w:color="auto" w:fill="auto"/>
            <w:noWrap/>
            <w:vAlign w:val="center"/>
            <w:hideMark/>
          </w:tcPr>
          <w:p w14:paraId="4741AA28"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156.405.655</w:t>
            </w:r>
          </w:p>
        </w:tc>
        <w:tc>
          <w:tcPr>
            <w:tcW w:w="1134" w:type="dxa"/>
            <w:tcBorders>
              <w:top w:val="nil"/>
              <w:left w:val="nil"/>
              <w:bottom w:val="nil"/>
              <w:right w:val="nil"/>
            </w:tcBorders>
            <w:shd w:val="clear" w:color="auto" w:fill="auto"/>
            <w:noWrap/>
            <w:vAlign w:val="center"/>
            <w:hideMark/>
          </w:tcPr>
          <w:p w14:paraId="3D29A96E"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975.521.915</w:t>
            </w:r>
          </w:p>
        </w:tc>
      </w:tr>
      <w:tr w:rsidR="0024273F" w:rsidRPr="0024273F" w14:paraId="3B672701" w14:textId="77777777" w:rsidTr="006C0510">
        <w:trPr>
          <w:trHeight w:hRule="exact" w:val="227"/>
        </w:trPr>
        <w:tc>
          <w:tcPr>
            <w:tcW w:w="5454" w:type="dxa"/>
            <w:tcBorders>
              <w:top w:val="nil"/>
              <w:left w:val="nil"/>
              <w:bottom w:val="nil"/>
              <w:right w:val="nil"/>
            </w:tcBorders>
            <w:shd w:val="clear" w:color="auto" w:fill="auto"/>
            <w:noWrap/>
            <w:vAlign w:val="center"/>
            <w:hideMark/>
          </w:tcPr>
          <w:p w14:paraId="2FA1087D" w14:textId="77777777" w:rsidR="0024273F" w:rsidRPr="0024273F" w:rsidRDefault="0024273F" w:rsidP="0024273F">
            <w:pPr>
              <w:spacing w:after="0" w:line="240" w:lineRule="auto"/>
              <w:rPr>
                <w:rFonts w:ascii="Calibri" w:eastAsia="Times New Roman" w:hAnsi="Calibri" w:cs="Calibri"/>
                <w:color w:val="000000"/>
                <w:sz w:val="16"/>
                <w:szCs w:val="16"/>
              </w:rPr>
            </w:pPr>
            <w:r w:rsidRPr="0024273F">
              <w:rPr>
                <w:rFonts w:ascii="Calibri" w:eastAsia="Times New Roman" w:hAnsi="Calibri" w:cs="Calibri"/>
                <w:color w:val="000000"/>
                <w:sz w:val="16"/>
                <w:szCs w:val="16"/>
              </w:rPr>
              <w:t>Obras em Andamento – FIOL</w:t>
            </w:r>
          </w:p>
        </w:tc>
        <w:tc>
          <w:tcPr>
            <w:tcW w:w="1134" w:type="dxa"/>
            <w:tcBorders>
              <w:top w:val="nil"/>
              <w:left w:val="nil"/>
              <w:bottom w:val="nil"/>
              <w:right w:val="nil"/>
            </w:tcBorders>
            <w:shd w:val="clear" w:color="auto" w:fill="auto"/>
            <w:noWrap/>
            <w:vAlign w:val="center"/>
            <w:hideMark/>
          </w:tcPr>
          <w:p w14:paraId="4FCF7037"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408.104.089</w:t>
            </w:r>
          </w:p>
        </w:tc>
        <w:tc>
          <w:tcPr>
            <w:tcW w:w="1134" w:type="dxa"/>
            <w:tcBorders>
              <w:top w:val="nil"/>
              <w:left w:val="nil"/>
              <w:bottom w:val="nil"/>
              <w:right w:val="nil"/>
            </w:tcBorders>
            <w:shd w:val="clear" w:color="auto" w:fill="auto"/>
            <w:noWrap/>
            <w:vAlign w:val="center"/>
            <w:hideMark/>
          </w:tcPr>
          <w:p w14:paraId="6410BF6D"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18CA371" w14:textId="77777777" w:rsidR="0024273F" w:rsidRPr="0024273F" w:rsidRDefault="0024273F" w:rsidP="0024273F">
            <w:pPr>
              <w:spacing w:after="0" w:line="240" w:lineRule="auto"/>
              <w:jc w:val="right"/>
              <w:rPr>
                <w:rFonts w:ascii="Calibri" w:eastAsia="Times New Roman" w:hAnsi="Calibri" w:cs="Calibri"/>
                <w:color w:val="000000"/>
                <w:sz w:val="16"/>
                <w:szCs w:val="16"/>
              </w:rPr>
            </w:pPr>
            <w:r w:rsidRPr="0024273F">
              <w:rPr>
                <w:rFonts w:ascii="Calibri" w:eastAsia="Times New Roman" w:hAnsi="Calibri" w:cs="Calibri"/>
                <w:color w:val="000000"/>
                <w:sz w:val="16"/>
                <w:szCs w:val="16"/>
              </w:rPr>
              <w:t>408.104.089</w:t>
            </w:r>
          </w:p>
        </w:tc>
      </w:tr>
      <w:tr w:rsidR="0024273F" w:rsidRPr="0024273F" w14:paraId="77BF8F9C" w14:textId="77777777" w:rsidTr="006C0510">
        <w:trPr>
          <w:trHeight w:hRule="exact" w:val="227"/>
        </w:trPr>
        <w:tc>
          <w:tcPr>
            <w:tcW w:w="5454" w:type="dxa"/>
            <w:tcBorders>
              <w:top w:val="single" w:sz="8" w:space="0" w:color="auto"/>
              <w:left w:val="nil"/>
              <w:bottom w:val="single" w:sz="8" w:space="0" w:color="auto"/>
              <w:right w:val="nil"/>
            </w:tcBorders>
            <w:shd w:val="clear" w:color="000000" w:fill="DEEAF6"/>
            <w:noWrap/>
            <w:vAlign w:val="center"/>
            <w:hideMark/>
          </w:tcPr>
          <w:p w14:paraId="7F501C10" w14:textId="77777777" w:rsidR="0024273F" w:rsidRPr="0024273F" w:rsidRDefault="0024273F" w:rsidP="0024273F">
            <w:pPr>
              <w:spacing w:after="0" w:line="240" w:lineRule="auto"/>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Total Investimento Cruzado</w:t>
            </w:r>
          </w:p>
        </w:tc>
        <w:tc>
          <w:tcPr>
            <w:tcW w:w="1134" w:type="dxa"/>
            <w:tcBorders>
              <w:top w:val="single" w:sz="8" w:space="0" w:color="auto"/>
              <w:left w:val="nil"/>
              <w:bottom w:val="single" w:sz="8" w:space="0" w:color="auto"/>
              <w:right w:val="nil"/>
            </w:tcBorders>
            <w:shd w:val="clear" w:color="000000" w:fill="DEEAF6"/>
            <w:noWrap/>
            <w:vAlign w:val="center"/>
            <w:hideMark/>
          </w:tcPr>
          <w:p w14:paraId="3F5195B0" w14:textId="0516D8D5"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1.287.061.67</w:t>
            </w:r>
            <w:r w:rsidR="00182D93">
              <w:rPr>
                <w:rFonts w:ascii="Calibri" w:eastAsia="Times New Roman" w:hAnsi="Calibri" w:cs="Calibri"/>
                <w:b/>
                <w:bCs/>
                <w:color w:val="000000"/>
                <w:sz w:val="16"/>
                <w:szCs w:val="16"/>
              </w:rPr>
              <w:t>6</w:t>
            </w:r>
          </w:p>
        </w:tc>
        <w:tc>
          <w:tcPr>
            <w:tcW w:w="1134" w:type="dxa"/>
            <w:tcBorders>
              <w:top w:val="single" w:sz="8" w:space="0" w:color="auto"/>
              <w:left w:val="nil"/>
              <w:bottom w:val="single" w:sz="8" w:space="0" w:color="auto"/>
              <w:right w:val="nil"/>
            </w:tcBorders>
            <w:shd w:val="clear" w:color="000000" w:fill="DEEAF6"/>
            <w:noWrap/>
            <w:vAlign w:val="center"/>
            <w:hideMark/>
          </w:tcPr>
          <w:p w14:paraId="37E84ECA" w14:textId="265B03A2"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164.223.04</w:t>
            </w:r>
            <w:r w:rsidR="00F757DD">
              <w:rPr>
                <w:rFonts w:ascii="Calibri" w:eastAsia="Times New Roman" w:hAnsi="Calibri" w:cs="Calibri"/>
                <w:b/>
                <w:bCs/>
                <w:color w:val="000000"/>
                <w:sz w:val="16"/>
                <w:szCs w:val="16"/>
              </w:rPr>
              <w:t>6</w:t>
            </w:r>
          </w:p>
        </w:tc>
        <w:tc>
          <w:tcPr>
            <w:tcW w:w="1134" w:type="dxa"/>
            <w:tcBorders>
              <w:top w:val="single" w:sz="8" w:space="0" w:color="auto"/>
              <w:left w:val="nil"/>
              <w:bottom w:val="single" w:sz="8" w:space="0" w:color="auto"/>
              <w:right w:val="nil"/>
            </w:tcBorders>
            <w:shd w:val="clear" w:color="000000" w:fill="DEEAF6"/>
            <w:noWrap/>
            <w:vAlign w:val="center"/>
            <w:hideMark/>
          </w:tcPr>
          <w:p w14:paraId="66236AA8" w14:textId="77777777" w:rsidR="0024273F" w:rsidRPr="0024273F" w:rsidRDefault="0024273F" w:rsidP="0024273F">
            <w:pPr>
              <w:spacing w:after="0" w:line="240" w:lineRule="auto"/>
              <w:jc w:val="right"/>
              <w:rPr>
                <w:rFonts w:ascii="Calibri" w:eastAsia="Times New Roman" w:hAnsi="Calibri" w:cs="Calibri"/>
                <w:b/>
                <w:bCs/>
                <w:color w:val="000000"/>
                <w:sz w:val="16"/>
                <w:szCs w:val="16"/>
              </w:rPr>
            </w:pPr>
            <w:r w:rsidRPr="0024273F">
              <w:rPr>
                <w:rFonts w:ascii="Calibri" w:eastAsia="Times New Roman" w:hAnsi="Calibri" w:cs="Calibri"/>
                <w:b/>
                <w:bCs/>
                <w:color w:val="000000"/>
                <w:sz w:val="16"/>
                <w:szCs w:val="16"/>
              </w:rPr>
              <w:t>1.451.284.722</w:t>
            </w:r>
          </w:p>
        </w:tc>
      </w:tr>
    </w:tbl>
    <w:p w14:paraId="545DB4FF" w14:textId="5DF64A99" w:rsidR="00CF7C36" w:rsidRPr="006E5BCC" w:rsidRDefault="00CF7C36" w:rsidP="00E258AD">
      <w:pPr>
        <w:pStyle w:val="NormalWeb"/>
        <w:spacing w:before="120" w:beforeAutospacing="0" w:after="120" w:afterAutospacing="0" w:line="240" w:lineRule="auto"/>
        <w:jc w:val="both"/>
        <w:rPr>
          <w:rFonts w:cstheme="minorHAnsi"/>
          <w:bCs/>
          <w:sz w:val="20"/>
        </w:rPr>
      </w:pPr>
      <w:r w:rsidRPr="006E5BCC">
        <w:rPr>
          <w:rFonts w:cstheme="minorHAnsi"/>
          <w:bCs/>
          <w:sz w:val="20"/>
        </w:rPr>
        <w:t xml:space="preserve">Os custos incorridos sobre a FIOL, no âmbito do Investimento Cruzado, já estão concluídos e </w:t>
      </w:r>
      <w:r w:rsidRPr="005D006A">
        <w:rPr>
          <w:rFonts w:cstheme="minorHAnsi"/>
          <w:bCs/>
          <w:sz w:val="20"/>
        </w:rPr>
        <w:t>somam R$ 408,10 milhões.</w:t>
      </w:r>
    </w:p>
    <w:p w14:paraId="0AC65A41" w14:textId="79D9E0AC" w:rsidR="002C0966" w:rsidRDefault="00CF7C36" w:rsidP="00E258AD">
      <w:pPr>
        <w:pStyle w:val="NormalWeb"/>
        <w:spacing w:before="120" w:beforeAutospacing="0" w:after="0" w:afterAutospacing="0" w:line="240" w:lineRule="auto"/>
        <w:jc w:val="both"/>
        <w:rPr>
          <w:rFonts w:cstheme="minorHAnsi"/>
          <w:bCs/>
          <w:sz w:val="20"/>
        </w:rPr>
      </w:pPr>
      <w:r w:rsidRPr="006E5BCC">
        <w:rPr>
          <w:rFonts w:cstheme="minorHAnsi"/>
          <w:bCs/>
          <w:sz w:val="20"/>
        </w:rPr>
        <w:t xml:space="preserve">No projeto FICO foram investidos, até o </w:t>
      </w:r>
      <w:r w:rsidR="0030188E">
        <w:rPr>
          <w:rFonts w:cstheme="minorHAnsi"/>
          <w:bCs/>
          <w:sz w:val="20"/>
        </w:rPr>
        <w:t>primeiro trimestre de 2024</w:t>
      </w:r>
      <w:r w:rsidRPr="006E5BCC">
        <w:rPr>
          <w:rFonts w:cstheme="minorHAnsi"/>
          <w:bCs/>
          <w:sz w:val="20"/>
        </w:rPr>
        <w:t xml:space="preserve">, R$ </w:t>
      </w:r>
      <w:r w:rsidR="001A0F11">
        <w:rPr>
          <w:rFonts w:cstheme="minorHAnsi"/>
          <w:bCs/>
          <w:sz w:val="20"/>
        </w:rPr>
        <w:t>1,04 bilhão</w:t>
      </w:r>
      <w:r w:rsidR="00331ABA">
        <w:rPr>
          <w:rFonts w:cstheme="minorHAnsi"/>
          <w:bCs/>
          <w:sz w:val="20"/>
        </w:rPr>
        <w:t xml:space="preserve"> </w:t>
      </w:r>
      <w:r w:rsidR="00331ABA" w:rsidRPr="006E5BCC">
        <w:rPr>
          <w:rFonts w:cstheme="minorHAnsi"/>
          <w:bCs/>
          <w:sz w:val="20"/>
        </w:rPr>
        <w:t>no âmbito do Investimento Cruzado</w:t>
      </w:r>
      <w:r w:rsidRPr="006E5BCC">
        <w:rPr>
          <w:rFonts w:cstheme="minorHAnsi"/>
          <w:bCs/>
          <w:sz w:val="20"/>
        </w:rPr>
        <w:t xml:space="preserve">, sendo R$ </w:t>
      </w:r>
      <w:r w:rsidR="00243843">
        <w:rPr>
          <w:rFonts w:cstheme="minorHAnsi"/>
          <w:bCs/>
          <w:sz w:val="20"/>
        </w:rPr>
        <w:t>67,</w:t>
      </w:r>
      <w:r w:rsidR="004704B8">
        <w:rPr>
          <w:rFonts w:cstheme="minorHAnsi"/>
          <w:bCs/>
          <w:sz w:val="20"/>
        </w:rPr>
        <w:t>66</w:t>
      </w:r>
      <w:r w:rsidRPr="006E5BCC">
        <w:rPr>
          <w:rFonts w:cstheme="minorHAnsi"/>
          <w:bCs/>
          <w:sz w:val="20"/>
        </w:rPr>
        <w:t xml:space="preserve"> milhões em desapropriações e R$ </w:t>
      </w:r>
      <w:r w:rsidR="004704B8">
        <w:rPr>
          <w:rFonts w:cstheme="minorHAnsi"/>
          <w:bCs/>
          <w:sz w:val="20"/>
        </w:rPr>
        <w:t>975,52</w:t>
      </w:r>
      <w:r w:rsidRPr="006E5BCC">
        <w:rPr>
          <w:rFonts w:cstheme="minorHAnsi"/>
          <w:bCs/>
          <w:sz w:val="20"/>
        </w:rPr>
        <w:t xml:space="preserve"> milhões em custos </w:t>
      </w:r>
      <w:r w:rsidR="006222FE">
        <w:rPr>
          <w:rFonts w:cstheme="minorHAnsi"/>
          <w:bCs/>
          <w:sz w:val="20"/>
        </w:rPr>
        <w:t xml:space="preserve">de </w:t>
      </w:r>
      <w:r w:rsidRPr="006E5BCC">
        <w:rPr>
          <w:rFonts w:cstheme="minorHAnsi"/>
          <w:bCs/>
          <w:sz w:val="20"/>
        </w:rPr>
        <w:t>obras</w:t>
      </w:r>
      <w:r w:rsidR="006222FE">
        <w:rPr>
          <w:rFonts w:cstheme="minorHAnsi"/>
          <w:bCs/>
          <w:sz w:val="20"/>
        </w:rPr>
        <w:t xml:space="preserve"> em andamento</w:t>
      </w:r>
      <w:r w:rsidR="00B26A04">
        <w:rPr>
          <w:rFonts w:cstheme="minorHAnsi"/>
          <w:sz w:val="20"/>
        </w:rPr>
        <w:t xml:space="preserve">, </w:t>
      </w:r>
      <w:r w:rsidR="00B26A04">
        <w:rPr>
          <w:rFonts w:cstheme="minorHAnsi"/>
          <w:bCs/>
          <w:sz w:val="20"/>
        </w:rPr>
        <w:t>sendo que deste total, R$ 366,22 milhões correspondem a serviços de sondagens e R$ 259,65 milhões correspondem a preparação de canteiros.</w:t>
      </w:r>
    </w:p>
    <w:p w14:paraId="15FC0E70" w14:textId="77777777" w:rsidR="00FA3DAA" w:rsidRPr="002C0966" w:rsidRDefault="00FA3DAA" w:rsidP="00D9296D">
      <w:pPr>
        <w:pStyle w:val="NormalWeb"/>
        <w:spacing w:before="0" w:beforeAutospacing="0" w:after="0" w:afterAutospacing="0"/>
        <w:jc w:val="both"/>
      </w:pPr>
    </w:p>
    <w:p w14:paraId="04EE3531" w14:textId="6D439C30" w:rsidR="00E71553" w:rsidRPr="006E5BCC" w:rsidRDefault="003D6ED6" w:rsidP="003F5243">
      <w:pPr>
        <w:pStyle w:val="Ttulo1"/>
      </w:pPr>
      <w:bookmarkStart w:id="90" w:name="_Toc184926694"/>
      <w:r w:rsidRPr="006E5BCC">
        <w:t>2</w:t>
      </w:r>
      <w:r w:rsidR="001F54A0">
        <w:t>5</w:t>
      </w:r>
      <w:r w:rsidR="00E71553" w:rsidRPr="006E5BCC">
        <w:t xml:space="preserve"> </w:t>
      </w:r>
      <w:r w:rsidR="004B6C8A" w:rsidRPr="006E5BCC">
        <w:t>–</w:t>
      </w:r>
      <w:r w:rsidR="00E71553" w:rsidRPr="006E5BCC">
        <w:t xml:space="preserve"> </w:t>
      </w:r>
      <w:r w:rsidR="00BB19BB" w:rsidRPr="006E5BCC">
        <w:t>Capital Social</w:t>
      </w:r>
      <w:bookmarkEnd w:id="90"/>
    </w:p>
    <w:tbl>
      <w:tblPr>
        <w:tblW w:w="5000" w:type="pct"/>
        <w:tblCellMar>
          <w:left w:w="70" w:type="dxa"/>
          <w:right w:w="70" w:type="dxa"/>
        </w:tblCellMar>
        <w:tblLook w:val="04A0" w:firstRow="1" w:lastRow="0" w:firstColumn="1" w:lastColumn="0" w:noHBand="0" w:noVBand="1"/>
      </w:tblPr>
      <w:tblGrid>
        <w:gridCol w:w="8079"/>
        <w:gridCol w:w="1194"/>
        <w:gridCol w:w="1194"/>
      </w:tblGrid>
      <w:tr w:rsidR="003A5C81" w:rsidRPr="0006786B" w14:paraId="79416B6A" w14:textId="77777777" w:rsidTr="00C05E96">
        <w:trPr>
          <w:trHeight w:val="227"/>
        </w:trPr>
        <w:tc>
          <w:tcPr>
            <w:tcW w:w="7809" w:type="dxa"/>
            <w:tcBorders>
              <w:top w:val="nil"/>
              <w:left w:val="nil"/>
              <w:bottom w:val="single" w:sz="8" w:space="0" w:color="auto"/>
              <w:right w:val="nil"/>
            </w:tcBorders>
            <w:shd w:val="clear" w:color="auto" w:fill="DEEAF6" w:themeFill="accent1" w:themeFillTint="33"/>
            <w:noWrap/>
            <w:vAlign w:val="bottom"/>
            <w:hideMark/>
          </w:tcPr>
          <w:p w14:paraId="5110D034" w14:textId="77777777" w:rsidR="003A5C81" w:rsidRPr="0006786B" w:rsidRDefault="003A5C81">
            <w:pPr>
              <w:spacing w:after="0" w:line="240" w:lineRule="auto"/>
              <w:rPr>
                <w:rFonts w:ascii="Times New Roman" w:eastAsia="Times New Roman" w:hAnsi="Times New Roman" w:cs="Times New Roman"/>
                <w:sz w:val="24"/>
                <w:szCs w:val="24"/>
              </w:rPr>
            </w:pPr>
          </w:p>
        </w:tc>
        <w:tc>
          <w:tcPr>
            <w:tcW w:w="1134" w:type="dxa"/>
            <w:tcBorders>
              <w:top w:val="nil"/>
              <w:left w:val="nil"/>
              <w:bottom w:val="single" w:sz="8" w:space="0" w:color="auto"/>
              <w:right w:val="nil"/>
            </w:tcBorders>
            <w:shd w:val="clear" w:color="000000" w:fill="DDEBF7"/>
            <w:vAlign w:val="center"/>
          </w:tcPr>
          <w:p w14:paraId="0D1036FB" w14:textId="5FA5CB30" w:rsidR="003A5C81" w:rsidRPr="0006786B" w:rsidRDefault="003A5C81">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w:t>
            </w:r>
            <w:r>
              <w:rPr>
                <w:rFonts w:ascii="Calibri" w:eastAsia="Times New Roman" w:hAnsi="Calibri" w:cs="Calibri"/>
                <w:b/>
                <w:bCs/>
                <w:color w:val="000000"/>
                <w:sz w:val="16"/>
                <w:szCs w:val="16"/>
              </w:rPr>
              <w:t>1</w:t>
            </w:r>
            <w:r w:rsidRPr="0006786B">
              <w:rPr>
                <w:rFonts w:ascii="Calibri" w:eastAsia="Times New Roman" w:hAnsi="Calibri" w:cs="Calibri"/>
                <w:b/>
                <w:bCs/>
                <w:color w:val="000000"/>
                <w:sz w:val="16"/>
                <w:szCs w:val="16"/>
              </w:rPr>
              <w:t>/</w:t>
            </w:r>
            <w:r w:rsidR="00B00354">
              <w:rPr>
                <w:rFonts w:ascii="Calibri" w:eastAsia="Times New Roman" w:hAnsi="Calibri" w:cs="Calibri"/>
                <w:b/>
                <w:bCs/>
                <w:color w:val="000000"/>
                <w:sz w:val="16"/>
                <w:szCs w:val="16"/>
              </w:rPr>
              <w:t>03</w:t>
            </w:r>
            <w:r w:rsidRPr="0006786B">
              <w:rPr>
                <w:rFonts w:ascii="Calibri" w:eastAsia="Times New Roman" w:hAnsi="Calibri" w:cs="Calibri"/>
                <w:b/>
                <w:bCs/>
                <w:color w:val="000000"/>
                <w:sz w:val="16"/>
                <w:szCs w:val="16"/>
              </w:rPr>
              <w:t>/202</w:t>
            </w:r>
            <w:r w:rsidR="00B00354">
              <w:rPr>
                <w:rFonts w:ascii="Calibri" w:eastAsia="Times New Roman" w:hAnsi="Calibri" w:cs="Calibri"/>
                <w:b/>
                <w:bCs/>
                <w:color w:val="000000"/>
                <w:sz w:val="16"/>
                <w:szCs w:val="16"/>
              </w:rPr>
              <w:t>4</w:t>
            </w:r>
            <w:r w:rsidRPr="0006786B">
              <w:rPr>
                <w:rFonts w:ascii="Calibri" w:eastAsia="Times New Roman" w:hAnsi="Calibri" w:cs="Calibri"/>
                <w:b/>
                <w:bCs/>
                <w:color w:val="000000"/>
                <w:sz w:val="16"/>
                <w:szCs w:val="16"/>
              </w:rPr>
              <w:t xml:space="preserve"> </w:t>
            </w:r>
          </w:p>
        </w:tc>
        <w:tc>
          <w:tcPr>
            <w:tcW w:w="1134" w:type="dxa"/>
            <w:tcBorders>
              <w:top w:val="nil"/>
              <w:left w:val="nil"/>
              <w:bottom w:val="single" w:sz="8" w:space="0" w:color="auto"/>
              <w:right w:val="nil"/>
            </w:tcBorders>
            <w:shd w:val="clear" w:color="000000" w:fill="DDEBF7"/>
            <w:vAlign w:val="center"/>
          </w:tcPr>
          <w:p w14:paraId="4219F7BA" w14:textId="182EBD75" w:rsidR="003A5C81" w:rsidRPr="0006786B" w:rsidRDefault="003A5C81">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31/12/202</w:t>
            </w:r>
            <w:r w:rsidR="00B00354">
              <w:rPr>
                <w:rFonts w:ascii="Calibri" w:eastAsia="Times New Roman" w:hAnsi="Calibri" w:cs="Calibri"/>
                <w:b/>
                <w:bCs/>
                <w:color w:val="000000"/>
                <w:sz w:val="16"/>
                <w:szCs w:val="16"/>
              </w:rPr>
              <w:t>3</w:t>
            </w:r>
          </w:p>
        </w:tc>
      </w:tr>
      <w:tr w:rsidR="003A5C81" w:rsidRPr="0006786B" w14:paraId="4F6276EC" w14:textId="77777777" w:rsidTr="00C05E96">
        <w:trPr>
          <w:trHeight w:val="227"/>
        </w:trPr>
        <w:tc>
          <w:tcPr>
            <w:tcW w:w="7809" w:type="dxa"/>
            <w:tcBorders>
              <w:top w:val="single" w:sz="8" w:space="0" w:color="auto"/>
              <w:left w:val="nil"/>
              <w:bottom w:val="single" w:sz="4" w:space="0" w:color="auto"/>
              <w:right w:val="nil"/>
            </w:tcBorders>
            <w:shd w:val="clear" w:color="auto" w:fill="auto"/>
            <w:noWrap/>
            <w:vAlign w:val="center"/>
            <w:hideMark/>
          </w:tcPr>
          <w:p w14:paraId="5DC2C156" w14:textId="26DF66B1" w:rsidR="003A5C81" w:rsidRPr="0006786B" w:rsidRDefault="005E46B6">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Capital Social</w:t>
            </w:r>
            <w:r w:rsidR="003A5C81" w:rsidRPr="0006786B">
              <w:rPr>
                <w:rFonts w:ascii="Calibri" w:eastAsia="Times New Roman" w:hAnsi="Calibri" w:cs="Calibri"/>
                <w:color w:val="000000"/>
                <w:sz w:val="16"/>
                <w:szCs w:val="16"/>
              </w:rPr>
              <w:t xml:space="preserve"> </w:t>
            </w:r>
          </w:p>
        </w:tc>
        <w:tc>
          <w:tcPr>
            <w:tcW w:w="1134" w:type="dxa"/>
            <w:tcBorders>
              <w:top w:val="single" w:sz="8" w:space="0" w:color="auto"/>
              <w:left w:val="nil"/>
              <w:bottom w:val="single" w:sz="4" w:space="0" w:color="auto"/>
              <w:right w:val="nil"/>
            </w:tcBorders>
            <w:vAlign w:val="center"/>
          </w:tcPr>
          <w:p w14:paraId="137FD597" w14:textId="5AFFD8ED" w:rsidR="003A5C81" w:rsidRPr="0006786B" w:rsidRDefault="005E46B6">
            <w:pPr>
              <w:spacing w:after="0" w:line="240" w:lineRule="auto"/>
              <w:jc w:val="right"/>
              <w:rPr>
                <w:rFonts w:ascii="Calibri" w:eastAsia="Times New Roman" w:hAnsi="Calibri" w:cs="Calibri"/>
                <w:color w:val="000000"/>
                <w:sz w:val="16"/>
                <w:szCs w:val="16"/>
              </w:rPr>
            </w:pPr>
            <w:r w:rsidRPr="005E46B6">
              <w:rPr>
                <w:rFonts w:ascii="Calibri" w:eastAsia="Times New Roman" w:hAnsi="Calibri" w:cs="Calibri"/>
                <w:color w:val="000000"/>
                <w:sz w:val="16"/>
                <w:szCs w:val="16"/>
              </w:rPr>
              <w:t>24.029.778.338</w:t>
            </w:r>
          </w:p>
        </w:tc>
        <w:tc>
          <w:tcPr>
            <w:tcW w:w="1134" w:type="dxa"/>
            <w:tcBorders>
              <w:top w:val="single" w:sz="8" w:space="0" w:color="auto"/>
              <w:left w:val="nil"/>
              <w:bottom w:val="single" w:sz="4" w:space="0" w:color="auto"/>
              <w:right w:val="nil"/>
            </w:tcBorders>
            <w:vAlign w:val="center"/>
          </w:tcPr>
          <w:p w14:paraId="2A31B110" w14:textId="6B00E165" w:rsidR="003A5C81" w:rsidRPr="0006786B" w:rsidRDefault="00B00354">
            <w:pPr>
              <w:spacing w:after="0" w:line="240" w:lineRule="auto"/>
              <w:jc w:val="right"/>
              <w:rPr>
                <w:rFonts w:ascii="Calibri" w:eastAsia="Times New Roman" w:hAnsi="Calibri" w:cs="Calibri"/>
                <w:color w:val="000000"/>
                <w:sz w:val="16"/>
                <w:szCs w:val="16"/>
              </w:rPr>
            </w:pPr>
            <w:r w:rsidRPr="005E46B6">
              <w:rPr>
                <w:rFonts w:ascii="Calibri" w:eastAsia="Times New Roman" w:hAnsi="Calibri" w:cs="Calibri"/>
                <w:color w:val="000000"/>
                <w:sz w:val="16"/>
                <w:szCs w:val="16"/>
              </w:rPr>
              <w:t>24.029.778.338</w:t>
            </w:r>
          </w:p>
        </w:tc>
      </w:tr>
    </w:tbl>
    <w:p w14:paraId="007339C6" w14:textId="48FE38ED" w:rsidR="00E9065A" w:rsidRDefault="00E71553" w:rsidP="00E9065A">
      <w:pPr>
        <w:spacing w:before="120" w:line="240" w:lineRule="auto"/>
        <w:jc w:val="both"/>
        <w:rPr>
          <w:rFonts w:cstheme="minorHAnsi"/>
          <w:sz w:val="20"/>
        </w:rPr>
      </w:pPr>
      <w:r w:rsidRPr="006E5BCC">
        <w:rPr>
          <w:rFonts w:cstheme="minorHAnsi"/>
          <w:sz w:val="20"/>
        </w:rPr>
        <w:t xml:space="preserve">O Capital Social, após a integralização conforme </w:t>
      </w:r>
      <w:r w:rsidR="004347FF">
        <w:rPr>
          <w:rFonts w:cstheme="minorHAnsi"/>
          <w:sz w:val="20"/>
        </w:rPr>
        <w:t xml:space="preserve">a </w:t>
      </w:r>
      <w:r w:rsidRPr="006E5BCC">
        <w:rPr>
          <w:rFonts w:cstheme="minorHAnsi"/>
          <w:sz w:val="20"/>
        </w:rPr>
        <w:t xml:space="preserve">Ata da </w:t>
      </w:r>
      <w:r w:rsidR="008B751E">
        <w:rPr>
          <w:rFonts w:cstheme="minorHAnsi"/>
          <w:sz w:val="20"/>
        </w:rPr>
        <w:t>82</w:t>
      </w:r>
      <w:r w:rsidRPr="006E5BCC">
        <w:rPr>
          <w:rFonts w:cstheme="minorHAnsi"/>
          <w:sz w:val="20"/>
        </w:rPr>
        <w:t>ª Assembleia Geral Extraordinária</w:t>
      </w:r>
      <w:r w:rsidR="007948EB">
        <w:rPr>
          <w:rFonts w:cstheme="minorHAnsi"/>
          <w:sz w:val="20"/>
        </w:rPr>
        <w:t>,</w:t>
      </w:r>
      <w:r w:rsidRPr="006E5BCC">
        <w:rPr>
          <w:rFonts w:cstheme="minorHAnsi"/>
          <w:sz w:val="20"/>
        </w:rPr>
        <w:t xml:space="preserve"> de 27 de </w:t>
      </w:r>
      <w:r w:rsidR="008B751E">
        <w:rPr>
          <w:rFonts w:cstheme="minorHAnsi"/>
          <w:sz w:val="20"/>
        </w:rPr>
        <w:t>novembro</w:t>
      </w:r>
      <w:r w:rsidRPr="006E5BCC">
        <w:rPr>
          <w:rFonts w:cstheme="minorHAnsi"/>
          <w:sz w:val="20"/>
        </w:rPr>
        <w:t xml:space="preserve"> de 202</w:t>
      </w:r>
      <w:r w:rsidR="008B751E">
        <w:rPr>
          <w:rFonts w:cstheme="minorHAnsi"/>
          <w:sz w:val="20"/>
        </w:rPr>
        <w:t>3</w:t>
      </w:r>
      <w:r w:rsidR="00E9065A" w:rsidRPr="00E9065A">
        <w:rPr>
          <w:rFonts w:cstheme="minorHAnsi"/>
          <w:sz w:val="20"/>
        </w:rPr>
        <w:t>, totaliza R$ 24.029.778.338,43 totalmente subscrito e integralizado pela União, dividido em 8.090.009 ações ordinárias nominativas, sem valor nominal.</w:t>
      </w:r>
      <w:r w:rsidR="00792E80">
        <w:rPr>
          <w:rFonts w:cstheme="minorHAnsi"/>
          <w:sz w:val="20"/>
        </w:rPr>
        <w:t xml:space="preserve"> </w:t>
      </w:r>
      <w:r w:rsidR="00792E80" w:rsidRPr="004A7913">
        <w:rPr>
          <w:rFonts w:cstheme="minorHAnsi"/>
          <w:sz w:val="20"/>
        </w:rPr>
        <w:t>Em abril de 2024, foi realizada a integralização do AFAC recebido no exercício de 2023, no valor de R$ 134 milhões, apresentado na Nota Explicativa 26.</w:t>
      </w:r>
    </w:p>
    <w:p w14:paraId="64CC8E57" w14:textId="64E35650" w:rsidR="00352E01" w:rsidRPr="00E9065A" w:rsidRDefault="003D6ED6" w:rsidP="00E9065A">
      <w:pPr>
        <w:pStyle w:val="Ttulo1"/>
      </w:pPr>
      <w:bookmarkStart w:id="91" w:name="_Toc184926695"/>
      <w:r w:rsidRPr="00E9065A">
        <w:t>2</w:t>
      </w:r>
      <w:r w:rsidR="001F54A0" w:rsidRPr="00E9065A">
        <w:t>6</w:t>
      </w:r>
      <w:r w:rsidR="00352E01" w:rsidRPr="00E9065A">
        <w:t xml:space="preserve"> </w:t>
      </w:r>
      <w:r w:rsidR="004B6C8A" w:rsidRPr="00E9065A">
        <w:t>–</w:t>
      </w:r>
      <w:r w:rsidR="00352E01" w:rsidRPr="00E9065A">
        <w:t xml:space="preserve"> Adiantamento para Futuro Aumento de Capital – AFAC</w:t>
      </w:r>
      <w:bookmarkEnd w:id="91"/>
    </w:p>
    <w:p w14:paraId="102957D0" w14:textId="228BB0AB" w:rsidR="00A850DE" w:rsidRDefault="00A850DE" w:rsidP="00E258AD">
      <w:pPr>
        <w:spacing w:before="120" w:line="240" w:lineRule="auto"/>
        <w:jc w:val="both"/>
        <w:rPr>
          <w:rFonts w:cstheme="minorHAnsi"/>
          <w:sz w:val="20"/>
        </w:rPr>
      </w:pPr>
      <w:r w:rsidRPr="00A850DE">
        <w:rPr>
          <w:rFonts w:cstheme="minorHAnsi"/>
          <w:sz w:val="20"/>
        </w:rPr>
        <w:t xml:space="preserve">O saldo de Adiantamentos para Futuros Aumentos de Capital – AFAC é composto de recursos oriundos do Orçamento Geral da União – OGU, do </w:t>
      </w:r>
      <w:r>
        <w:rPr>
          <w:rFonts w:cstheme="minorHAnsi"/>
          <w:sz w:val="20"/>
        </w:rPr>
        <w:t>primeiro trimestre</w:t>
      </w:r>
      <w:r w:rsidRPr="00A850DE">
        <w:rPr>
          <w:rFonts w:cstheme="minorHAnsi"/>
          <w:sz w:val="20"/>
        </w:rPr>
        <w:t xml:space="preserve"> de 202</w:t>
      </w:r>
      <w:r w:rsidR="00F67767">
        <w:rPr>
          <w:rFonts w:cstheme="minorHAnsi"/>
          <w:sz w:val="20"/>
        </w:rPr>
        <w:t>4</w:t>
      </w:r>
      <w:r w:rsidRPr="00A850DE">
        <w:rPr>
          <w:rFonts w:cstheme="minorHAnsi"/>
          <w:sz w:val="20"/>
        </w:rPr>
        <w:t xml:space="preserve"> na categoria Investimento. Tais recursos foram destinados à construção das Ferrovias Norte-Sul – FNS (EF-151), Extensão Sul, Ferrovia Integração Oeste-Leste – FIOL (EF-334), Ferrovia Integração Centro-Oeste– FICO (EF-354) e à elaboração de estudos e projetos de longo prazo registrados no ativo intangível da Companhia. </w:t>
      </w:r>
    </w:p>
    <w:p w14:paraId="5AF888E0" w14:textId="5CB468E7" w:rsidR="00A81F92" w:rsidRPr="006E5BCC" w:rsidRDefault="00E71553" w:rsidP="00E258AD">
      <w:pPr>
        <w:spacing w:before="120" w:line="240" w:lineRule="auto"/>
        <w:jc w:val="both"/>
        <w:rPr>
          <w:rFonts w:cstheme="minorHAnsi"/>
          <w:sz w:val="20"/>
        </w:rPr>
      </w:pPr>
      <w:r w:rsidRPr="006E5BCC">
        <w:rPr>
          <w:rFonts w:cstheme="minorHAnsi"/>
          <w:sz w:val="20"/>
        </w:rPr>
        <w:t xml:space="preserve">A movimentação de AFAC, </w:t>
      </w:r>
      <w:r w:rsidR="006B0ABC">
        <w:rPr>
          <w:rFonts w:cstheme="minorHAnsi"/>
          <w:sz w:val="20"/>
        </w:rPr>
        <w:t xml:space="preserve">no </w:t>
      </w:r>
      <w:r w:rsidR="0030188E">
        <w:rPr>
          <w:rFonts w:cstheme="minorHAnsi"/>
          <w:sz w:val="20"/>
        </w:rPr>
        <w:t>primeiro trimestre de 2024</w:t>
      </w:r>
      <w:r w:rsidRPr="006E5BCC">
        <w:rPr>
          <w:rFonts w:cstheme="minorHAnsi"/>
          <w:sz w:val="20"/>
        </w:rPr>
        <w:t>, foi</w:t>
      </w:r>
      <w:r w:rsidR="00C92364" w:rsidRPr="006E5BCC">
        <w:rPr>
          <w:rFonts w:cstheme="minorHAnsi"/>
          <w:sz w:val="20"/>
        </w:rPr>
        <w:t xml:space="preserve"> a seguinte</w:t>
      </w:r>
      <w:r w:rsidRPr="006E5BCC">
        <w:rPr>
          <w:rFonts w:cstheme="minorHAnsi"/>
          <w:sz w:val="20"/>
        </w:rPr>
        <w:t>:</w:t>
      </w:r>
    </w:p>
    <w:tbl>
      <w:tblPr>
        <w:tblW w:w="5000" w:type="pct"/>
        <w:tblCellMar>
          <w:left w:w="70" w:type="dxa"/>
          <w:right w:w="70" w:type="dxa"/>
        </w:tblCellMar>
        <w:tblLook w:val="04A0" w:firstRow="1" w:lastRow="0" w:firstColumn="1" w:lastColumn="0" w:noHBand="0" w:noVBand="1"/>
      </w:tblPr>
      <w:tblGrid>
        <w:gridCol w:w="5121"/>
        <w:gridCol w:w="3054"/>
        <w:gridCol w:w="1146"/>
        <w:gridCol w:w="1146"/>
      </w:tblGrid>
      <w:tr w:rsidR="003E2548" w:rsidRPr="00F269C4" w14:paraId="2FC0835F" w14:textId="77777777" w:rsidTr="00C05E96">
        <w:trPr>
          <w:trHeight w:hRule="exact" w:val="227"/>
        </w:trPr>
        <w:tc>
          <w:tcPr>
            <w:tcW w:w="5064" w:type="dxa"/>
            <w:tcBorders>
              <w:top w:val="nil"/>
              <w:left w:val="nil"/>
              <w:bottom w:val="single" w:sz="8" w:space="0" w:color="auto"/>
              <w:right w:val="nil"/>
            </w:tcBorders>
            <w:shd w:val="clear" w:color="auto" w:fill="DEEAF6" w:themeFill="accent1" w:themeFillTint="33"/>
            <w:noWrap/>
            <w:vAlign w:val="center"/>
            <w:hideMark/>
          </w:tcPr>
          <w:p w14:paraId="0C79A2F7" w14:textId="77777777" w:rsidR="003E2548" w:rsidRPr="00917CBB" w:rsidRDefault="003E2548" w:rsidP="003E2548">
            <w:pPr>
              <w:spacing w:after="0"/>
              <w:rPr>
                <w:rFonts w:ascii="Calibri" w:hAnsi="Calibri" w:cs="Calibri"/>
                <w:b/>
                <w:sz w:val="16"/>
                <w:szCs w:val="16"/>
              </w:rPr>
            </w:pPr>
            <w:r w:rsidRPr="00917CBB">
              <w:rPr>
                <w:rFonts w:ascii="Calibri" w:hAnsi="Calibri" w:cs="Calibri"/>
                <w:b/>
                <w:sz w:val="16"/>
                <w:szCs w:val="16"/>
              </w:rPr>
              <w:t>AFAC – PL</w:t>
            </w:r>
          </w:p>
        </w:tc>
        <w:tc>
          <w:tcPr>
            <w:tcW w:w="3021" w:type="dxa"/>
            <w:tcBorders>
              <w:top w:val="nil"/>
              <w:left w:val="nil"/>
              <w:bottom w:val="single" w:sz="8" w:space="0" w:color="auto"/>
              <w:right w:val="nil"/>
            </w:tcBorders>
            <w:shd w:val="clear" w:color="auto" w:fill="DEEAF6" w:themeFill="accent1" w:themeFillTint="33"/>
            <w:noWrap/>
            <w:vAlign w:val="center"/>
            <w:hideMark/>
          </w:tcPr>
          <w:p w14:paraId="316D94CE" w14:textId="77777777" w:rsidR="003E2548" w:rsidRPr="00917CBB" w:rsidRDefault="003E2548" w:rsidP="003E2548">
            <w:pPr>
              <w:spacing w:after="0"/>
              <w:jc w:val="right"/>
              <w:rPr>
                <w:rFonts w:ascii="Calibri" w:hAnsi="Calibri" w:cs="Calibri"/>
                <w:b/>
                <w:sz w:val="16"/>
                <w:szCs w:val="16"/>
              </w:rPr>
            </w:pPr>
            <w:r w:rsidRPr="00917CBB">
              <w:rPr>
                <w:rFonts w:ascii="Calibri" w:hAnsi="Calibri" w:cs="Calibri"/>
                <w:b/>
                <w:sz w:val="16"/>
                <w:szCs w:val="16"/>
              </w:rPr>
              <w:t> </w:t>
            </w:r>
          </w:p>
        </w:tc>
        <w:tc>
          <w:tcPr>
            <w:tcW w:w="1134" w:type="dxa"/>
            <w:tcBorders>
              <w:top w:val="nil"/>
              <w:left w:val="nil"/>
              <w:bottom w:val="single" w:sz="8" w:space="0" w:color="auto"/>
              <w:right w:val="nil"/>
            </w:tcBorders>
            <w:shd w:val="clear" w:color="auto" w:fill="DEEAF6" w:themeFill="accent1" w:themeFillTint="33"/>
            <w:vAlign w:val="center"/>
            <w:hideMark/>
          </w:tcPr>
          <w:p w14:paraId="53F269B8" w14:textId="02399923" w:rsidR="003E2548" w:rsidRPr="00917CBB" w:rsidRDefault="003E2548" w:rsidP="003E2548">
            <w:pPr>
              <w:spacing w:after="0"/>
              <w:jc w:val="right"/>
              <w:rPr>
                <w:rFonts w:ascii="Calibri" w:hAnsi="Calibri" w:cs="Calibri"/>
                <w:b/>
                <w:sz w:val="16"/>
                <w:szCs w:val="16"/>
              </w:rPr>
            </w:pPr>
            <w:r w:rsidRPr="00917CBB">
              <w:rPr>
                <w:rFonts w:ascii="Calibri" w:hAnsi="Calibri" w:cs="Calibri"/>
                <w:b/>
                <w:sz w:val="16"/>
                <w:szCs w:val="16"/>
              </w:rPr>
              <w:t>3</w:t>
            </w:r>
            <w:r>
              <w:rPr>
                <w:rFonts w:ascii="Calibri" w:hAnsi="Calibri" w:cs="Calibri"/>
                <w:b/>
                <w:sz w:val="16"/>
                <w:szCs w:val="16"/>
              </w:rPr>
              <w:t>1</w:t>
            </w:r>
            <w:r w:rsidRPr="00917CBB">
              <w:rPr>
                <w:rFonts w:ascii="Calibri" w:hAnsi="Calibri" w:cs="Calibri"/>
                <w:b/>
                <w:sz w:val="16"/>
                <w:szCs w:val="16"/>
              </w:rPr>
              <w:t>/</w:t>
            </w:r>
            <w:r>
              <w:rPr>
                <w:rFonts w:ascii="Calibri" w:hAnsi="Calibri" w:cs="Calibri"/>
                <w:b/>
                <w:sz w:val="16"/>
                <w:szCs w:val="16"/>
              </w:rPr>
              <w:t>03/2024</w:t>
            </w:r>
          </w:p>
        </w:tc>
        <w:tc>
          <w:tcPr>
            <w:tcW w:w="1134" w:type="dxa"/>
            <w:tcBorders>
              <w:top w:val="nil"/>
              <w:left w:val="nil"/>
              <w:bottom w:val="single" w:sz="8" w:space="0" w:color="auto"/>
              <w:right w:val="nil"/>
            </w:tcBorders>
            <w:shd w:val="clear" w:color="auto" w:fill="DEEAF6" w:themeFill="accent1" w:themeFillTint="33"/>
            <w:vAlign w:val="center"/>
            <w:hideMark/>
          </w:tcPr>
          <w:p w14:paraId="15CE8B3E" w14:textId="0F946227" w:rsidR="003E2548" w:rsidRPr="00917CBB" w:rsidRDefault="003E2548" w:rsidP="003E2548">
            <w:pPr>
              <w:spacing w:after="0"/>
              <w:jc w:val="right"/>
              <w:rPr>
                <w:rFonts w:ascii="Calibri" w:hAnsi="Calibri" w:cs="Calibri"/>
                <w:b/>
                <w:sz w:val="16"/>
                <w:szCs w:val="16"/>
              </w:rPr>
            </w:pPr>
            <w:r w:rsidRPr="00917CBB">
              <w:rPr>
                <w:rFonts w:ascii="Calibri" w:hAnsi="Calibri" w:cs="Calibri"/>
                <w:b/>
                <w:sz w:val="16"/>
                <w:szCs w:val="16"/>
              </w:rPr>
              <w:t>3</w:t>
            </w:r>
            <w:r>
              <w:rPr>
                <w:rFonts w:ascii="Calibri" w:hAnsi="Calibri" w:cs="Calibri"/>
                <w:b/>
                <w:sz w:val="16"/>
                <w:szCs w:val="16"/>
              </w:rPr>
              <w:t>1</w:t>
            </w:r>
            <w:r w:rsidRPr="00917CBB">
              <w:rPr>
                <w:rFonts w:ascii="Calibri" w:hAnsi="Calibri" w:cs="Calibri"/>
                <w:b/>
                <w:sz w:val="16"/>
                <w:szCs w:val="16"/>
              </w:rPr>
              <w:t>/</w:t>
            </w:r>
            <w:r>
              <w:rPr>
                <w:rFonts w:ascii="Calibri" w:hAnsi="Calibri" w:cs="Calibri"/>
                <w:b/>
                <w:sz w:val="16"/>
                <w:szCs w:val="16"/>
              </w:rPr>
              <w:t>12</w:t>
            </w:r>
            <w:r w:rsidRPr="00917CBB">
              <w:rPr>
                <w:rFonts w:ascii="Calibri" w:hAnsi="Calibri" w:cs="Calibri"/>
                <w:b/>
                <w:sz w:val="16"/>
                <w:szCs w:val="16"/>
              </w:rPr>
              <w:t>/2023</w:t>
            </w:r>
          </w:p>
        </w:tc>
      </w:tr>
      <w:tr w:rsidR="003E2548" w:rsidRPr="00F269C4" w14:paraId="6E4FE50D" w14:textId="77777777" w:rsidTr="00C05E96">
        <w:trPr>
          <w:trHeight w:hRule="exact" w:val="227"/>
        </w:trPr>
        <w:tc>
          <w:tcPr>
            <w:tcW w:w="5064" w:type="dxa"/>
            <w:tcBorders>
              <w:top w:val="single" w:sz="8" w:space="0" w:color="auto"/>
              <w:left w:val="nil"/>
              <w:bottom w:val="nil"/>
              <w:right w:val="nil"/>
            </w:tcBorders>
            <w:shd w:val="clear" w:color="auto" w:fill="auto"/>
            <w:noWrap/>
            <w:vAlign w:val="center"/>
            <w:hideMark/>
          </w:tcPr>
          <w:p w14:paraId="077C8FAF" w14:textId="4994CCB0" w:rsidR="003E2548" w:rsidRPr="00917CBB" w:rsidRDefault="003E2548" w:rsidP="003E2548">
            <w:pPr>
              <w:spacing w:after="0"/>
              <w:rPr>
                <w:rFonts w:ascii="Calibri" w:hAnsi="Calibri" w:cs="Calibri"/>
                <w:sz w:val="16"/>
                <w:szCs w:val="16"/>
              </w:rPr>
            </w:pPr>
            <w:r w:rsidRPr="00917CBB">
              <w:rPr>
                <w:rFonts w:ascii="Calibri" w:hAnsi="Calibri" w:cs="Calibri"/>
                <w:sz w:val="16"/>
                <w:szCs w:val="16"/>
              </w:rPr>
              <w:t xml:space="preserve">Saldo </w:t>
            </w:r>
            <w:r>
              <w:rPr>
                <w:rFonts w:ascii="Calibri" w:hAnsi="Calibri" w:cs="Calibri"/>
                <w:sz w:val="16"/>
                <w:szCs w:val="16"/>
              </w:rPr>
              <w:t>A</w:t>
            </w:r>
            <w:r w:rsidRPr="00917CBB">
              <w:rPr>
                <w:rFonts w:ascii="Calibri" w:hAnsi="Calibri" w:cs="Calibri"/>
                <w:sz w:val="16"/>
                <w:szCs w:val="16"/>
              </w:rPr>
              <w:t>nterior</w:t>
            </w:r>
          </w:p>
        </w:tc>
        <w:tc>
          <w:tcPr>
            <w:tcW w:w="3021" w:type="dxa"/>
            <w:tcBorders>
              <w:top w:val="nil"/>
              <w:left w:val="nil"/>
              <w:bottom w:val="nil"/>
              <w:right w:val="nil"/>
            </w:tcBorders>
            <w:shd w:val="clear" w:color="auto" w:fill="auto"/>
            <w:noWrap/>
            <w:vAlign w:val="center"/>
            <w:hideMark/>
          </w:tcPr>
          <w:p w14:paraId="50A0DA94" w14:textId="77777777" w:rsidR="003E2548" w:rsidRPr="00917CBB" w:rsidRDefault="003E2548" w:rsidP="003E2548">
            <w:pPr>
              <w:spacing w:after="0"/>
              <w:rPr>
                <w:rFonts w:ascii="Calibri" w:hAnsi="Calibri" w:cs="Calibri"/>
                <w:sz w:val="16"/>
                <w:szCs w:val="16"/>
              </w:rPr>
            </w:pPr>
          </w:p>
        </w:tc>
        <w:tc>
          <w:tcPr>
            <w:tcW w:w="1134" w:type="dxa"/>
            <w:tcBorders>
              <w:top w:val="single" w:sz="8" w:space="0" w:color="auto"/>
              <w:left w:val="nil"/>
              <w:bottom w:val="nil"/>
              <w:right w:val="nil"/>
            </w:tcBorders>
            <w:shd w:val="clear" w:color="auto" w:fill="auto"/>
            <w:vAlign w:val="center"/>
            <w:hideMark/>
          </w:tcPr>
          <w:p w14:paraId="45EE4DD6" w14:textId="147B9BB4" w:rsidR="003E2548" w:rsidRPr="00917CBB" w:rsidRDefault="003E2548" w:rsidP="003E2548">
            <w:pPr>
              <w:spacing w:after="0"/>
              <w:jc w:val="right"/>
              <w:rPr>
                <w:rFonts w:ascii="Calibri" w:hAnsi="Calibri" w:cs="Calibri"/>
                <w:sz w:val="16"/>
                <w:szCs w:val="16"/>
              </w:rPr>
            </w:pPr>
            <w:r w:rsidRPr="001D4D4B">
              <w:rPr>
                <w:rFonts w:ascii="Calibri" w:hAnsi="Calibri" w:cs="Calibri"/>
                <w:sz w:val="16"/>
                <w:szCs w:val="16"/>
              </w:rPr>
              <w:t>134.291.194</w:t>
            </w:r>
          </w:p>
        </w:tc>
        <w:tc>
          <w:tcPr>
            <w:tcW w:w="1134" w:type="dxa"/>
            <w:tcBorders>
              <w:top w:val="nil"/>
              <w:left w:val="nil"/>
              <w:bottom w:val="nil"/>
              <w:right w:val="nil"/>
            </w:tcBorders>
            <w:shd w:val="clear" w:color="auto" w:fill="auto"/>
            <w:vAlign w:val="center"/>
            <w:hideMark/>
          </w:tcPr>
          <w:p w14:paraId="622CDE10" w14:textId="19EB7F42" w:rsidR="003E2548" w:rsidRPr="00917CBB" w:rsidRDefault="003E2548" w:rsidP="003E2548">
            <w:pPr>
              <w:spacing w:after="0"/>
              <w:jc w:val="right"/>
              <w:rPr>
                <w:rFonts w:ascii="Calibri" w:hAnsi="Calibri" w:cs="Calibri"/>
                <w:sz w:val="16"/>
                <w:szCs w:val="16"/>
              </w:rPr>
            </w:pPr>
            <w:r w:rsidRPr="00917CBB">
              <w:rPr>
                <w:rFonts w:ascii="Calibri" w:hAnsi="Calibri" w:cs="Calibri"/>
                <w:sz w:val="16"/>
                <w:szCs w:val="16"/>
              </w:rPr>
              <w:t>351.003.518</w:t>
            </w:r>
          </w:p>
        </w:tc>
      </w:tr>
      <w:tr w:rsidR="003E2548" w:rsidRPr="00F269C4" w14:paraId="6BE2BDD6" w14:textId="77777777" w:rsidTr="00C05E96">
        <w:trPr>
          <w:trHeight w:hRule="exact" w:val="227"/>
        </w:trPr>
        <w:tc>
          <w:tcPr>
            <w:tcW w:w="5064" w:type="dxa"/>
            <w:tcBorders>
              <w:top w:val="nil"/>
              <w:left w:val="nil"/>
              <w:bottom w:val="nil"/>
              <w:right w:val="nil"/>
            </w:tcBorders>
            <w:shd w:val="clear" w:color="auto" w:fill="auto"/>
            <w:noWrap/>
            <w:vAlign w:val="center"/>
            <w:hideMark/>
          </w:tcPr>
          <w:p w14:paraId="0A130A61" w14:textId="77777777" w:rsidR="003E2548" w:rsidRPr="00917CBB" w:rsidRDefault="003E2548" w:rsidP="003E2548">
            <w:pPr>
              <w:spacing w:after="0"/>
              <w:rPr>
                <w:rFonts w:ascii="Calibri" w:hAnsi="Calibri" w:cs="Calibri"/>
                <w:sz w:val="16"/>
                <w:szCs w:val="16"/>
              </w:rPr>
            </w:pPr>
            <w:r w:rsidRPr="00917CBB">
              <w:rPr>
                <w:rFonts w:ascii="Calibri" w:hAnsi="Calibri" w:cs="Calibri"/>
                <w:sz w:val="16"/>
                <w:szCs w:val="16"/>
              </w:rPr>
              <w:t>Ingressos</w:t>
            </w:r>
          </w:p>
        </w:tc>
        <w:tc>
          <w:tcPr>
            <w:tcW w:w="3021" w:type="dxa"/>
            <w:tcBorders>
              <w:top w:val="nil"/>
              <w:left w:val="nil"/>
              <w:bottom w:val="nil"/>
              <w:right w:val="nil"/>
            </w:tcBorders>
            <w:shd w:val="clear" w:color="auto" w:fill="auto"/>
            <w:noWrap/>
            <w:vAlign w:val="center"/>
            <w:hideMark/>
          </w:tcPr>
          <w:p w14:paraId="1781D906" w14:textId="77777777" w:rsidR="003E2548" w:rsidRPr="00917CBB" w:rsidRDefault="003E2548" w:rsidP="003E2548">
            <w:pPr>
              <w:spacing w:after="0"/>
              <w:rPr>
                <w:rFonts w:ascii="Calibri" w:hAnsi="Calibri" w:cs="Calibri"/>
                <w:sz w:val="16"/>
                <w:szCs w:val="16"/>
              </w:rPr>
            </w:pPr>
          </w:p>
        </w:tc>
        <w:tc>
          <w:tcPr>
            <w:tcW w:w="1134" w:type="dxa"/>
            <w:tcBorders>
              <w:top w:val="nil"/>
              <w:left w:val="nil"/>
              <w:bottom w:val="nil"/>
              <w:right w:val="nil"/>
            </w:tcBorders>
            <w:shd w:val="clear" w:color="auto" w:fill="auto"/>
            <w:vAlign w:val="center"/>
            <w:hideMark/>
          </w:tcPr>
          <w:p w14:paraId="6B6F6DFB" w14:textId="2D72748B" w:rsidR="003E2548" w:rsidRPr="00917CBB" w:rsidRDefault="003E2548" w:rsidP="003E2548">
            <w:pPr>
              <w:spacing w:after="0"/>
              <w:jc w:val="right"/>
              <w:rPr>
                <w:rFonts w:ascii="Calibri" w:hAnsi="Calibri" w:cs="Calibri"/>
                <w:sz w:val="16"/>
                <w:szCs w:val="16"/>
              </w:rPr>
            </w:pPr>
            <w:r>
              <w:rPr>
                <w:rFonts w:ascii="Calibri" w:hAnsi="Calibri" w:cs="Calibri"/>
                <w:sz w:val="16"/>
                <w:szCs w:val="16"/>
              </w:rPr>
              <w:t>32.128.790</w:t>
            </w:r>
          </w:p>
        </w:tc>
        <w:tc>
          <w:tcPr>
            <w:tcW w:w="1134" w:type="dxa"/>
            <w:tcBorders>
              <w:top w:val="nil"/>
              <w:left w:val="nil"/>
              <w:bottom w:val="nil"/>
              <w:right w:val="nil"/>
            </w:tcBorders>
            <w:shd w:val="clear" w:color="auto" w:fill="auto"/>
            <w:vAlign w:val="center"/>
            <w:hideMark/>
          </w:tcPr>
          <w:p w14:paraId="2CDB15DE" w14:textId="47DEFDDA" w:rsidR="003E2548" w:rsidRPr="00917CBB" w:rsidRDefault="003E2548" w:rsidP="003E2548">
            <w:pPr>
              <w:spacing w:after="0"/>
              <w:jc w:val="right"/>
              <w:rPr>
                <w:rFonts w:ascii="Calibri" w:hAnsi="Calibri" w:cs="Calibri"/>
                <w:sz w:val="16"/>
                <w:szCs w:val="16"/>
              </w:rPr>
            </w:pPr>
            <w:r w:rsidRPr="001D4D4B">
              <w:rPr>
                <w:rFonts w:ascii="Calibri" w:hAnsi="Calibri" w:cs="Calibri"/>
                <w:sz w:val="16"/>
                <w:szCs w:val="16"/>
              </w:rPr>
              <w:t>134.291.194</w:t>
            </w:r>
          </w:p>
        </w:tc>
      </w:tr>
      <w:tr w:rsidR="003E2548" w:rsidRPr="00F269C4" w14:paraId="51587299" w14:textId="77777777" w:rsidTr="00C05E96">
        <w:trPr>
          <w:trHeight w:hRule="exact" w:val="227"/>
        </w:trPr>
        <w:tc>
          <w:tcPr>
            <w:tcW w:w="5064" w:type="dxa"/>
            <w:tcBorders>
              <w:top w:val="nil"/>
              <w:left w:val="nil"/>
              <w:bottom w:val="single" w:sz="8" w:space="0" w:color="auto"/>
              <w:right w:val="nil"/>
            </w:tcBorders>
            <w:shd w:val="clear" w:color="auto" w:fill="auto"/>
            <w:noWrap/>
            <w:vAlign w:val="center"/>
            <w:hideMark/>
          </w:tcPr>
          <w:p w14:paraId="7807D7FF" w14:textId="77777777" w:rsidR="003E2548" w:rsidRPr="00917CBB" w:rsidRDefault="003E2548" w:rsidP="003E2548">
            <w:pPr>
              <w:spacing w:after="0"/>
              <w:rPr>
                <w:rFonts w:ascii="Calibri" w:hAnsi="Calibri" w:cs="Calibri"/>
                <w:sz w:val="16"/>
                <w:szCs w:val="16"/>
              </w:rPr>
            </w:pPr>
            <w:r w:rsidRPr="00917CBB">
              <w:rPr>
                <w:rFonts w:ascii="Calibri" w:hAnsi="Calibri" w:cs="Calibri"/>
                <w:sz w:val="16"/>
                <w:szCs w:val="16"/>
              </w:rPr>
              <w:t>Integralização</w:t>
            </w:r>
          </w:p>
        </w:tc>
        <w:tc>
          <w:tcPr>
            <w:tcW w:w="3021" w:type="dxa"/>
            <w:tcBorders>
              <w:top w:val="nil"/>
              <w:left w:val="nil"/>
              <w:bottom w:val="single" w:sz="8" w:space="0" w:color="auto"/>
              <w:right w:val="nil"/>
            </w:tcBorders>
            <w:shd w:val="clear" w:color="auto" w:fill="auto"/>
            <w:noWrap/>
            <w:vAlign w:val="center"/>
            <w:hideMark/>
          </w:tcPr>
          <w:p w14:paraId="5FF64480" w14:textId="77777777" w:rsidR="003E2548" w:rsidRPr="00917CBB" w:rsidRDefault="003E2548" w:rsidP="003E2548">
            <w:pPr>
              <w:spacing w:after="0"/>
              <w:rPr>
                <w:rFonts w:ascii="Calibri" w:hAnsi="Calibri" w:cs="Calibri"/>
                <w:sz w:val="16"/>
                <w:szCs w:val="16"/>
              </w:rPr>
            </w:pPr>
          </w:p>
        </w:tc>
        <w:tc>
          <w:tcPr>
            <w:tcW w:w="1134" w:type="dxa"/>
            <w:tcBorders>
              <w:top w:val="nil"/>
              <w:left w:val="nil"/>
              <w:bottom w:val="single" w:sz="8" w:space="0" w:color="auto"/>
              <w:right w:val="nil"/>
            </w:tcBorders>
            <w:shd w:val="clear" w:color="auto" w:fill="auto"/>
            <w:vAlign w:val="center"/>
            <w:hideMark/>
          </w:tcPr>
          <w:p w14:paraId="05AECDE0" w14:textId="1BF5EB59" w:rsidR="003E2548" w:rsidRPr="00917CBB" w:rsidRDefault="00444FD6" w:rsidP="003E2548">
            <w:pPr>
              <w:spacing w:after="0"/>
              <w:jc w:val="right"/>
              <w:rPr>
                <w:rFonts w:ascii="Calibri" w:hAnsi="Calibri" w:cs="Calibri"/>
                <w:sz w:val="16"/>
                <w:szCs w:val="16"/>
              </w:rPr>
            </w:pPr>
            <w:r>
              <w:rPr>
                <w:rFonts w:ascii="Calibri" w:hAnsi="Calibri" w:cs="Calibri"/>
                <w:sz w:val="16"/>
                <w:szCs w:val="16"/>
              </w:rPr>
              <w:t>-</w:t>
            </w:r>
          </w:p>
        </w:tc>
        <w:tc>
          <w:tcPr>
            <w:tcW w:w="1134" w:type="dxa"/>
            <w:tcBorders>
              <w:top w:val="nil"/>
              <w:left w:val="nil"/>
              <w:bottom w:val="single" w:sz="8" w:space="0" w:color="auto"/>
              <w:right w:val="nil"/>
            </w:tcBorders>
            <w:shd w:val="clear" w:color="auto" w:fill="auto"/>
            <w:vAlign w:val="center"/>
            <w:hideMark/>
          </w:tcPr>
          <w:p w14:paraId="1E1CC904" w14:textId="0D082E65" w:rsidR="003E2548" w:rsidRPr="00917CBB" w:rsidRDefault="003E2548" w:rsidP="003E2548">
            <w:pPr>
              <w:spacing w:after="0"/>
              <w:jc w:val="right"/>
              <w:rPr>
                <w:rFonts w:ascii="Calibri" w:hAnsi="Calibri" w:cs="Calibri"/>
                <w:sz w:val="16"/>
                <w:szCs w:val="16"/>
              </w:rPr>
            </w:pPr>
            <w:r>
              <w:rPr>
                <w:rFonts w:ascii="Calibri" w:hAnsi="Calibri" w:cs="Calibri"/>
                <w:sz w:val="16"/>
                <w:szCs w:val="16"/>
              </w:rPr>
              <w:t>(</w:t>
            </w:r>
            <w:r w:rsidRPr="004A31C9">
              <w:rPr>
                <w:rFonts w:ascii="Calibri" w:hAnsi="Calibri" w:cs="Calibri"/>
                <w:sz w:val="16"/>
                <w:szCs w:val="16"/>
              </w:rPr>
              <w:t>351.003.518</w:t>
            </w:r>
            <w:r>
              <w:rPr>
                <w:rFonts w:ascii="Calibri" w:hAnsi="Calibri" w:cs="Calibri"/>
                <w:sz w:val="16"/>
                <w:szCs w:val="16"/>
              </w:rPr>
              <w:t>)</w:t>
            </w:r>
          </w:p>
        </w:tc>
      </w:tr>
      <w:tr w:rsidR="003E2548" w:rsidRPr="00F269C4" w14:paraId="1DB1B656" w14:textId="77777777" w:rsidTr="00C05E96">
        <w:trPr>
          <w:trHeight w:hRule="exact" w:val="227"/>
        </w:trPr>
        <w:tc>
          <w:tcPr>
            <w:tcW w:w="5064" w:type="dxa"/>
            <w:tcBorders>
              <w:top w:val="single" w:sz="8" w:space="0" w:color="auto"/>
              <w:left w:val="nil"/>
              <w:bottom w:val="single" w:sz="8" w:space="0" w:color="auto"/>
              <w:right w:val="nil"/>
            </w:tcBorders>
            <w:shd w:val="clear" w:color="auto" w:fill="DEEAF6" w:themeFill="accent1" w:themeFillTint="33"/>
            <w:noWrap/>
            <w:vAlign w:val="center"/>
            <w:hideMark/>
          </w:tcPr>
          <w:p w14:paraId="3801ABD5" w14:textId="25D3FB66" w:rsidR="003E2548" w:rsidRPr="00917CBB" w:rsidRDefault="003E2548" w:rsidP="003E2548">
            <w:pPr>
              <w:spacing w:after="0"/>
              <w:rPr>
                <w:rFonts w:ascii="Calibri" w:hAnsi="Calibri" w:cs="Calibri"/>
                <w:b/>
                <w:sz w:val="16"/>
                <w:szCs w:val="16"/>
              </w:rPr>
            </w:pPr>
            <w:r w:rsidRPr="00917CBB">
              <w:rPr>
                <w:rFonts w:ascii="Calibri" w:hAnsi="Calibri" w:cs="Calibri"/>
                <w:b/>
                <w:sz w:val="16"/>
                <w:szCs w:val="16"/>
              </w:rPr>
              <w:t xml:space="preserve">Total AFAC Patrimônio Líquido </w:t>
            </w:r>
          </w:p>
        </w:tc>
        <w:tc>
          <w:tcPr>
            <w:tcW w:w="3021" w:type="dxa"/>
            <w:tcBorders>
              <w:top w:val="single" w:sz="8" w:space="0" w:color="auto"/>
              <w:left w:val="nil"/>
              <w:bottom w:val="single" w:sz="8" w:space="0" w:color="auto"/>
              <w:right w:val="nil"/>
            </w:tcBorders>
            <w:shd w:val="clear" w:color="auto" w:fill="DEEAF6" w:themeFill="accent1" w:themeFillTint="33"/>
            <w:noWrap/>
            <w:vAlign w:val="center"/>
            <w:hideMark/>
          </w:tcPr>
          <w:p w14:paraId="3329DA7A" w14:textId="77777777" w:rsidR="003E2548" w:rsidRPr="00917CBB" w:rsidRDefault="003E2548" w:rsidP="003E2548">
            <w:pPr>
              <w:spacing w:after="0"/>
              <w:jc w:val="right"/>
              <w:rPr>
                <w:rFonts w:ascii="Calibri" w:hAnsi="Calibri" w:cs="Calibri"/>
                <w:b/>
                <w:sz w:val="16"/>
                <w:szCs w:val="16"/>
              </w:rPr>
            </w:pPr>
            <w:r w:rsidRPr="00917CBB">
              <w:rPr>
                <w:rFonts w:ascii="Calibri" w:hAnsi="Calibri" w:cs="Calibri"/>
                <w:b/>
                <w:sz w:val="16"/>
                <w:szCs w:val="16"/>
              </w:rPr>
              <w:t> </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67AF5AD3" w14:textId="3BE2E99D" w:rsidR="003E2548" w:rsidRPr="00917CBB" w:rsidRDefault="00151CCD" w:rsidP="003E2548">
            <w:pPr>
              <w:spacing w:after="0"/>
              <w:jc w:val="right"/>
              <w:rPr>
                <w:rFonts w:ascii="Calibri" w:hAnsi="Calibri" w:cs="Calibri"/>
                <w:b/>
                <w:sz w:val="16"/>
                <w:szCs w:val="16"/>
              </w:rPr>
            </w:pPr>
            <w:r>
              <w:rPr>
                <w:rFonts w:ascii="Calibri" w:hAnsi="Calibri" w:cs="Calibri"/>
                <w:b/>
                <w:bCs/>
                <w:sz w:val="16"/>
                <w:szCs w:val="16"/>
              </w:rPr>
              <w:t>166.419.984</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4D3C4F0E" w14:textId="2E41D4B1" w:rsidR="003E2548" w:rsidRPr="00917CBB" w:rsidRDefault="003E2548" w:rsidP="003E2548">
            <w:pPr>
              <w:spacing w:after="0"/>
              <w:jc w:val="right"/>
              <w:rPr>
                <w:rFonts w:ascii="Calibri" w:hAnsi="Calibri" w:cs="Calibri"/>
                <w:b/>
                <w:sz w:val="16"/>
                <w:szCs w:val="16"/>
              </w:rPr>
            </w:pPr>
            <w:r w:rsidRPr="006D6DC2">
              <w:rPr>
                <w:rFonts w:ascii="Calibri" w:hAnsi="Calibri" w:cs="Calibri"/>
                <w:b/>
                <w:bCs/>
                <w:sz w:val="16"/>
                <w:szCs w:val="16"/>
              </w:rPr>
              <w:t>134.291.194</w:t>
            </w:r>
          </w:p>
        </w:tc>
      </w:tr>
      <w:tr w:rsidR="00A52415" w:rsidRPr="00F269C4" w14:paraId="0C92FB6E" w14:textId="77777777" w:rsidTr="00C05E96">
        <w:trPr>
          <w:trHeight w:hRule="exact" w:val="227"/>
        </w:trPr>
        <w:tc>
          <w:tcPr>
            <w:tcW w:w="5064" w:type="dxa"/>
            <w:tcBorders>
              <w:top w:val="single" w:sz="8" w:space="0" w:color="auto"/>
              <w:left w:val="nil"/>
              <w:right w:val="nil"/>
            </w:tcBorders>
            <w:shd w:val="clear" w:color="auto" w:fill="auto"/>
            <w:noWrap/>
            <w:vAlign w:val="center"/>
          </w:tcPr>
          <w:p w14:paraId="5F6D3CD5" w14:textId="77777777" w:rsidR="00A52415" w:rsidRPr="006E5BCC" w:rsidRDefault="00A52415" w:rsidP="00D81350">
            <w:pPr>
              <w:spacing w:after="0"/>
              <w:rPr>
                <w:rFonts w:ascii="Calibri" w:hAnsi="Calibri" w:cs="Calibri"/>
                <w:b/>
                <w:sz w:val="20"/>
                <w:szCs w:val="16"/>
              </w:rPr>
            </w:pPr>
          </w:p>
        </w:tc>
        <w:tc>
          <w:tcPr>
            <w:tcW w:w="3021" w:type="dxa"/>
            <w:tcBorders>
              <w:top w:val="single" w:sz="8" w:space="0" w:color="auto"/>
              <w:left w:val="nil"/>
              <w:right w:val="nil"/>
            </w:tcBorders>
            <w:shd w:val="clear" w:color="auto" w:fill="auto"/>
            <w:noWrap/>
            <w:vAlign w:val="center"/>
          </w:tcPr>
          <w:p w14:paraId="7CC3A692" w14:textId="77777777" w:rsidR="00A52415" w:rsidRPr="00917CBB" w:rsidRDefault="00A52415" w:rsidP="00D81350">
            <w:pPr>
              <w:spacing w:after="0"/>
              <w:jc w:val="right"/>
              <w:rPr>
                <w:rFonts w:ascii="Calibri" w:hAnsi="Calibri" w:cs="Calibri"/>
                <w:b/>
                <w:sz w:val="16"/>
                <w:szCs w:val="16"/>
              </w:rPr>
            </w:pPr>
          </w:p>
        </w:tc>
        <w:tc>
          <w:tcPr>
            <w:tcW w:w="1134" w:type="dxa"/>
            <w:tcBorders>
              <w:top w:val="single" w:sz="8" w:space="0" w:color="auto"/>
              <w:left w:val="nil"/>
              <w:right w:val="nil"/>
            </w:tcBorders>
            <w:shd w:val="clear" w:color="auto" w:fill="auto"/>
            <w:vAlign w:val="center"/>
          </w:tcPr>
          <w:p w14:paraId="78DA1E28" w14:textId="77777777" w:rsidR="00A52415" w:rsidRPr="00917CBB" w:rsidRDefault="00A52415" w:rsidP="00D81350">
            <w:pPr>
              <w:spacing w:after="0"/>
              <w:jc w:val="right"/>
              <w:rPr>
                <w:rFonts w:ascii="Calibri" w:hAnsi="Calibri" w:cs="Calibri"/>
                <w:b/>
                <w:bCs/>
                <w:sz w:val="16"/>
                <w:szCs w:val="16"/>
              </w:rPr>
            </w:pPr>
          </w:p>
        </w:tc>
        <w:tc>
          <w:tcPr>
            <w:tcW w:w="1134" w:type="dxa"/>
            <w:tcBorders>
              <w:top w:val="single" w:sz="8" w:space="0" w:color="auto"/>
              <w:left w:val="nil"/>
              <w:right w:val="nil"/>
            </w:tcBorders>
            <w:shd w:val="clear" w:color="auto" w:fill="auto"/>
            <w:vAlign w:val="center"/>
          </w:tcPr>
          <w:p w14:paraId="62C3CCC1" w14:textId="77777777" w:rsidR="00A52415" w:rsidRPr="00917CBB" w:rsidRDefault="00A52415" w:rsidP="00D81350">
            <w:pPr>
              <w:spacing w:after="0"/>
              <w:jc w:val="right"/>
              <w:rPr>
                <w:rFonts w:ascii="Calibri" w:hAnsi="Calibri" w:cs="Calibri"/>
                <w:b/>
                <w:sz w:val="16"/>
                <w:szCs w:val="16"/>
              </w:rPr>
            </w:pPr>
          </w:p>
        </w:tc>
      </w:tr>
    </w:tbl>
    <w:p w14:paraId="40964673" w14:textId="5990AEB5" w:rsidR="00E71553" w:rsidRPr="006E5BCC" w:rsidRDefault="00816876" w:rsidP="006E5BCC">
      <w:pPr>
        <w:pStyle w:val="Ttulo1"/>
      </w:pPr>
      <w:bookmarkStart w:id="92" w:name="_Toc184926696"/>
      <w:r w:rsidRPr="006E5BCC">
        <w:t>2</w:t>
      </w:r>
      <w:r w:rsidR="001F54A0">
        <w:t>7</w:t>
      </w:r>
      <w:r w:rsidR="00C5346D" w:rsidRPr="006E5BCC">
        <w:t xml:space="preserve"> </w:t>
      </w:r>
      <w:r w:rsidR="004B6C8A" w:rsidRPr="006E5BCC">
        <w:t>–</w:t>
      </w:r>
      <w:r w:rsidR="0052464F" w:rsidRPr="006E5BCC">
        <w:t xml:space="preserve"> </w:t>
      </w:r>
      <w:r w:rsidR="00E71553" w:rsidRPr="006E5BCC">
        <w:t>Prejuízos Acumulados</w:t>
      </w:r>
      <w:bookmarkEnd w:id="92"/>
    </w:p>
    <w:tbl>
      <w:tblPr>
        <w:tblW w:w="5000" w:type="pct"/>
        <w:tblCellMar>
          <w:left w:w="70" w:type="dxa"/>
          <w:right w:w="70" w:type="dxa"/>
        </w:tblCellMar>
        <w:tblLook w:val="04A0" w:firstRow="1" w:lastRow="0" w:firstColumn="1" w:lastColumn="0" w:noHBand="0" w:noVBand="1"/>
      </w:tblPr>
      <w:tblGrid>
        <w:gridCol w:w="6613"/>
        <w:gridCol w:w="1326"/>
        <w:gridCol w:w="1202"/>
        <w:gridCol w:w="1326"/>
      </w:tblGrid>
      <w:tr w:rsidR="00070B57" w:rsidRPr="00070B57" w14:paraId="5395EC23" w14:textId="77777777" w:rsidTr="00C05E96">
        <w:trPr>
          <w:trHeight w:val="227"/>
        </w:trPr>
        <w:tc>
          <w:tcPr>
            <w:tcW w:w="6240" w:type="dxa"/>
            <w:tcBorders>
              <w:top w:val="nil"/>
              <w:left w:val="nil"/>
              <w:bottom w:val="single" w:sz="8" w:space="0" w:color="auto"/>
              <w:right w:val="nil"/>
            </w:tcBorders>
            <w:shd w:val="clear" w:color="000000" w:fill="DEEAF6"/>
            <w:noWrap/>
            <w:vAlign w:val="center"/>
            <w:hideMark/>
          </w:tcPr>
          <w:p w14:paraId="697051AF" w14:textId="77777777" w:rsidR="00070B57" w:rsidRPr="00070B57" w:rsidRDefault="00070B57" w:rsidP="00070B57">
            <w:pPr>
              <w:spacing w:after="0" w:line="240" w:lineRule="auto"/>
              <w:rPr>
                <w:rFonts w:ascii="Calibri" w:eastAsia="Times New Roman" w:hAnsi="Calibri" w:cs="Calibri"/>
                <w:color w:val="000000"/>
              </w:rPr>
            </w:pPr>
            <w:r w:rsidRPr="00070B57">
              <w:rPr>
                <w:rFonts w:ascii="Calibri" w:eastAsia="Times New Roman" w:hAnsi="Calibri" w:cs="Calibri"/>
                <w:color w:val="000000"/>
              </w:rPr>
              <w:t> </w:t>
            </w:r>
          </w:p>
        </w:tc>
        <w:tc>
          <w:tcPr>
            <w:tcW w:w="1134" w:type="dxa"/>
            <w:tcBorders>
              <w:top w:val="nil"/>
              <w:left w:val="nil"/>
              <w:bottom w:val="single" w:sz="8" w:space="0" w:color="auto"/>
              <w:right w:val="nil"/>
            </w:tcBorders>
            <w:shd w:val="clear" w:color="000000" w:fill="DDEBF7"/>
            <w:vAlign w:val="center"/>
            <w:hideMark/>
          </w:tcPr>
          <w:p w14:paraId="14FA87E9" w14:textId="77777777" w:rsidR="00070B57" w:rsidRPr="00070B57" w:rsidRDefault="00070B57" w:rsidP="00070B57">
            <w:pPr>
              <w:spacing w:after="0" w:line="240" w:lineRule="auto"/>
              <w:jc w:val="right"/>
              <w:rPr>
                <w:rFonts w:ascii="Calibri" w:eastAsia="Times New Roman" w:hAnsi="Calibri" w:cs="Calibri"/>
                <w:b/>
                <w:bCs/>
                <w:color w:val="000000"/>
                <w:sz w:val="16"/>
                <w:szCs w:val="16"/>
              </w:rPr>
            </w:pPr>
            <w:r w:rsidRPr="00070B57">
              <w:rPr>
                <w:rFonts w:ascii="Calibri" w:eastAsia="Times New Roman" w:hAnsi="Calibri" w:cs="Calibri"/>
                <w:b/>
                <w:bCs/>
                <w:color w:val="000000"/>
                <w:sz w:val="16"/>
                <w:szCs w:val="16"/>
              </w:rPr>
              <w:t>31/12/2023</w:t>
            </w:r>
          </w:p>
        </w:tc>
        <w:tc>
          <w:tcPr>
            <w:tcW w:w="1134" w:type="dxa"/>
            <w:tcBorders>
              <w:top w:val="nil"/>
              <w:left w:val="nil"/>
              <w:bottom w:val="single" w:sz="8" w:space="0" w:color="auto"/>
              <w:right w:val="nil"/>
            </w:tcBorders>
            <w:shd w:val="clear" w:color="000000" w:fill="DDEBF7"/>
            <w:vAlign w:val="center"/>
            <w:hideMark/>
          </w:tcPr>
          <w:p w14:paraId="6A3CA73F" w14:textId="44862392" w:rsidR="00070B57" w:rsidRPr="00070B57" w:rsidRDefault="00070B57" w:rsidP="00070B57">
            <w:pPr>
              <w:spacing w:after="0" w:line="240" w:lineRule="auto"/>
              <w:jc w:val="right"/>
              <w:rPr>
                <w:rFonts w:ascii="Calibri" w:eastAsia="Times New Roman" w:hAnsi="Calibri" w:cs="Calibri"/>
                <w:b/>
                <w:bCs/>
                <w:color w:val="000000"/>
                <w:sz w:val="16"/>
                <w:szCs w:val="16"/>
              </w:rPr>
            </w:pPr>
            <w:r w:rsidRPr="00070B57">
              <w:rPr>
                <w:rFonts w:ascii="Calibri" w:eastAsia="Times New Roman" w:hAnsi="Calibri" w:cs="Calibri"/>
                <w:b/>
                <w:bCs/>
                <w:color w:val="000000"/>
                <w:sz w:val="16"/>
                <w:szCs w:val="16"/>
              </w:rPr>
              <w:t xml:space="preserve">Resultado do </w:t>
            </w:r>
            <w:r w:rsidR="00C15A44">
              <w:rPr>
                <w:rFonts w:ascii="Calibri" w:eastAsia="Times New Roman" w:hAnsi="Calibri" w:cs="Calibri"/>
                <w:b/>
                <w:bCs/>
                <w:color w:val="000000"/>
                <w:sz w:val="16"/>
                <w:szCs w:val="16"/>
              </w:rPr>
              <w:t>P</w:t>
            </w:r>
            <w:r w:rsidR="007268F1">
              <w:rPr>
                <w:rFonts w:ascii="Calibri" w:eastAsia="Times New Roman" w:hAnsi="Calibri" w:cs="Calibri"/>
                <w:b/>
                <w:bCs/>
                <w:color w:val="000000"/>
                <w:sz w:val="16"/>
                <w:szCs w:val="16"/>
              </w:rPr>
              <w:t>eríodo</w:t>
            </w:r>
          </w:p>
        </w:tc>
        <w:tc>
          <w:tcPr>
            <w:tcW w:w="1134" w:type="dxa"/>
            <w:tcBorders>
              <w:top w:val="nil"/>
              <w:left w:val="nil"/>
              <w:bottom w:val="single" w:sz="8" w:space="0" w:color="auto"/>
              <w:right w:val="nil"/>
            </w:tcBorders>
            <w:shd w:val="clear" w:color="000000" w:fill="DDEBF7"/>
            <w:vAlign w:val="center"/>
            <w:hideMark/>
          </w:tcPr>
          <w:p w14:paraId="0C91E1F3" w14:textId="77777777" w:rsidR="00070B57" w:rsidRPr="00070B57" w:rsidRDefault="00070B57" w:rsidP="00070B57">
            <w:pPr>
              <w:spacing w:after="0" w:line="240" w:lineRule="auto"/>
              <w:jc w:val="right"/>
              <w:rPr>
                <w:rFonts w:ascii="Calibri" w:eastAsia="Times New Roman" w:hAnsi="Calibri" w:cs="Calibri"/>
                <w:b/>
                <w:bCs/>
                <w:color w:val="000000"/>
                <w:sz w:val="16"/>
                <w:szCs w:val="16"/>
              </w:rPr>
            </w:pPr>
            <w:r w:rsidRPr="00070B57">
              <w:rPr>
                <w:rFonts w:ascii="Calibri" w:eastAsia="Times New Roman" w:hAnsi="Calibri" w:cs="Calibri"/>
                <w:b/>
                <w:bCs/>
                <w:color w:val="000000"/>
                <w:sz w:val="16"/>
                <w:szCs w:val="16"/>
              </w:rPr>
              <w:t>31/03/2024</w:t>
            </w:r>
          </w:p>
        </w:tc>
      </w:tr>
      <w:tr w:rsidR="00070B57" w:rsidRPr="00070B57" w14:paraId="14455915" w14:textId="77777777" w:rsidTr="00C05E96">
        <w:trPr>
          <w:trHeight w:val="227"/>
        </w:trPr>
        <w:tc>
          <w:tcPr>
            <w:tcW w:w="6240" w:type="dxa"/>
            <w:tcBorders>
              <w:top w:val="nil"/>
              <w:left w:val="nil"/>
              <w:bottom w:val="single" w:sz="8" w:space="0" w:color="auto"/>
              <w:right w:val="nil"/>
            </w:tcBorders>
            <w:shd w:val="clear" w:color="auto" w:fill="auto"/>
            <w:noWrap/>
            <w:vAlign w:val="center"/>
            <w:hideMark/>
          </w:tcPr>
          <w:p w14:paraId="3990D1C8" w14:textId="77777777" w:rsidR="00070B57" w:rsidRPr="00070B57" w:rsidRDefault="00070B57" w:rsidP="00070B57">
            <w:pPr>
              <w:spacing w:after="0" w:line="240" w:lineRule="auto"/>
              <w:rPr>
                <w:rFonts w:ascii="Calibri" w:eastAsia="Times New Roman" w:hAnsi="Calibri" w:cs="Calibri"/>
                <w:color w:val="000000"/>
                <w:sz w:val="16"/>
                <w:szCs w:val="16"/>
              </w:rPr>
            </w:pPr>
            <w:r w:rsidRPr="00070B57">
              <w:rPr>
                <w:rFonts w:ascii="Calibri" w:eastAsia="Times New Roman" w:hAnsi="Calibri" w:cs="Calibri"/>
                <w:color w:val="000000"/>
                <w:sz w:val="16"/>
                <w:szCs w:val="16"/>
              </w:rPr>
              <w:t>Prejuízos Acumulados</w:t>
            </w:r>
          </w:p>
        </w:tc>
        <w:tc>
          <w:tcPr>
            <w:tcW w:w="1134" w:type="dxa"/>
            <w:tcBorders>
              <w:top w:val="nil"/>
              <w:left w:val="nil"/>
              <w:bottom w:val="single" w:sz="8" w:space="0" w:color="auto"/>
              <w:right w:val="nil"/>
            </w:tcBorders>
            <w:shd w:val="clear" w:color="auto" w:fill="auto"/>
            <w:vAlign w:val="center"/>
            <w:hideMark/>
          </w:tcPr>
          <w:p w14:paraId="03CCC20C" w14:textId="12123EC8" w:rsidR="00070B57" w:rsidRPr="00070B57" w:rsidRDefault="00AF6B05" w:rsidP="00070B5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070B57" w:rsidRPr="00070B57">
              <w:rPr>
                <w:rFonts w:ascii="Calibri" w:eastAsia="Times New Roman" w:hAnsi="Calibri" w:cs="Calibri"/>
                <w:color w:val="000000"/>
                <w:sz w:val="16"/>
                <w:szCs w:val="16"/>
              </w:rPr>
              <w:t>21.533.411.52</w:t>
            </w:r>
            <w:r w:rsidR="000877E6">
              <w:rPr>
                <w:rFonts w:ascii="Calibri" w:eastAsia="Times New Roman" w:hAnsi="Calibri" w:cs="Calibri"/>
                <w:color w:val="000000"/>
                <w:sz w:val="16"/>
                <w:szCs w:val="16"/>
              </w:rPr>
              <w:t>7</w:t>
            </w:r>
            <w:r>
              <w:rPr>
                <w:rFonts w:ascii="Calibri" w:eastAsia="Times New Roman" w:hAnsi="Calibri" w:cs="Calibri"/>
                <w:color w:val="000000"/>
                <w:sz w:val="16"/>
                <w:szCs w:val="16"/>
              </w:rPr>
              <w:t>)</w:t>
            </w:r>
          </w:p>
        </w:tc>
        <w:tc>
          <w:tcPr>
            <w:tcW w:w="1134" w:type="dxa"/>
            <w:tcBorders>
              <w:top w:val="nil"/>
              <w:left w:val="nil"/>
              <w:bottom w:val="single" w:sz="8" w:space="0" w:color="auto"/>
              <w:right w:val="nil"/>
            </w:tcBorders>
            <w:shd w:val="clear" w:color="auto" w:fill="auto"/>
            <w:vAlign w:val="center"/>
            <w:hideMark/>
          </w:tcPr>
          <w:p w14:paraId="613CF869" w14:textId="6F4CF205" w:rsidR="00070B57" w:rsidRPr="00070B57" w:rsidRDefault="00917728" w:rsidP="00070B5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31.212</w:t>
            </w:r>
            <w:r w:rsidR="00E02F4E">
              <w:rPr>
                <w:rFonts w:ascii="Calibri" w:eastAsia="Times New Roman" w:hAnsi="Calibri" w:cs="Calibri"/>
                <w:color w:val="000000"/>
                <w:sz w:val="16"/>
                <w:szCs w:val="16"/>
              </w:rPr>
              <w:t>.13</w:t>
            </w:r>
            <w:r w:rsidR="00A80F2C">
              <w:rPr>
                <w:rFonts w:ascii="Calibri" w:eastAsia="Times New Roman" w:hAnsi="Calibri" w:cs="Calibri"/>
                <w:color w:val="000000"/>
                <w:sz w:val="16"/>
                <w:szCs w:val="16"/>
              </w:rPr>
              <w:t>6</w:t>
            </w:r>
          </w:p>
        </w:tc>
        <w:tc>
          <w:tcPr>
            <w:tcW w:w="1134" w:type="dxa"/>
            <w:tcBorders>
              <w:top w:val="nil"/>
              <w:left w:val="nil"/>
              <w:bottom w:val="single" w:sz="8" w:space="0" w:color="auto"/>
              <w:right w:val="nil"/>
            </w:tcBorders>
            <w:shd w:val="clear" w:color="auto" w:fill="auto"/>
            <w:vAlign w:val="center"/>
            <w:hideMark/>
          </w:tcPr>
          <w:p w14:paraId="1897D7FA" w14:textId="7B2A09FC" w:rsidR="00070B57" w:rsidRPr="00070B57" w:rsidRDefault="00AF6B05" w:rsidP="00070B5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B0779F">
              <w:rPr>
                <w:rFonts w:ascii="Calibri" w:eastAsia="Times New Roman" w:hAnsi="Calibri" w:cs="Calibri"/>
                <w:color w:val="000000"/>
                <w:sz w:val="16"/>
                <w:szCs w:val="16"/>
              </w:rPr>
              <w:t>21.502.199.3</w:t>
            </w:r>
            <w:r w:rsidR="00992CD9">
              <w:rPr>
                <w:rFonts w:ascii="Calibri" w:eastAsia="Times New Roman" w:hAnsi="Calibri" w:cs="Calibri"/>
                <w:color w:val="000000"/>
                <w:sz w:val="16"/>
                <w:szCs w:val="16"/>
              </w:rPr>
              <w:t>91</w:t>
            </w:r>
            <w:r>
              <w:rPr>
                <w:rFonts w:ascii="Calibri" w:eastAsia="Times New Roman" w:hAnsi="Calibri" w:cs="Calibri"/>
                <w:color w:val="000000"/>
                <w:sz w:val="16"/>
                <w:szCs w:val="16"/>
              </w:rPr>
              <w:t>)</w:t>
            </w:r>
          </w:p>
        </w:tc>
      </w:tr>
    </w:tbl>
    <w:p w14:paraId="2C31F9A8" w14:textId="764B3809" w:rsidR="007534ED" w:rsidRPr="007534ED" w:rsidRDefault="007534ED" w:rsidP="00A426EA">
      <w:pPr>
        <w:spacing w:before="120"/>
        <w:jc w:val="both"/>
        <w:rPr>
          <w:sz w:val="20"/>
          <w:szCs w:val="20"/>
        </w:rPr>
      </w:pPr>
      <w:r w:rsidRPr="007534ED">
        <w:rPr>
          <w:sz w:val="20"/>
          <w:szCs w:val="20"/>
        </w:rPr>
        <w:t>Os Prejuízos Acumulados no valor de R$ 21,</w:t>
      </w:r>
      <w:r w:rsidR="001959EC">
        <w:rPr>
          <w:sz w:val="20"/>
          <w:szCs w:val="20"/>
        </w:rPr>
        <w:t>50</w:t>
      </w:r>
      <w:r w:rsidRPr="007534ED">
        <w:rPr>
          <w:sz w:val="20"/>
          <w:szCs w:val="20"/>
        </w:rPr>
        <w:t xml:space="preserve"> bilhões decorrem das depreciações dos bens patrimoniais e amortizações dos bens intangíveis; dos efeitos inflacionários da atualização monetária dos Adiantamentos para Futuro Aumento de Capital – </w:t>
      </w:r>
      <w:proofErr w:type="spellStart"/>
      <w:r w:rsidRPr="007534ED">
        <w:rPr>
          <w:sz w:val="20"/>
          <w:szCs w:val="20"/>
        </w:rPr>
        <w:t>AFACs</w:t>
      </w:r>
      <w:proofErr w:type="spellEnd"/>
      <w:r w:rsidRPr="007534ED">
        <w:rPr>
          <w:sz w:val="20"/>
          <w:szCs w:val="20"/>
        </w:rPr>
        <w:t xml:space="preserve"> calculadas até 2016; da constituição de provisões e atualizações monetárias; do resultado negativo acumulado da equivalência patrimonial sobre o investimento na Transnordestina Logística S.A.;  da baixa de ativos imobilizado em decorrência da conclusão de Tomadas de Contas Especiais – </w:t>
      </w:r>
      <w:proofErr w:type="spellStart"/>
      <w:r w:rsidRPr="007534ED">
        <w:rPr>
          <w:sz w:val="20"/>
          <w:szCs w:val="20"/>
        </w:rPr>
        <w:t>TCEs</w:t>
      </w:r>
      <w:proofErr w:type="spellEnd"/>
      <w:r w:rsidRPr="007534ED">
        <w:rPr>
          <w:sz w:val="20"/>
          <w:szCs w:val="20"/>
        </w:rPr>
        <w:t xml:space="preserve"> do Tribunal de Contas da União – TCU; e, principalmente, pela provisão de perda ao valor recuperável de ativos da Ferrovia Norte-Sul – FNS e da Ferrovia de Integração Oeste Leste – FIOL, que representam 68% dos prejuízos.</w:t>
      </w:r>
    </w:p>
    <w:p w14:paraId="14437AD3" w14:textId="77777777" w:rsidR="007534ED" w:rsidRPr="007534ED" w:rsidRDefault="007534ED" w:rsidP="003E40F9">
      <w:pPr>
        <w:jc w:val="both"/>
        <w:rPr>
          <w:sz w:val="20"/>
          <w:szCs w:val="20"/>
        </w:rPr>
      </w:pPr>
      <w:r w:rsidRPr="007534ED">
        <w:rPr>
          <w:sz w:val="20"/>
          <w:szCs w:val="20"/>
        </w:rPr>
        <w:t xml:space="preserve">O valor total da provisão para perda ao valor recuperável de ativos da FNS é de R$ 11,3 bilhões, sendo: i) R$ 2,3 bilhões provisionados em exercícios anteriores a 2019, por se tratar do Trecho da Ferrovia Norte-Sul – FNS </w:t>
      </w:r>
      <w:proofErr w:type="spellStart"/>
      <w:r w:rsidRPr="007534ED">
        <w:rPr>
          <w:sz w:val="20"/>
          <w:szCs w:val="20"/>
        </w:rPr>
        <w:t>subconcedido</w:t>
      </w:r>
      <w:proofErr w:type="spellEnd"/>
      <w:r w:rsidRPr="007534ED">
        <w:rPr>
          <w:sz w:val="20"/>
          <w:szCs w:val="20"/>
        </w:rPr>
        <w:t xml:space="preserve"> em 2007 para a empresa FNS S.A.; </w:t>
      </w:r>
      <w:proofErr w:type="spellStart"/>
      <w:r w:rsidRPr="007534ED">
        <w:rPr>
          <w:sz w:val="20"/>
          <w:szCs w:val="20"/>
        </w:rPr>
        <w:t>ii</w:t>
      </w:r>
      <w:proofErr w:type="spellEnd"/>
      <w:r w:rsidRPr="007534ED">
        <w:rPr>
          <w:sz w:val="20"/>
          <w:szCs w:val="20"/>
        </w:rPr>
        <w:t xml:space="preserve">) R$ 8,9 bilhões provisionados no exercício de 2019, por ocasião da subconcessão à Rumo Malha Central S.A. </w:t>
      </w:r>
      <w:r w:rsidRPr="007534ED">
        <w:rPr>
          <w:sz w:val="20"/>
          <w:szCs w:val="20"/>
        </w:rPr>
        <w:lastRenderedPageBreak/>
        <w:t xml:space="preserve">realizada em julho de 2019; </w:t>
      </w:r>
      <w:proofErr w:type="spellStart"/>
      <w:r w:rsidRPr="007534ED">
        <w:rPr>
          <w:sz w:val="20"/>
          <w:szCs w:val="20"/>
        </w:rPr>
        <w:t>iii</w:t>
      </w:r>
      <w:proofErr w:type="spellEnd"/>
      <w:r w:rsidRPr="007534ED">
        <w:rPr>
          <w:sz w:val="20"/>
          <w:szCs w:val="20"/>
        </w:rPr>
        <w:t>) R$ 42,4 milhões, referente a entrada de custos da FNS, foram provisionados no exercício de 2020 e R$ 15,03 milhões no exercício de 2021.</w:t>
      </w:r>
    </w:p>
    <w:p w14:paraId="300D9560" w14:textId="719FFC04" w:rsidR="000239EA" w:rsidRDefault="000239EA" w:rsidP="00A426EA">
      <w:pPr>
        <w:spacing w:before="120" w:after="0" w:line="240" w:lineRule="auto"/>
        <w:jc w:val="both"/>
        <w:rPr>
          <w:rFonts w:cs="Calibri"/>
          <w:sz w:val="20"/>
          <w:szCs w:val="20"/>
        </w:rPr>
      </w:pPr>
      <w:bookmarkStart w:id="93" w:name="_Toc184926697"/>
      <w:r>
        <w:rPr>
          <w:rFonts w:cs="Calibri"/>
          <w:sz w:val="20"/>
          <w:szCs w:val="20"/>
        </w:rPr>
        <w:t xml:space="preserve">Destaca-se que referidas perdas foram registradas pela falta de benefícios econômicos advindos das subconcessões. No entanto, por meio do Processo nº </w:t>
      </w:r>
      <w:r w:rsidRPr="00976B3D">
        <w:rPr>
          <w:rFonts w:cs="Calibri"/>
          <w:sz w:val="20"/>
          <w:szCs w:val="20"/>
        </w:rPr>
        <w:t>51402.103377/2020-80</w:t>
      </w:r>
      <w:r>
        <w:rPr>
          <w:rFonts w:cs="Calibri"/>
          <w:sz w:val="20"/>
          <w:szCs w:val="20"/>
        </w:rPr>
        <w:t xml:space="preserve">, está sendo avaliado pelo Ministério dos Transportes a possibilidade de o valor das outorgas </w:t>
      </w:r>
      <w:r w:rsidRPr="007B3B48">
        <w:rPr>
          <w:rFonts w:cs="Calibri"/>
          <w:sz w:val="20"/>
          <w:szCs w:val="20"/>
        </w:rPr>
        <w:t xml:space="preserve">devido por um </w:t>
      </w:r>
      <w:proofErr w:type="spellStart"/>
      <w:r w:rsidRPr="007B3B48">
        <w:rPr>
          <w:rFonts w:cs="Calibri"/>
          <w:sz w:val="20"/>
          <w:szCs w:val="20"/>
        </w:rPr>
        <w:t>subconcessionário</w:t>
      </w:r>
      <w:proofErr w:type="spellEnd"/>
      <w:r w:rsidRPr="007B3B48">
        <w:rPr>
          <w:rFonts w:cs="Calibri"/>
          <w:sz w:val="20"/>
          <w:szCs w:val="20"/>
        </w:rPr>
        <w:t xml:space="preserve"> de ferrovia concedida pela Lei nº 11.772</w:t>
      </w:r>
      <w:r>
        <w:rPr>
          <w:rFonts w:cs="Calibri"/>
          <w:sz w:val="20"/>
          <w:szCs w:val="20"/>
        </w:rPr>
        <w:t>/</w:t>
      </w:r>
      <w:r w:rsidRPr="007B3B48">
        <w:rPr>
          <w:rFonts w:cs="Calibri"/>
          <w:sz w:val="20"/>
          <w:szCs w:val="20"/>
        </w:rPr>
        <w:t>2008, à Valec Engenharia, Construções e Ferrovias S.A.</w:t>
      </w:r>
      <w:r>
        <w:rPr>
          <w:rFonts w:cs="Calibri"/>
          <w:sz w:val="20"/>
          <w:szCs w:val="20"/>
        </w:rPr>
        <w:t xml:space="preserve"> (Infra S.A.)</w:t>
      </w:r>
      <w:r w:rsidRPr="007B3B48">
        <w:rPr>
          <w:rFonts w:cs="Calibri"/>
          <w:sz w:val="20"/>
          <w:szCs w:val="20"/>
        </w:rPr>
        <w:t xml:space="preserve">, </w:t>
      </w:r>
      <w:r>
        <w:rPr>
          <w:rFonts w:cs="Calibri"/>
          <w:sz w:val="20"/>
          <w:szCs w:val="20"/>
        </w:rPr>
        <w:t>ser pago a esta</w:t>
      </w:r>
      <w:r w:rsidRPr="007B3B48">
        <w:rPr>
          <w:rFonts w:cs="Calibri"/>
          <w:sz w:val="20"/>
          <w:szCs w:val="20"/>
        </w:rPr>
        <w:t xml:space="preserve"> empresa pública</w:t>
      </w:r>
      <w:r>
        <w:rPr>
          <w:rFonts w:cs="Calibri"/>
          <w:sz w:val="20"/>
          <w:szCs w:val="20"/>
        </w:rPr>
        <w:t xml:space="preserve">. </w:t>
      </w:r>
      <w:r w:rsidRPr="00876C42">
        <w:rPr>
          <w:rFonts w:cs="Calibri"/>
          <w:sz w:val="20"/>
          <w:szCs w:val="20"/>
        </w:rPr>
        <w:t xml:space="preserve">Maiores informações a respeito da provisão de perda ao valor recuperável dos ativos podem ser obtidas na </w:t>
      </w:r>
      <w:r w:rsidRPr="00876C42">
        <w:rPr>
          <w:sz w:val="20"/>
          <w:szCs w:val="20"/>
        </w:rPr>
        <w:t xml:space="preserve">Nota Explicativa </w:t>
      </w:r>
      <w:r w:rsidRPr="00876C42">
        <w:rPr>
          <w:rFonts w:cs="Calibri"/>
          <w:sz w:val="20"/>
          <w:szCs w:val="20"/>
        </w:rPr>
        <w:t>13.2 – Bens Imóveis.</w:t>
      </w:r>
      <w:r>
        <w:rPr>
          <w:rFonts w:cs="Calibri"/>
          <w:sz w:val="20"/>
          <w:szCs w:val="20"/>
        </w:rPr>
        <w:t xml:space="preserve"> </w:t>
      </w:r>
    </w:p>
    <w:p w14:paraId="05430977" w14:textId="77777777" w:rsidR="00A426EA" w:rsidRPr="00876C42" w:rsidRDefault="00A426EA" w:rsidP="00A426EA">
      <w:pPr>
        <w:spacing w:after="0" w:line="240" w:lineRule="auto"/>
        <w:jc w:val="both"/>
        <w:rPr>
          <w:rFonts w:cs="Calibri"/>
          <w:sz w:val="20"/>
          <w:szCs w:val="20"/>
        </w:rPr>
      </w:pPr>
    </w:p>
    <w:p w14:paraId="675683E2" w14:textId="26BEB5D1" w:rsidR="00E71553" w:rsidRPr="000C30F5" w:rsidRDefault="00B60CA4" w:rsidP="007534ED">
      <w:pPr>
        <w:pStyle w:val="Ttulo1"/>
      </w:pPr>
      <w:r w:rsidRPr="000C30F5">
        <w:t>2</w:t>
      </w:r>
      <w:r w:rsidR="001F54A0" w:rsidRPr="000C30F5">
        <w:t>8</w:t>
      </w:r>
      <w:r w:rsidR="00E71553" w:rsidRPr="000C30F5">
        <w:t xml:space="preserve"> – </w:t>
      </w:r>
      <w:r w:rsidR="003F7A93" w:rsidRPr="000C30F5">
        <w:t>Resultado Bruto</w:t>
      </w:r>
      <w:bookmarkEnd w:id="93"/>
    </w:p>
    <w:p w14:paraId="7D0E6B56" w14:textId="1CC0FB6F" w:rsidR="00E71553" w:rsidRPr="000C30F5" w:rsidRDefault="00E71553" w:rsidP="000C30F5">
      <w:pPr>
        <w:spacing w:before="120" w:line="240" w:lineRule="auto"/>
        <w:jc w:val="both"/>
        <w:rPr>
          <w:rFonts w:cstheme="minorHAnsi"/>
          <w:sz w:val="20"/>
        </w:rPr>
      </w:pPr>
      <w:r w:rsidRPr="000C30F5">
        <w:rPr>
          <w:rFonts w:cstheme="minorHAnsi"/>
          <w:sz w:val="20"/>
        </w:rPr>
        <w:t>As receitas operacionais da Infra S.A. compreendem as receitas de exploração da ferrovia</w:t>
      </w:r>
      <w:r w:rsidR="00F57CA0">
        <w:rPr>
          <w:rFonts w:cstheme="minorHAnsi"/>
          <w:sz w:val="20"/>
        </w:rPr>
        <w:t>,</w:t>
      </w:r>
      <w:r w:rsidRPr="000C30F5">
        <w:rPr>
          <w:rFonts w:cstheme="minorHAnsi"/>
          <w:sz w:val="20"/>
        </w:rPr>
        <w:t xml:space="preserve"> receitas </w:t>
      </w:r>
      <w:r w:rsidR="00F57CA0" w:rsidRPr="00F57CA0">
        <w:rPr>
          <w:rFonts w:cstheme="minorHAnsi"/>
          <w:sz w:val="20"/>
        </w:rPr>
        <w:t>Subconcessão</w:t>
      </w:r>
      <w:r w:rsidR="00DC1566">
        <w:rPr>
          <w:rFonts w:cstheme="minorHAnsi"/>
          <w:sz w:val="20"/>
        </w:rPr>
        <w:t xml:space="preserve"> e </w:t>
      </w:r>
      <w:r w:rsidRPr="000C30F5">
        <w:rPr>
          <w:rFonts w:cstheme="minorHAnsi"/>
          <w:sz w:val="20"/>
        </w:rPr>
        <w:t xml:space="preserve">de permissões de uso de pátios. A receita líquida realizada no </w:t>
      </w:r>
      <w:r w:rsidR="0030188E" w:rsidRPr="000C30F5">
        <w:rPr>
          <w:rFonts w:cstheme="minorHAnsi"/>
          <w:sz w:val="20"/>
        </w:rPr>
        <w:t>primeiro trimestre de 2024</w:t>
      </w:r>
      <w:r w:rsidRPr="000C30F5">
        <w:rPr>
          <w:rFonts w:cstheme="minorHAnsi"/>
          <w:sz w:val="20"/>
        </w:rPr>
        <w:t xml:space="preserve"> foi </w:t>
      </w:r>
      <w:r w:rsidR="005644C2" w:rsidRPr="000C30F5">
        <w:rPr>
          <w:rFonts w:cstheme="minorHAnsi"/>
          <w:sz w:val="20"/>
        </w:rPr>
        <w:t>obtida por meio das seguintes fontes:</w:t>
      </w:r>
    </w:p>
    <w:tbl>
      <w:tblPr>
        <w:tblW w:w="5000" w:type="pct"/>
        <w:tblCellMar>
          <w:left w:w="70" w:type="dxa"/>
          <w:right w:w="70" w:type="dxa"/>
        </w:tblCellMar>
        <w:tblLook w:val="04A0" w:firstRow="1" w:lastRow="0" w:firstColumn="1" w:lastColumn="0" w:noHBand="0" w:noVBand="1"/>
      </w:tblPr>
      <w:tblGrid>
        <w:gridCol w:w="8009"/>
        <w:gridCol w:w="1229"/>
        <w:gridCol w:w="1229"/>
      </w:tblGrid>
      <w:tr w:rsidR="009503D6" w:rsidRPr="00A426EA" w14:paraId="01D2AE4F" w14:textId="77777777" w:rsidTr="00A426EA">
        <w:trPr>
          <w:trHeight w:hRule="exact" w:val="221"/>
        </w:trPr>
        <w:tc>
          <w:tcPr>
            <w:tcW w:w="7389" w:type="dxa"/>
            <w:tcBorders>
              <w:top w:val="nil"/>
              <w:left w:val="nil"/>
              <w:bottom w:val="single" w:sz="8" w:space="0" w:color="auto"/>
              <w:right w:val="nil"/>
            </w:tcBorders>
            <w:shd w:val="clear" w:color="000000" w:fill="DDEBF7"/>
            <w:vAlign w:val="center"/>
            <w:hideMark/>
          </w:tcPr>
          <w:p w14:paraId="583E13DE" w14:textId="77777777" w:rsidR="009503D6" w:rsidRPr="00A426EA" w:rsidRDefault="009503D6" w:rsidP="009503D6">
            <w:pPr>
              <w:spacing w:after="0" w:line="240" w:lineRule="auto"/>
              <w:rPr>
                <w:rFonts w:eastAsia="Times New Roman" w:cstheme="minorHAnsi"/>
                <w:b/>
                <w:bCs/>
                <w:color w:val="000000"/>
                <w:sz w:val="16"/>
                <w:szCs w:val="16"/>
              </w:rPr>
            </w:pPr>
            <w:r w:rsidRPr="00A426EA">
              <w:rPr>
                <w:rFonts w:eastAsia="Times New Roman" w:cstheme="minorHAnsi"/>
                <w:b/>
                <w:bCs/>
                <w:color w:val="000000"/>
                <w:sz w:val="16"/>
                <w:szCs w:val="16"/>
              </w:rPr>
              <w:t> </w:t>
            </w:r>
          </w:p>
        </w:tc>
        <w:tc>
          <w:tcPr>
            <w:tcW w:w="1134" w:type="dxa"/>
            <w:tcBorders>
              <w:top w:val="nil"/>
              <w:left w:val="nil"/>
              <w:bottom w:val="single" w:sz="8" w:space="0" w:color="auto"/>
              <w:right w:val="nil"/>
            </w:tcBorders>
            <w:shd w:val="clear" w:color="000000" w:fill="DDEBF7"/>
            <w:vAlign w:val="center"/>
            <w:hideMark/>
          </w:tcPr>
          <w:p w14:paraId="608D0CD4" w14:textId="77777777"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1E321169" w14:textId="77777777"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31/03/2023</w:t>
            </w:r>
          </w:p>
        </w:tc>
      </w:tr>
      <w:tr w:rsidR="009503D6" w:rsidRPr="00A426EA" w14:paraId="4562CCE0" w14:textId="77777777" w:rsidTr="00A426EA">
        <w:trPr>
          <w:trHeight w:hRule="exact" w:val="221"/>
        </w:trPr>
        <w:tc>
          <w:tcPr>
            <w:tcW w:w="7389" w:type="dxa"/>
            <w:tcBorders>
              <w:top w:val="nil"/>
              <w:left w:val="nil"/>
              <w:bottom w:val="nil"/>
              <w:right w:val="nil"/>
            </w:tcBorders>
            <w:shd w:val="clear" w:color="auto" w:fill="auto"/>
            <w:noWrap/>
            <w:vAlign w:val="center"/>
            <w:hideMark/>
          </w:tcPr>
          <w:p w14:paraId="0A75B2EB" w14:textId="77777777" w:rsidR="009503D6" w:rsidRPr="00A426EA" w:rsidRDefault="009503D6" w:rsidP="009503D6">
            <w:pPr>
              <w:spacing w:after="0" w:line="240" w:lineRule="auto"/>
              <w:rPr>
                <w:rFonts w:eastAsia="Times New Roman" w:cstheme="minorHAnsi"/>
                <w:b/>
                <w:bCs/>
                <w:color w:val="000000"/>
                <w:sz w:val="16"/>
                <w:szCs w:val="16"/>
              </w:rPr>
            </w:pPr>
            <w:r w:rsidRPr="00A426EA">
              <w:rPr>
                <w:rFonts w:eastAsia="Times New Roman" w:cstheme="minorHAnsi"/>
                <w:b/>
                <w:bCs/>
                <w:color w:val="000000"/>
                <w:sz w:val="16"/>
                <w:szCs w:val="16"/>
              </w:rPr>
              <w:t>Receita Bruta</w:t>
            </w:r>
          </w:p>
        </w:tc>
        <w:tc>
          <w:tcPr>
            <w:tcW w:w="1134" w:type="dxa"/>
            <w:tcBorders>
              <w:top w:val="nil"/>
              <w:left w:val="nil"/>
              <w:bottom w:val="nil"/>
              <w:right w:val="nil"/>
            </w:tcBorders>
            <w:shd w:val="clear" w:color="auto" w:fill="auto"/>
            <w:noWrap/>
            <w:vAlign w:val="center"/>
            <w:hideMark/>
          </w:tcPr>
          <w:p w14:paraId="605D86E9" w14:textId="759A74E1"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1.873.573</w:t>
            </w:r>
          </w:p>
        </w:tc>
        <w:tc>
          <w:tcPr>
            <w:tcW w:w="1134" w:type="dxa"/>
            <w:tcBorders>
              <w:top w:val="nil"/>
              <w:left w:val="nil"/>
              <w:bottom w:val="nil"/>
              <w:right w:val="nil"/>
            </w:tcBorders>
            <w:shd w:val="clear" w:color="auto" w:fill="auto"/>
            <w:noWrap/>
            <w:vAlign w:val="center"/>
            <w:hideMark/>
          </w:tcPr>
          <w:p w14:paraId="7F0D898C" w14:textId="5B5DDA8E"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1.606.504</w:t>
            </w:r>
          </w:p>
        </w:tc>
      </w:tr>
      <w:tr w:rsidR="009503D6" w:rsidRPr="00A426EA" w14:paraId="7F47C814" w14:textId="77777777" w:rsidTr="00A426EA">
        <w:trPr>
          <w:trHeight w:hRule="exact" w:val="221"/>
        </w:trPr>
        <w:tc>
          <w:tcPr>
            <w:tcW w:w="7389" w:type="dxa"/>
            <w:tcBorders>
              <w:top w:val="nil"/>
              <w:left w:val="nil"/>
              <w:bottom w:val="nil"/>
              <w:right w:val="nil"/>
            </w:tcBorders>
            <w:shd w:val="clear" w:color="auto" w:fill="auto"/>
            <w:noWrap/>
            <w:vAlign w:val="center"/>
            <w:hideMark/>
          </w:tcPr>
          <w:p w14:paraId="7A5A8184" w14:textId="77777777" w:rsidR="009503D6" w:rsidRPr="00A426EA" w:rsidRDefault="009503D6" w:rsidP="009503D6">
            <w:pPr>
              <w:spacing w:after="0" w:line="240" w:lineRule="auto"/>
              <w:rPr>
                <w:rFonts w:eastAsia="Times New Roman" w:cstheme="minorHAnsi"/>
                <w:color w:val="000000"/>
                <w:sz w:val="16"/>
                <w:szCs w:val="16"/>
              </w:rPr>
            </w:pPr>
            <w:r w:rsidRPr="00A426EA">
              <w:rPr>
                <w:rFonts w:eastAsia="Times New Roman" w:cstheme="minorHAnsi"/>
                <w:color w:val="000000"/>
                <w:sz w:val="16"/>
                <w:szCs w:val="16"/>
              </w:rPr>
              <w:t>Permissão para Uso de Pátios</w:t>
            </w:r>
          </w:p>
        </w:tc>
        <w:tc>
          <w:tcPr>
            <w:tcW w:w="1134" w:type="dxa"/>
            <w:tcBorders>
              <w:top w:val="nil"/>
              <w:left w:val="nil"/>
              <w:bottom w:val="nil"/>
              <w:right w:val="nil"/>
            </w:tcBorders>
            <w:shd w:val="clear" w:color="auto" w:fill="auto"/>
            <w:noWrap/>
            <w:vAlign w:val="center"/>
            <w:hideMark/>
          </w:tcPr>
          <w:p w14:paraId="7D27A47A" w14:textId="7EF28FEF"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1.633.539</w:t>
            </w:r>
          </w:p>
        </w:tc>
        <w:tc>
          <w:tcPr>
            <w:tcW w:w="1134" w:type="dxa"/>
            <w:tcBorders>
              <w:top w:val="nil"/>
              <w:left w:val="nil"/>
              <w:bottom w:val="nil"/>
              <w:right w:val="nil"/>
            </w:tcBorders>
            <w:shd w:val="clear" w:color="auto" w:fill="auto"/>
            <w:noWrap/>
            <w:vAlign w:val="center"/>
            <w:hideMark/>
          </w:tcPr>
          <w:p w14:paraId="74DDE284" w14:textId="4BF03F31"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1.055.814</w:t>
            </w:r>
          </w:p>
        </w:tc>
      </w:tr>
      <w:tr w:rsidR="009503D6" w:rsidRPr="00A426EA" w14:paraId="7DF2DEFB" w14:textId="77777777" w:rsidTr="00A426EA">
        <w:trPr>
          <w:trHeight w:hRule="exact" w:val="221"/>
        </w:trPr>
        <w:tc>
          <w:tcPr>
            <w:tcW w:w="7389" w:type="dxa"/>
            <w:tcBorders>
              <w:top w:val="nil"/>
              <w:left w:val="nil"/>
              <w:bottom w:val="nil"/>
              <w:right w:val="nil"/>
            </w:tcBorders>
            <w:shd w:val="clear" w:color="auto" w:fill="auto"/>
            <w:noWrap/>
            <w:vAlign w:val="center"/>
            <w:hideMark/>
          </w:tcPr>
          <w:p w14:paraId="7FD39748" w14:textId="77777777" w:rsidR="009503D6" w:rsidRPr="00A426EA" w:rsidRDefault="009503D6" w:rsidP="009503D6">
            <w:pPr>
              <w:spacing w:after="0" w:line="240" w:lineRule="auto"/>
              <w:rPr>
                <w:rFonts w:eastAsia="Times New Roman" w:cstheme="minorHAnsi"/>
                <w:color w:val="000000"/>
                <w:sz w:val="16"/>
                <w:szCs w:val="16"/>
              </w:rPr>
            </w:pPr>
            <w:r w:rsidRPr="00A426EA">
              <w:rPr>
                <w:rFonts w:eastAsia="Times New Roman" w:cstheme="minorHAnsi"/>
                <w:color w:val="000000"/>
                <w:sz w:val="16"/>
                <w:szCs w:val="16"/>
              </w:rPr>
              <w:t>Receita com Subconcessão FIOL</w:t>
            </w:r>
          </w:p>
        </w:tc>
        <w:tc>
          <w:tcPr>
            <w:tcW w:w="1134" w:type="dxa"/>
            <w:tcBorders>
              <w:top w:val="nil"/>
              <w:left w:val="nil"/>
              <w:bottom w:val="nil"/>
              <w:right w:val="nil"/>
            </w:tcBorders>
            <w:shd w:val="clear" w:color="auto" w:fill="auto"/>
            <w:noWrap/>
            <w:vAlign w:val="center"/>
            <w:hideMark/>
          </w:tcPr>
          <w:p w14:paraId="735F9446" w14:textId="1173AB0D"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233.786</w:t>
            </w:r>
          </w:p>
        </w:tc>
        <w:tc>
          <w:tcPr>
            <w:tcW w:w="1134" w:type="dxa"/>
            <w:tcBorders>
              <w:top w:val="nil"/>
              <w:left w:val="nil"/>
              <w:bottom w:val="nil"/>
              <w:right w:val="nil"/>
            </w:tcBorders>
            <w:shd w:val="clear" w:color="auto" w:fill="auto"/>
            <w:noWrap/>
            <w:vAlign w:val="center"/>
            <w:hideMark/>
          </w:tcPr>
          <w:p w14:paraId="34C829A8" w14:textId="121F88A2"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545.500</w:t>
            </w:r>
          </w:p>
        </w:tc>
      </w:tr>
      <w:tr w:rsidR="009503D6" w:rsidRPr="00A426EA" w14:paraId="6C69B911" w14:textId="77777777" w:rsidTr="00A426EA">
        <w:trPr>
          <w:trHeight w:hRule="exact" w:val="221"/>
        </w:trPr>
        <w:tc>
          <w:tcPr>
            <w:tcW w:w="7389" w:type="dxa"/>
            <w:tcBorders>
              <w:top w:val="nil"/>
              <w:left w:val="nil"/>
              <w:bottom w:val="nil"/>
              <w:right w:val="nil"/>
            </w:tcBorders>
            <w:shd w:val="clear" w:color="auto" w:fill="auto"/>
            <w:noWrap/>
            <w:vAlign w:val="center"/>
            <w:hideMark/>
          </w:tcPr>
          <w:p w14:paraId="696131ED" w14:textId="77777777" w:rsidR="009503D6" w:rsidRPr="00A426EA" w:rsidRDefault="009503D6" w:rsidP="009503D6">
            <w:pPr>
              <w:spacing w:after="0" w:line="240" w:lineRule="auto"/>
              <w:rPr>
                <w:rFonts w:eastAsia="Times New Roman" w:cstheme="minorHAnsi"/>
                <w:color w:val="000000"/>
                <w:sz w:val="16"/>
                <w:szCs w:val="16"/>
              </w:rPr>
            </w:pPr>
            <w:r w:rsidRPr="00A426EA">
              <w:rPr>
                <w:rFonts w:eastAsia="Times New Roman" w:cstheme="minorHAnsi"/>
                <w:color w:val="000000"/>
                <w:sz w:val="16"/>
                <w:szCs w:val="16"/>
              </w:rPr>
              <w:t>Receita Alternativa de Exploração da Ferrovia</w:t>
            </w:r>
          </w:p>
        </w:tc>
        <w:tc>
          <w:tcPr>
            <w:tcW w:w="1134" w:type="dxa"/>
            <w:tcBorders>
              <w:top w:val="nil"/>
              <w:left w:val="nil"/>
              <w:bottom w:val="nil"/>
              <w:right w:val="nil"/>
            </w:tcBorders>
            <w:shd w:val="clear" w:color="auto" w:fill="auto"/>
            <w:noWrap/>
            <w:vAlign w:val="center"/>
            <w:hideMark/>
          </w:tcPr>
          <w:p w14:paraId="50C53CEB" w14:textId="791A6CAA"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6.248</w:t>
            </w:r>
          </w:p>
        </w:tc>
        <w:tc>
          <w:tcPr>
            <w:tcW w:w="1134" w:type="dxa"/>
            <w:tcBorders>
              <w:top w:val="nil"/>
              <w:left w:val="nil"/>
              <w:bottom w:val="nil"/>
              <w:right w:val="nil"/>
            </w:tcBorders>
            <w:shd w:val="clear" w:color="auto" w:fill="auto"/>
            <w:noWrap/>
            <w:vAlign w:val="center"/>
            <w:hideMark/>
          </w:tcPr>
          <w:p w14:paraId="39BEEBD2" w14:textId="0592B102"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5.190</w:t>
            </w:r>
          </w:p>
        </w:tc>
      </w:tr>
      <w:tr w:rsidR="009503D6" w:rsidRPr="00A426EA" w14:paraId="341B5EE7" w14:textId="77777777" w:rsidTr="00A426EA">
        <w:trPr>
          <w:trHeight w:hRule="exact" w:val="221"/>
        </w:trPr>
        <w:tc>
          <w:tcPr>
            <w:tcW w:w="7389" w:type="dxa"/>
            <w:tcBorders>
              <w:top w:val="nil"/>
              <w:left w:val="nil"/>
              <w:bottom w:val="nil"/>
              <w:right w:val="nil"/>
            </w:tcBorders>
            <w:shd w:val="clear" w:color="auto" w:fill="auto"/>
            <w:noWrap/>
            <w:vAlign w:val="center"/>
            <w:hideMark/>
          </w:tcPr>
          <w:p w14:paraId="2EEDC2F4" w14:textId="77777777" w:rsidR="009503D6" w:rsidRPr="00A426EA" w:rsidRDefault="009503D6" w:rsidP="009503D6">
            <w:pPr>
              <w:spacing w:after="0" w:line="240" w:lineRule="auto"/>
              <w:rPr>
                <w:rFonts w:eastAsia="Times New Roman" w:cstheme="minorHAnsi"/>
                <w:b/>
                <w:bCs/>
                <w:color w:val="000000"/>
                <w:sz w:val="16"/>
                <w:szCs w:val="16"/>
              </w:rPr>
            </w:pPr>
            <w:r w:rsidRPr="00A426EA">
              <w:rPr>
                <w:rFonts w:eastAsia="Times New Roman" w:cstheme="minorHAnsi"/>
                <w:b/>
                <w:bCs/>
                <w:color w:val="000000"/>
                <w:sz w:val="16"/>
                <w:szCs w:val="16"/>
              </w:rPr>
              <w:t>(-) Deduções</w:t>
            </w:r>
          </w:p>
        </w:tc>
        <w:tc>
          <w:tcPr>
            <w:tcW w:w="1134" w:type="dxa"/>
            <w:tcBorders>
              <w:top w:val="nil"/>
              <w:left w:val="nil"/>
              <w:bottom w:val="nil"/>
              <w:right w:val="nil"/>
            </w:tcBorders>
            <w:shd w:val="clear" w:color="auto" w:fill="auto"/>
            <w:noWrap/>
            <w:vAlign w:val="center"/>
            <w:hideMark/>
          </w:tcPr>
          <w:p w14:paraId="725CD531" w14:textId="2699F95B"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(119.018)</w:t>
            </w:r>
          </w:p>
        </w:tc>
        <w:tc>
          <w:tcPr>
            <w:tcW w:w="1134" w:type="dxa"/>
            <w:tcBorders>
              <w:top w:val="nil"/>
              <w:left w:val="nil"/>
              <w:bottom w:val="nil"/>
              <w:right w:val="nil"/>
            </w:tcBorders>
            <w:shd w:val="clear" w:color="auto" w:fill="auto"/>
            <w:noWrap/>
            <w:vAlign w:val="center"/>
            <w:hideMark/>
          </w:tcPr>
          <w:p w14:paraId="6E6BAEBC" w14:textId="55490BD7"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(163.152)</w:t>
            </w:r>
          </w:p>
        </w:tc>
      </w:tr>
      <w:tr w:rsidR="009503D6" w:rsidRPr="00A426EA" w14:paraId="047527B1" w14:textId="77777777" w:rsidTr="00A426EA">
        <w:trPr>
          <w:trHeight w:hRule="exact" w:val="221"/>
        </w:trPr>
        <w:tc>
          <w:tcPr>
            <w:tcW w:w="7389" w:type="dxa"/>
            <w:tcBorders>
              <w:top w:val="nil"/>
              <w:left w:val="nil"/>
              <w:bottom w:val="nil"/>
              <w:right w:val="nil"/>
            </w:tcBorders>
            <w:shd w:val="clear" w:color="auto" w:fill="auto"/>
            <w:noWrap/>
            <w:vAlign w:val="center"/>
            <w:hideMark/>
          </w:tcPr>
          <w:p w14:paraId="1914A075" w14:textId="77777777" w:rsidR="009503D6" w:rsidRPr="00A426EA" w:rsidRDefault="009503D6" w:rsidP="009503D6">
            <w:pPr>
              <w:spacing w:after="0" w:line="240" w:lineRule="auto"/>
              <w:rPr>
                <w:rFonts w:eastAsia="Times New Roman" w:cstheme="minorHAnsi"/>
                <w:color w:val="000000"/>
                <w:sz w:val="16"/>
                <w:szCs w:val="16"/>
              </w:rPr>
            </w:pPr>
            <w:r w:rsidRPr="00A426EA">
              <w:rPr>
                <w:rFonts w:eastAsia="Times New Roman" w:cstheme="minorHAnsi"/>
                <w:color w:val="000000"/>
                <w:sz w:val="16"/>
                <w:szCs w:val="16"/>
              </w:rPr>
              <w:t>(-) Contribuição para o Financiamento da Seguridade Social – COFINS</w:t>
            </w:r>
          </w:p>
        </w:tc>
        <w:tc>
          <w:tcPr>
            <w:tcW w:w="1134" w:type="dxa"/>
            <w:tcBorders>
              <w:top w:val="nil"/>
              <w:left w:val="nil"/>
              <w:bottom w:val="nil"/>
              <w:right w:val="nil"/>
            </w:tcBorders>
            <w:shd w:val="clear" w:color="auto" w:fill="auto"/>
            <w:noWrap/>
            <w:vAlign w:val="center"/>
            <w:hideMark/>
          </w:tcPr>
          <w:p w14:paraId="475C687E" w14:textId="67866A89"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(98.787)</w:t>
            </w:r>
          </w:p>
        </w:tc>
        <w:tc>
          <w:tcPr>
            <w:tcW w:w="1134" w:type="dxa"/>
            <w:tcBorders>
              <w:top w:val="nil"/>
              <w:left w:val="nil"/>
              <w:bottom w:val="nil"/>
              <w:right w:val="nil"/>
            </w:tcBorders>
            <w:shd w:val="clear" w:color="auto" w:fill="auto"/>
            <w:noWrap/>
            <w:vAlign w:val="center"/>
            <w:hideMark/>
          </w:tcPr>
          <w:p w14:paraId="3F218842" w14:textId="151F0197"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(139.126)</w:t>
            </w:r>
          </w:p>
        </w:tc>
      </w:tr>
      <w:tr w:rsidR="009503D6" w:rsidRPr="00A426EA" w14:paraId="46844D8D" w14:textId="77777777" w:rsidTr="00A426EA">
        <w:trPr>
          <w:trHeight w:hRule="exact" w:val="221"/>
        </w:trPr>
        <w:tc>
          <w:tcPr>
            <w:tcW w:w="7389" w:type="dxa"/>
            <w:tcBorders>
              <w:top w:val="nil"/>
              <w:left w:val="nil"/>
              <w:bottom w:val="nil"/>
              <w:right w:val="nil"/>
            </w:tcBorders>
            <w:shd w:val="clear" w:color="auto" w:fill="auto"/>
            <w:noWrap/>
            <w:vAlign w:val="center"/>
            <w:hideMark/>
          </w:tcPr>
          <w:p w14:paraId="1D80715E" w14:textId="77777777" w:rsidR="009503D6" w:rsidRPr="00A426EA" w:rsidRDefault="009503D6" w:rsidP="009503D6">
            <w:pPr>
              <w:spacing w:after="0" w:line="240" w:lineRule="auto"/>
              <w:rPr>
                <w:rFonts w:eastAsia="Times New Roman" w:cstheme="minorHAnsi"/>
                <w:color w:val="000000"/>
                <w:sz w:val="16"/>
                <w:szCs w:val="16"/>
              </w:rPr>
            </w:pPr>
            <w:r w:rsidRPr="00A426EA">
              <w:rPr>
                <w:rFonts w:eastAsia="Times New Roman" w:cstheme="minorHAnsi"/>
                <w:color w:val="000000"/>
                <w:sz w:val="16"/>
                <w:szCs w:val="16"/>
              </w:rPr>
              <w:t>(-) Programa de Integração Social – PIS</w:t>
            </w:r>
          </w:p>
        </w:tc>
        <w:tc>
          <w:tcPr>
            <w:tcW w:w="1134" w:type="dxa"/>
            <w:tcBorders>
              <w:top w:val="nil"/>
              <w:left w:val="nil"/>
              <w:bottom w:val="nil"/>
              <w:right w:val="nil"/>
            </w:tcBorders>
            <w:shd w:val="clear" w:color="auto" w:fill="auto"/>
            <w:noWrap/>
            <w:vAlign w:val="center"/>
            <w:hideMark/>
          </w:tcPr>
          <w:p w14:paraId="6389E23C" w14:textId="394D0207"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(20.231)</w:t>
            </w:r>
          </w:p>
        </w:tc>
        <w:tc>
          <w:tcPr>
            <w:tcW w:w="1134" w:type="dxa"/>
            <w:tcBorders>
              <w:top w:val="nil"/>
              <w:left w:val="nil"/>
              <w:bottom w:val="nil"/>
              <w:right w:val="nil"/>
            </w:tcBorders>
            <w:shd w:val="clear" w:color="auto" w:fill="auto"/>
            <w:noWrap/>
            <w:vAlign w:val="center"/>
            <w:hideMark/>
          </w:tcPr>
          <w:p w14:paraId="3BB915C0" w14:textId="48E70CCC" w:rsidR="009503D6" w:rsidRPr="00A426EA" w:rsidRDefault="009503D6" w:rsidP="009503D6">
            <w:pPr>
              <w:spacing w:after="0" w:line="240" w:lineRule="auto"/>
              <w:jc w:val="right"/>
              <w:rPr>
                <w:rFonts w:eastAsia="Times New Roman" w:cstheme="minorHAnsi"/>
                <w:color w:val="000000"/>
                <w:sz w:val="16"/>
                <w:szCs w:val="16"/>
              </w:rPr>
            </w:pPr>
            <w:r w:rsidRPr="00A426EA">
              <w:rPr>
                <w:rFonts w:eastAsia="Times New Roman" w:cstheme="minorHAnsi"/>
                <w:color w:val="000000"/>
                <w:sz w:val="16"/>
                <w:szCs w:val="16"/>
              </w:rPr>
              <w:t>(24.026)</w:t>
            </w:r>
          </w:p>
        </w:tc>
      </w:tr>
      <w:tr w:rsidR="009503D6" w:rsidRPr="00A426EA" w14:paraId="695B55CF" w14:textId="77777777" w:rsidTr="00A426EA">
        <w:trPr>
          <w:trHeight w:hRule="exact" w:val="221"/>
        </w:trPr>
        <w:tc>
          <w:tcPr>
            <w:tcW w:w="7389" w:type="dxa"/>
            <w:tcBorders>
              <w:top w:val="single" w:sz="8" w:space="0" w:color="auto"/>
              <w:left w:val="nil"/>
              <w:bottom w:val="single" w:sz="8" w:space="0" w:color="auto"/>
              <w:right w:val="nil"/>
            </w:tcBorders>
            <w:shd w:val="clear" w:color="auto" w:fill="auto"/>
            <w:noWrap/>
            <w:vAlign w:val="center"/>
            <w:hideMark/>
          </w:tcPr>
          <w:p w14:paraId="5C9FFC27" w14:textId="77777777" w:rsidR="009503D6" w:rsidRPr="00A426EA" w:rsidRDefault="009503D6" w:rsidP="009503D6">
            <w:pPr>
              <w:spacing w:after="0" w:line="240" w:lineRule="auto"/>
              <w:rPr>
                <w:rFonts w:eastAsia="Times New Roman" w:cstheme="minorHAnsi"/>
                <w:b/>
                <w:bCs/>
                <w:color w:val="000000"/>
                <w:sz w:val="16"/>
                <w:szCs w:val="16"/>
              </w:rPr>
            </w:pPr>
            <w:r w:rsidRPr="00A426EA">
              <w:rPr>
                <w:rFonts w:eastAsia="Times New Roman" w:cstheme="minorHAnsi"/>
                <w:b/>
                <w:bCs/>
                <w:color w:val="000000"/>
                <w:sz w:val="16"/>
                <w:szCs w:val="16"/>
              </w:rPr>
              <w:t>RECEITA LÍQUIDA</w:t>
            </w:r>
          </w:p>
        </w:tc>
        <w:tc>
          <w:tcPr>
            <w:tcW w:w="1134" w:type="dxa"/>
            <w:tcBorders>
              <w:top w:val="single" w:sz="8" w:space="0" w:color="auto"/>
              <w:left w:val="nil"/>
              <w:bottom w:val="single" w:sz="8" w:space="0" w:color="auto"/>
              <w:right w:val="nil"/>
            </w:tcBorders>
            <w:shd w:val="clear" w:color="auto" w:fill="auto"/>
            <w:noWrap/>
            <w:vAlign w:val="center"/>
            <w:hideMark/>
          </w:tcPr>
          <w:p w14:paraId="00994D85" w14:textId="44C8A844"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1.754.555</w:t>
            </w:r>
          </w:p>
        </w:tc>
        <w:tc>
          <w:tcPr>
            <w:tcW w:w="1134" w:type="dxa"/>
            <w:tcBorders>
              <w:top w:val="single" w:sz="8" w:space="0" w:color="auto"/>
              <w:left w:val="nil"/>
              <w:bottom w:val="single" w:sz="8" w:space="0" w:color="auto"/>
              <w:right w:val="nil"/>
            </w:tcBorders>
            <w:shd w:val="clear" w:color="auto" w:fill="auto"/>
            <w:noWrap/>
            <w:vAlign w:val="center"/>
            <w:hideMark/>
          </w:tcPr>
          <w:p w14:paraId="143FA9A2" w14:textId="379801C9"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1.443.352</w:t>
            </w:r>
          </w:p>
        </w:tc>
      </w:tr>
      <w:tr w:rsidR="009503D6" w:rsidRPr="00A426EA" w14:paraId="0368223B" w14:textId="77777777" w:rsidTr="00A426EA">
        <w:trPr>
          <w:trHeight w:hRule="exact" w:val="221"/>
        </w:trPr>
        <w:tc>
          <w:tcPr>
            <w:tcW w:w="7389" w:type="dxa"/>
            <w:tcBorders>
              <w:top w:val="nil"/>
              <w:left w:val="nil"/>
              <w:bottom w:val="single" w:sz="8" w:space="0" w:color="auto"/>
              <w:right w:val="nil"/>
            </w:tcBorders>
            <w:shd w:val="clear" w:color="000000" w:fill="DDEBF7"/>
            <w:noWrap/>
            <w:vAlign w:val="center"/>
            <w:hideMark/>
          </w:tcPr>
          <w:p w14:paraId="6FF7E71C" w14:textId="77777777" w:rsidR="009503D6" w:rsidRPr="00A426EA" w:rsidRDefault="009503D6" w:rsidP="009503D6">
            <w:pPr>
              <w:spacing w:after="0" w:line="240" w:lineRule="auto"/>
              <w:rPr>
                <w:rFonts w:eastAsia="Times New Roman" w:cstheme="minorHAnsi"/>
                <w:b/>
                <w:bCs/>
                <w:color w:val="000000"/>
                <w:sz w:val="16"/>
                <w:szCs w:val="16"/>
              </w:rPr>
            </w:pPr>
            <w:r w:rsidRPr="00A426EA">
              <w:rPr>
                <w:rFonts w:eastAsia="Times New Roman" w:cstheme="minorHAnsi"/>
                <w:b/>
                <w:bCs/>
                <w:color w:val="000000"/>
                <w:sz w:val="16"/>
                <w:szCs w:val="16"/>
              </w:rPr>
              <w:t>RESULTADO BRUTO</w:t>
            </w:r>
          </w:p>
        </w:tc>
        <w:tc>
          <w:tcPr>
            <w:tcW w:w="1134" w:type="dxa"/>
            <w:tcBorders>
              <w:top w:val="nil"/>
              <w:left w:val="nil"/>
              <w:bottom w:val="single" w:sz="8" w:space="0" w:color="auto"/>
              <w:right w:val="nil"/>
            </w:tcBorders>
            <w:shd w:val="clear" w:color="000000" w:fill="DDEBF7"/>
            <w:noWrap/>
            <w:vAlign w:val="center"/>
            <w:hideMark/>
          </w:tcPr>
          <w:p w14:paraId="146A1DE7" w14:textId="09398289"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1.754.555</w:t>
            </w:r>
          </w:p>
        </w:tc>
        <w:tc>
          <w:tcPr>
            <w:tcW w:w="1134" w:type="dxa"/>
            <w:tcBorders>
              <w:top w:val="nil"/>
              <w:left w:val="nil"/>
              <w:bottom w:val="single" w:sz="8" w:space="0" w:color="auto"/>
              <w:right w:val="nil"/>
            </w:tcBorders>
            <w:shd w:val="clear" w:color="000000" w:fill="DDEBF7"/>
            <w:noWrap/>
            <w:vAlign w:val="center"/>
            <w:hideMark/>
          </w:tcPr>
          <w:p w14:paraId="4609DCCB" w14:textId="43DE5E45" w:rsidR="009503D6" w:rsidRPr="00A426EA" w:rsidRDefault="009503D6" w:rsidP="009503D6">
            <w:pPr>
              <w:spacing w:after="0" w:line="240" w:lineRule="auto"/>
              <w:jc w:val="right"/>
              <w:rPr>
                <w:rFonts w:eastAsia="Times New Roman" w:cstheme="minorHAnsi"/>
                <w:b/>
                <w:bCs/>
                <w:color w:val="000000"/>
                <w:sz w:val="16"/>
                <w:szCs w:val="16"/>
              </w:rPr>
            </w:pPr>
            <w:r w:rsidRPr="00A426EA">
              <w:rPr>
                <w:rFonts w:eastAsia="Times New Roman" w:cstheme="minorHAnsi"/>
                <w:b/>
                <w:bCs/>
                <w:color w:val="000000"/>
                <w:sz w:val="16"/>
                <w:szCs w:val="16"/>
              </w:rPr>
              <w:t>1.443.352</w:t>
            </w:r>
          </w:p>
        </w:tc>
      </w:tr>
    </w:tbl>
    <w:p w14:paraId="3B3D2001" w14:textId="2F703040" w:rsidR="006410A8" w:rsidRPr="000C30F5" w:rsidRDefault="006410A8" w:rsidP="000C30F5">
      <w:pPr>
        <w:spacing w:before="120" w:line="240" w:lineRule="auto"/>
        <w:jc w:val="both"/>
        <w:rPr>
          <w:rFonts w:cstheme="minorHAnsi"/>
          <w:sz w:val="20"/>
        </w:rPr>
      </w:pPr>
      <w:r w:rsidRPr="000C30F5">
        <w:rPr>
          <w:rFonts w:cstheme="minorHAnsi"/>
          <w:sz w:val="20"/>
        </w:rPr>
        <w:t xml:space="preserve">As receitas de Permissão de uso de pátios referem-se aos valores apropriados mensalmente relativos ao diferimento da receita dos contratos de Permissão para Uso dos Pátios e Terminais da Infra S.A., conforme Nota </w:t>
      </w:r>
      <w:r w:rsidR="003C6610" w:rsidRPr="000C30F5">
        <w:rPr>
          <w:rFonts w:cstheme="minorHAnsi"/>
          <w:sz w:val="20"/>
        </w:rPr>
        <w:t xml:space="preserve">Explicativa </w:t>
      </w:r>
      <w:r w:rsidR="004E0B07" w:rsidRPr="000C30F5">
        <w:rPr>
          <w:rFonts w:cstheme="minorHAnsi"/>
          <w:sz w:val="20"/>
        </w:rPr>
        <w:t>18</w:t>
      </w:r>
      <w:r w:rsidR="004F5621" w:rsidRPr="000C30F5">
        <w:rPr>
          <w:rFonts w:cstheme="minorHAnsi"/>
          <w:sz w:val="20"/>
        </w:rPr>
        <w:t xml:space="preserve"> – Receita a Diferir</w:t>
      </w:r>
      <w:r w:rsidR="00C1195A" w:rsidRPr="000C30F5">
        <w:rPr>
          <w:rFonts w:cstheme="minorHAnsi"/>
          <w:sz w:val="20"/>
        </w:rPr>
        <w:t xml:space="preserve"> Pátios e Terminais</w:t>
      </w:r>
      <w:r w:rsidRPr="000C30F5">
        <w:rPr>
          <w:rFonts w:cstheme="minorHAnsi"/>
          <w:sz w:val="20"/>
        </w:rPr>
        <w:t>. Estas receitas abrangem também as receitas variáveis dos referidos contratos.</w:t>
      </w:r>
    </w:p>
    <w:p w14:paraId="74532306" w14:textId="4B406544" w:rsidR="00B24770" w:rsidRPr="000C30F5" w:rsidRDefault="00B24770" w:rsidP="000C30F5">
      <w:pPr>
        <w:spacing w:before="120" w:line="240" w:lineRule="auto"/>
        <w:jc w:val="both"/>
        <w:rPr>
          <w:rFonts w:cstheme="minorHAnsi"/>
          <w:sz w:val="20"/>
        </w:rPr>
      </w:pPr>
      <w:r w:rsidRPr="000C30F5">
        <w:rPr>
          <w:rFonts w:cstheme="minorHAnsi"/>
          <w:sz w:val="20"/>
        </w:rPr>
        <w:t>A receita com Subconcessão FIOL corresponde aos valores apropriados mensalmente relativos ao diferimento da receita contratual de subconcessão do trecho FIOL I, conforme Nota Explicativa 19 – Receita a Diferir Subconcessão.</w:t>
      </w:r>
    </w:p>
    <w:p w14:paraId="2D81431A" w14:textId="20CE3AE2" w:rsidR="00E71553" w:rsidRPr="000C30F5" w:rsidRDefault="00E71553" w:rsidP="000C30F5">
      <w:pPr>
        <w:spacing w:before="120" w:line="240" w:lineRule="auto"/>
        <w:jc w:val="both"/>
        <w:rPr>
          <w:sz w:val="20"/>
          <w:szCs w:val="20"/>
        </w:rPr>
      </w:pPr>
      <w:r w:rsidRPr="000C30F5">
        <w:rPr>
          <w:sz w:val="20"/>
          <w:szCs w:val="20"/>
        </w:rPr>
        <w:t>As receitas de exploração de ferrovia correspondem às receitas alternativas advindas dos royalties das ferrovias.</w:t>
      </w:r>
    </w:p>
    <w:p w14:paraId="22714927" w14:textId="4FC058FB" w:rsidR="0059643F" w:rsidRDefault="006048EB" w:rsidP="0059643F">
      <w:pPr>
        <w:spacing w:before="120" w:after="0"/>
        <w:jc w:val="both"/>
        <w:rPr>
          <w:rFonts w:cstheme="minorHAnsi"/>
          <w:sz w:val="20"/>
        </w:rPr>
      </w:pPr>
      <w:r w:rsidRPr="000C30F5">
        <w:rPr>
          <w:rFonts w:cstheme="minorHAnsi"/>
          <w:sz w:val="20"/>
        </w:rPr>
        <w:t>As deduções são resultantes da apuração do PIS e COFINS sobre o total das receitas auferidas no mês, sendo utilizado o regime de caixa para as receitas recebidas no âmbito dos contratos de permissão e concessão, e o regime de competência para as vendas de serviços técnicos e demais receitas, nos termos da legislação tributária em vigor</w:t>
      </w:r>
      <w:r w:rsidR="00036426">
        <w:rPr>
          <w:rFonts w:cstheme="minorHAnsi"/>
          <w:sz w:val="20"/>
        </w:rPr>
        <w:t>.</w:t>
      </w:r>
    </w:p>
    <w:p w14:paraId="60B7E120" w14:textId="6F1020AD" w:rsidR="00E71553" w:rsidRPr="000C30F5" w:rsidRDefault="00E71553" w:rsidP="00A426EA">
      <w:pPr>
        <w:spacing w:after="0" w:line="240" w:lineRule="auto"/>
        <w:jc w:val="both"/>
        <w:rPr>
          <w:rFonts w:cstheme="minorHAnsi"/>
          <w:sz w:val="20"/>
        </w:rPr>
      </w:pPr>
    </w:p>
    <w:p w14:paraId="55DFAED1" w14:textId="3874D485" w:rsidR="00E71553" w:rsidRPr="000C30F5" w:rsidRDefault="0063267A" w:rsidP="000C30F5">
      <w:pPr>
        <w:pStyle w:val="Ttulo1"/>
      </w:pPr>
      <w:bookmarkStart w:id="94" w:name="_Toc184926698"/>
      <w:r w:rsidRPr="000C30F5">
        <w:t>2</w:t>
      </w:r>
      <w:r w:rsidR="001F54A0" w:rsidRPr="000C30F5">
        <w:t>9</w:t>
      </w:r>
      <w:r w:rsidR="00E71553" w:rsidRPr="000C30F5">
        <w:t xml:space="preserve"> </w:t>
      </w:r>
      <w:r w:rsidR="004B6C8A" w:rsidRPr="000C30F5">
        <w:t>–</w:t>
      </w:r>
      <w:r w:rsidR="00E71553" w:rsidRPr="000C30F5">
        <w:t xml:space="preserve"> </w:t>
      </w:r>
      <w:r w:rsidR="008B2FA5" w:rsidRPr="000C30F5">
        <w:t>Despesas com Pessoal</w:t>
      </w:r>
      <w:bookmarkEnd w:id="94"/>
    </w:p>
    <w:p w14:paraId="18D731CB" w14:textId="1B8FD1E2" w:rsidR="00C72FF9" w:rsidRPr="000C30F5" w:rsidRDefault="00E71553" w:rsidP="000C30F5">
      <w:pPr>
        <w:spacing w:before="120" w:line="240" w:lineRule="auto"/>
        <w:jc w:val="both"/>
        <w:rPr>
          <w:rFonts w:cstheme="minorHAnsi"/>
          <w:sz w:val="20"/>
        </w:rPr>
      </w:pPr>
      <w:r w:rsidRPr="000C30F5">
        <w:rPr>
          <w:rFonts w:cstheme="minorHAnsi"/>
          <w:sz w:val="20"/>
        </w:rPr>
        <w:t xml:space="preserve">As despesas com pessoal, incluindo remuneração, encargos e benefícios totalizaram, </w:t>
      </w:r>
      <w:r w:rsidR="003F261F" w:rsidRPr="000C30F5">
        <w:rPr>
          <w:rFonts w:cstheme="minorHAnsi"/>
          <w:sz w:val="20"/>
        </w:rPr>
        <w:t xml:space="preserve">no </w:t>
      </w:r>
      <w:r w:rsidR="0030188E" w:rsidRPr="000C30F5">
        <w:rPr>
          <w:rFonts w:cstheme="minorHAnsi"/>
          <w:sz w:val="20"/>
        </w:rPr>
        <w:t>primeiro trimestre de 2024</w:t>
      </w:r>
      <w:r w:rsidRPr="000C30F5">
        <w:rPr>
          <w:rFonts w:cstheme="minorHAnsi"/>
          <w:sz w:val="20"/>
        </w:rPr>
        <w:t xml:space="preserve">, R$ </w:t>
      </w:r>
      <w:r w:rsidR="00813898" w:rsidRPr="000C30F5">
        <w:rPr>
          <w:rFonts w:cstheme="minorHAnsi"/>
          <w:sz w:val="20"/>
        </w:rPr>
        <w:t>41,05</w:t>
      </w:r>
      <w:r w:rsidR="00DB5945" w:rsidRPr="000C30F5">
        <w:rPr>
          <w:rFonts w:cstheme="minorHAnsi"/>
          <w:sz w:val="20"/>
        </w:rPr>
        <w:t xml:space="preserve"> </w:t>
      </w:r>
      <w:r w:rsidRPr="000C30F5">
        <w:rPr>
          <w:rFonts w:cstheme="minorHAnsi"/>
          <w:sz w:val="20"/>
        </w:rPr>
        <w:t>milhões:</w:t>
      </w:r>
    </w:p>
    <w:tbl>
      <w:tblPr>
        <w:tblW w:w="5000" w:type="pct"/>
        <w:tblCellMar>
          <w:left w:w="70" w:type="dxa"/>
          <w:right w:w="70" w:type="dxa"/>
        </w:tblCellMar>
        <w:tblLook w:val="04A0" w:firstRow="1" w:lastRow="0" w:firstColumn="1" w:lastColumn="0" w:noHBand="0" w:noVBand="1"/>
      </w:tblPr>
      <w:tblGrid>
        <w:gridCol w:w="8159"/>
        <w:gridCol w:w="1154"/>
        <w:gridCol w:w="1154"/>
      </w:tblGrid>
      <w:tr w:rsidR="00372FF5" w:rsidRPr="000C30F5" w14:paraId="150AB92D" w14:textId="77777777" w:rsidTr="00112685">
        <w:trPr>
          <w:trHeight w:hRule="exact" w:val="227"/>
        </w:trPr>
        <w:tc>
          <w:tcPr>
            <w:tcW w:w="8019" w:type="dxa"/>
            <w:tcBorders>
              <w:top w:val="nil"/>
              <w:left w:val="nil"/>
              <w:bottom w:val="single" w:sz="8" w:space="0" w:color="auto"/>
              <w:right w:val="nil"/>
            </w:tcBorders>
            <w:shd w:val="clear" w:color="000000" w:fill="DDEBF7"/>
            <w:noWrap/>
            <w:vAlign w:val="center"/>
            <w:hideMark/>
          </w:tcPr>
          <w:p w14:paraId="3B53A270" w14:textId="77777777" w:rsidR="00372FF5" w:rsidRPr="000C30F5" w:rsidRDefault="00372FF5"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DESPESAS COM PESSOAL</w:t>
            </w:r>
          </w:p>
        </w:tc>
        <w:tc>
          <w:tcPr>
            <w:tcW w:w="1134" w:type="dxa"/>
            <w:tcBorders>
              <w:top w:val="nil"/>
              <w:left w:val="nil"/>
              <w:bottom w:val="single" w:sz="8" w:space="0" w:color="auto"/>
              <w:right w:val="nil"/>
            </w:tcBorders>
            <w:shd w:val="clear" w:color="000000" w:fill="DDEBF7"/>
            <w:vAlign w:val="center"/>
            <w:hideMark/>
          </w:tcPr>
          <w:p w14:paraId="128B8958" w14:textId="77777777" w:rsidR="00372FF5" w:rsidRPr="000C30F5" w:rsidRDefault="00372FF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0E20A29A" w14:textId="77777777" w:rsidR="00372FF5" w:rsidRPr="000C30F5" w:rsidRDefault="00372FF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372FF5" w:rsidRPr="000C30F5" w14:paraId="4D9F3BD7" w14:textId="77777777" w:rsidTr="00112685">
        <w:trPr>
          <w:trHeight w:hRule="exact" w:val="227"/>
        </w:trPr>
        <w:tc>
          <w:tcPr>
            <w:tcW w:w="8019" w:type="dxa"/>
            <w:tcBorders>
              <w:top w:val="nil"/>
              <w:left w:val="nil"/>
              <w:bottom w:val="nil"/>
              <w:right w:val="nil"/>
            </w:tcBorders>
            <w:shd w:val="clear" w:color="auto" w:fill="auto"/>
            <w:noWrap/>
            <w:vAlign w:val="center"/>
            <w:hideMark/>
          </w:tcPr>
          <w:p w14:paraId="576EB4E9" w14:textId="77777777" w:rsidR="00372FF5" w:rsidRPr="000C30F5" w:rsidRDefault="00372FF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Remuneração (Salários, Gratificações, 13° Salário e Férias)</w:t>
            </w:r>
          </w:p>
        </w:tc>
        <w:tc>
          <w:tcPr>
            <w:tcW w:w="1134" w:type="dxa"/>
            <w:tcBorders>
              <w:top w:val="nil"/>
              <w:left w:val="nil"/>
              <w:bottom w:val="nil"/>
              <w:right w:val="nil"/>
            </w:tcBorders>
            <w:shd w:val="clear" w:color="auto" w:fill="auto"/>
            <w:noWrap/>
            <w:vAlign w:val="center"/>
            <w:hideMark/>
          </w:tcPr>
          <w:p w14:paraId="4D1F2603" w14:textId="632D0655"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28.781.747</w:t>
            </w:r>
            <w:r w:rsidRPr="000C30F5">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3F0212FD" w14:textId="08FB4E19"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28.287.318</w:t>
            </w:r>
            <w:r w:rsidR="00372CA7" w:rsidRPr="000C30F5">
              <w:rPr>
                <w:rFonts w:ascii="Calibri" w:eastAsia="Times New Roman" w:hAnsi="Calibri" w:cs="Calibri"/>
                <w:color w:val="000000"/>
                <w:sz w:val="16"/>
                <w:szCs w:val="16"/>
              </w:rPr>
              <w:t>)</w:t>
            </w:r>
          </w:p>
        </w:tc>
      </w:tr>
      <w:tr w:rsidR="00372FF5" w:rsidRPr="000C30F5" w14:paraId="7F87B6FF" w14:textId="77777777" w:rsidTr="00112685">
        <w:trPr>
          <w:trHeight w:hRule="exact" w:val="227"/>
        </w:trPr>
        <w:tc>
          <w:tcPr>
            <w:tcW w:w="8019" w:type="dxa"/>
            <w:tcBorders>
              <w:top w:val="nil"/>
              <w:left w:val="nil"/>
              <w:bottom w:val="nil"/>
              <w:right w:val="nil"/>
            </w:tcBorders>
            <w:shd w:val="clear" w:color="auto" w:fill="auto"/>
            <w:noWrap/>
            <w:vAlign w:val="center"/>
            <w:hideMark/>
          </w:tcPr>
          <w:p w14:paraId="70C78F54" w14:textId="711288CA" w:rsidR="00372FF5" w:rsidRPr="000C30F5" w:rsidRDefault="00372FF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Encargos Sociais (INSS, FGTS e Prev</w:t>
            </w:r>
            <w:r w:rsidR="008E155C">
              <w:rPr>
                <w:rFonts w:ascii="Calibri" w:eastAsia="Times New Roman" w:hAnsi="Calibri" w:cs="Calibri"/>
                <w:color w:val="000000"/>
                <w:sz w:val="16"/>
                <w:szCs w:val="16"/>
              </w:rPr>
              <w:t>idência</w:t>
            </w:r>
            <w:r w:rsidRPr="000C30F5">
              <w:rPr>
                <w:rFonts w:ascii="Calibri" w:eastAsia="Times New Roman" w:hAnsi="Calibri" w:cs="Calibri"/>
                <w:color w:val="000000"/>
                <w:sz w:val="16"/>
                <w:szCs w:val="16"/>
              </w:rPr>
              <w:t xml:space="preserve"> Complementar)</w:t>
            </w:r>
          </w:p>
        </w:tc>
        <w:tc>
          <w:tcPr>
            <w:tcW w:w="1134" w:type="dxa"/>
            <w:tcBorders>
              <w:top w:val="nil"/>
              <w:left w:val="nil"/>
              <w:bottom w:val="nil"/>
              <w:right w:val="nil"/>
            </w:tcBorders>
            <w:shd w:val="clear" w:color="auto" w:fill="auto"/>
            <w:noWrap/>
            <w:vAlign w:val="center"/>
            <w:hideMark/>
          </w:tcPr>
          <w:p w14:paraId="32D27CC2" w14:textId="758DFCED"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9.369.125</w:t>
            </w:r>
            <w:r w:rsidRPr="000C30F5">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008E00A" w14:textId="61C62160"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10.029.415</w:t>
            </w:r>
            <w:r w:rsidR="00372CA7" w:rsidRPr="000C30F5">
              <w:rPr>
                <w:rFonts w:ascii="Calibri" w:eastAsia="Times New Roman" w:hAnsi="Calibri" w:cs="Calibri"/>
                <w:color w:val="000000"/>
                <w:sz w:val="16"/>
                <w:szCs w:val="16"/>
              </w:rPr>
              <w:t>)</w:t>
            </w:r>
          </w:p>
        </w:tc>
      </w:tr>
      <w:tr w:rsidR="00372FF5" w:rsidRPr="000C30F5" w14:paraId="30ED1033" w14:textId="77777777" w:rsidTr="00112685">
        <w:trPr>
          <w:trHeight w:hRule="exact" w:val="227"/>
        </w:trPr>
        <w:tc>
          <w:tcPr>
            <w:tcW w:w="8019" w:type="dxa"/>
            <w:tcBorders>
              <w:top w:val="nil"/>
              <w:left w:val="nil"/>
              <w:bottom w:val="nil"/>
              <w:right w:val="nil"/>
            </w:tcBorders>
            <w:shd w:val="clear" w:color="auto" w:fill="auto"/>
            <w:noWrap/>
            <w:vAlign w:val="center"/>
            <w:hideMark/>
          </w:tcPr>
          <w:p w14:paraId="14844CE6" w14:textId="26CCF9C2" w:rsidR="00372FF5" w:rsidRPr="000C30F5" w:rsidRDefault="00372FF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Benefícios (Transporte, Auxílio </w:t>
            </w:r>
            <w:r w:rsidR="00D22C9C" w:rsidRPr="000C30F5">
              <w:rPr>
                <w:rFonts w:ascii="Calibri" w:eastAsia="Times New Roman" w:hAnsi="Calibri" w:cs="Calibri"/>
                <w:color w:val="000000"/>
                <w:sz w:val="16"/>
                <w:szCs w:val="16"/>
              </w:rPr>
              <w:t>C</w:t>
            </w:r>
            <w:r w:rsidRPr="000C30F5">
              <w:rPr>
                <w:rFonts w:ascii="Calibri" w:eastAsia="Times New Roman" w:hAnsi="Calibri" w:cs="Calibri"/>
                <w:color w:val="000000"/>
                <w:sz w:val="16"/>
                <w:szCs w:val="16"/>
              </w:rPr>
              <w:t>reche, Saúde e Alimentação)</w:t>
            </w:r>
          </w:p>
        </w:tc>
        <w:tc>
          <w:tcPr>
            <w:tcW w:w="1134" w:type="dxa"/>
            <w:tcBorders>
              <w:top w:val="nil"/>
              <w:left w:val="nil"/>
              <w:bottom w:val="nil"/>
              <w:right w:val="nil"/>
            </w:tcBorders>
            <w:shd w:val="clear" w:color="auto" w:fill="auto"/>
            <w:noWrap/>
            <w:vAlign w:val="center"/>
            <w:hideMark/>
          </w:tcPr>
          <w:p w14:paraId="3286DB90" w14:textId="1929D99C"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2.895.057</w:t>
            </w:r>
            <w:r w:rsidRPr="000C30F5">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AA1EC24" w14:textId="41E74EC8" w:rsidR="00372FF5" w:rsidRPr="000C30F5" w:rsidRDefault="00395AB2"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372FF5" w:rsidRPr="000C30F5">
              <w:rPr>
                <w:rFonts w:ascii="Calibri" w:eastAsia="Times New Roman" w:hAnsi="Calibri" w:cs="Calibri"/>
                <w:color w:val="000000"/>
                <w:sz w:val="16"/>
                <w:szCs w:val="16"/>
              </w:rPr>
              <w:t>3.310.286</w:t>
            </w:r>
            <w:r w:rsidR="00372CA7" w:rsidRPr="000C30F5">
              <w:rPr>
                <w:rFonts w:ascii="Calibri" w:eastAsia="Times New Roman" w:hAnsi="Calibri" w:cs="Calibri"/>
                <w:color w:val="000000"/>
                <w:sz w:val="16"/>
                <w:szCs w:val="16"/>
              </w:rPr>
              <w:t>)</w:t>
            </w:r>
          </w:p>
        </w:tc>
      </w:tr>
      <w:tr w:rsidR="00372FF5" w:rsidRPr="000C30F5" w14:paraId="235CF28E" w14:textId="77777777" w:rsidTr="00112685">
        <w:trPr>
          <w:trHeight w:hRule="exact" w:val="227"/>
        </w:trPr>
        <w:tc>
          <w:tcPr>
            <w:tcW w:w="8019" w:type="dxa"/>
            <w:tcBorders>
              <w:top w:val="single" w:sz="8" w:space="0" w:color="auto"/>
              <w:left w:val="nil"/>
              <w:bottom w:val="single" w:sz="8" w:space="0" w:color="auto"/>
              <w:right w:val="nil"/>
            </w:tcBorders>
            <w:shd w:val="clear" w:color="000000" w:fill="DDEBF7"/>
            <w:noWrap/>
            <w:vAlign w:val="center"/>
            <w:hideMark/>
          </w:tcPr>
          <w:p w14:paraId="11933664" w14:textId="77777777" w:rsidR="00372FF5" w:rsidRPr="000C30F5" w:rsidRDefault="00372FF5"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579A6734" w14:textId="4DED06C7" w:rsidR="00372FF5" w:rsidRPr="000C30F5" w:rsidRDefault="00395AB2"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w:t>
            </w:r>
            <w:r w:rsidR="00372FF5" w:rsidRPr="000C30F5">
              <w:rPr>
                <w:rFonts w:ascii="Calibri" w:eastAsia="Times New Roman" w:hAnsi="Calibri" w:cs="Calibri"/>
                <w:b/>
                <w:bCs/>
                <w:color w:val="000000"/>
                <w:sz w:val="16"/>
                <w:szCs w:val="16"/>
              </w:rPr>
              <w:t>41.045.929</w:t>
            </w:r>
            <w:r w:rsidRPr="000C30F5">
              <w:rPr>
                <w:rFonts w:ascii="Calibri" w:eastAsia="Times New Roman" w:hAnsi="Calibri"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59761DAA" w14:textId="2A0A7AD2" w:rsidR="00372FF5" w:rsidRPr="000C30F5" w:rsidRDefault="00395AB2"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w:t>
            </w:r>
            <w:r w:rsidR="00372FF5" w:rsidRPr="000C30F5">
              <w:rPr>
                <w:rFonts w:ascii="Calibri" w:eastAsia="Times New Roman" w:hAnsi="Calibri" w:cs="Calibri"/>
                <w:b/>
                <w:bCs/>
                <w:color w:val="000000"/>
                <w:sz w:val="16"/>
                <w:szCs w:val="16"/>
              </w:rPr>
              <w:t>41.627.019</w:t>
            </w:r>
            <w:r w:rsidR="00372CA7" w:rsidRPr="000C30F5">
              <w:rPr>
                <w:rFonts w:ascii="Calibri" w:eastAsia="Times New Roman" w:hAnsi="Calibri" w:cs="Calibri"/>
                <w:b/>
                <w:bCs/>
                <w:color w:val="000000"/>
                <w:sz w:val="16"/>
                <w:szCs w:val="16"/>
              </w:rPr>
              <w:t>)</w:t>
            </w:r>
          </w:p>
        </w:tc>
      </w:tr>
      <w:tr w:rsidR="00372FF5" w:rsidRPr="000C30F5" w14:paraId="299C75CD" w14:textId="77777777" w:rsidTr="00112685">
        <w:trPr>
          <w:trHeight w:hRule="exact" w:val="227"/>
        </w:trPr>
        <w:tc>
          <w:tcPr>
            <w:tcW w:w="8019" w:type="dxa"/>
            <w:tcBorders>
              <w:top w:val="nil"/>
              <w:left w:val="nil"/>
              <w:bottom w:val="single" w:sz="8" w:space="0" w:color="auto"/>
              <w:right w:val="nil"/>
            </w:tcBorders>
            <w:shd w:val="clear" w:color="auto" w:fill="auto"/>
            <w:noWrap/>
            <w:vAlign w:val="center"/>
            <w:hideMark/>
          </w:tcPr>
          <w:p w14:paraId="3FD1E55D" w14:textId="77777777" w:rsidR="00372FF5" w:rsidRPr="000C30F5" w:rsidRDefault="00372FF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Quantidade de Funcionários </w:t>
            </w:r>
          </w:p>
        </w:tc>
        <w:tc>
          <w:tcPr>
            <w:tcW w:w="1134" w:type="dxa"/>
            <w:tcBorders>
              <w:top w:val="nil"/>
              <w:left w:val="nil"/>
              <w:bottom w:val="single" w:sz="8" w:space="0" w:color="auto"/>
              <w:right w:val="nil"/>
            </w:tcBorders>
            <w:shd w:val="clear" w:color="auto" w:fill="auto"/>
            <w:vAlign w:val="center"/>
            <w:hideMark/>
          </w:tcPr>
          <w:p w14:paraId="7258E7F7" w14:textId="77777777" w:rsidR="00372FF5" w:rsidRPr="000C30F5" w:rsidRDefault="00372FF5"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713</w:t>
            </w:r>
          </w:p>
        </w:tc>
        <w:tc>
          <w:tcPr>
            <w:tcW w:w="1134" w:type="dxa"/>
            <w:tcBorders>
              <w:top w:val="nil"/>
              <w:left w:val="nil"/>
              <w:bottom w:val="single" w:sz="8" w:space="0" w:color="auto"/>
              <w:right w:val="nil"/>
            </w:tcBorders>
            <w:shd w:val="clear" w:color="auto" w:fill="auto"/>
            <w:vAlign w:val="center"/>
            <w:hideMark/>
          </w:tcPr>
          <w:p w14:paraId="57C7DDFF" w14:textId="77777777" w:rsidR="00372FF5" w:rsidRPr="000C30F5" w:rsidRDefault="00372FF5"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739</w:t>
            </w:r>
          </w:p>
        </w:tc>
      </w:tr>
    </w:tbl>
    <w:p w14:paraId="52324BD2" w14:textId="53A41E11" w:rsidR="00CF713D" w:rsidRDefault="00CF713D" w:rsidP="000C30F5">
      <w:pPr>
        <w:pStyle w:val="Textoembloco"/>
        <w:spacing w:before="120" w:after="0" w:line="240" w:lineRule="auto"/>
        <w:ind w:left="0" w:right="0"/>
        <w:rPr>
          <w:rFonts w:asciiTheme="minorHAnsi" w:hAnsiTheme="minorHAnsi" w:cstheme="minorHAnsi"/>
          <w:szCs w:val="21"/>
          <w:shd w:val="clear" w:color="auto" w:fill="FFFFFF"/>
        </w:rPr>
      </w:pPr>
      <w:r>
        <w:rPr>
          <w:rFonts w:asciiTheme="minorHAnsi" w:hAnsiTheme="minorHAnsi" w:cstheme="minorHAnsi"/>
          <w:szCs w:val="21"/>
          <w:shd w:val="clear" w:color="auto" w:fill="FFFFFF"/>
        </w:rPr>
        <w:t>Verifica-se no período a redução da quantidade de funcionários, com impacto na redução das despesas com pessoal.</w:t>
      </w:r>
    </w:p>
    <w:p w14:paraId="2863AE4E" w14:textId="010FB228" w:rsidR="0020170F" w:rsidRPr="000C30F5" w:rsidRDefault="003C1496" w:rsidP="000C30F5">
      <w:pPr>
        <w:pStyle w:val="Textoembloco"/>
        <w:spacing w:before="120" w:after="0" w:line="240" w:lineRule="auto"/>
        <w:ind w:left="0" w:right="0"/>
        <w:rPr>
          <w:rFonts w:ascii="Calibri" w:hAnsi="Calibri" w:cs="Calibri"/>
          <w:color w:val="000000"/>
        </w:rPr>
      </w:pPr>
      <w:r w:rsidRPr="000C30F5">
        <w:rPr>
          <w:rFonts w:asciiTheme="minorHAnsi" w:hAnsiTheme="minorHAnsi" w:cstheme="minorHAnsi"/>
          <w:szCs w:val="21"/>
          <w:shd w:val="clear" w:color="auto" w:fill="FFFFFF"/>
        </w:rPr>
        <w:t>Cumpre mencionar que,</w:t>
      </w:r>
      <w:r w:rsidR="004546E1" w:rsidRPr="000C30F5">
        <w:rPr>
          <w:rFonts w:asciiTheme="minorHAnsi" w:hAnsiTheme="minorHAnsi" w:cstheme="minorHAnsi"/>
          <w:szCs w:val="21"/>
          <w:shd w:val="clear" w:color="auto" w:fill="FFFFFF"/>
        </w:rPr>
        <w:t xml:space="preserve"> segundo informações da </w:t>
      </w:r>
      <w:r w:rsidR="00675BF8" w:rsidRPr="000C30F5">
        <w:rPr>
          <w:rFonts w:asciiTheme="minorHAnsi" w:hAnsiTheme="minorHAnsi" w:cstheme="minorHAnsi"/>
          <w:szCs w:val="21"/>
          <w:shd w:val="clear" w:color="auto" w:fill="FFFFFF"/>
        </w:rPr>
        <w:t>SUGEP</w:t>
      </w:r>
      <w:r w:rsidR="004546E1" w:rsidRPr="000C30F5">
        <w:rPr>
          <w:rFonts w:asciiTheme="minorHAnsi" w:hAnsiTheme="minorHAnsi" w:cstheme="minorHAnsi"/>
          <w:szCs w:val="21"/>
          <w:shd w:val="clear" w:color="auto" w:fill="FFFFFF"/>
        </w:rPr>
        <w:t>,</w:t>
      </w:r>
      <w:r w:rsidRPr="000C30F5">
        <w:rPr>
          <w:rFonts w:asciiTheme="minorHAnsi" w:hAnsiTheme="minorHAnsi" w:cstheme="minorHAnsi"/>
          <w:szCs w:val="21"/>
          <w:shd w:val="clear" w:color="auto" w:fill="FFFFFF"/>
        </w:rPr>
        <w:t xml:space="preserve"> em </w:t>
      </w:r>
      <w:r w:rsidR="003F21BA" w:rsidRPr="000C30F5">
        <w:rPr>
          <w:rFonts w:asciiTheme="minorHAnsi" w:hAnsiTheme="minorHAnsi" w:cstheme="minorHAnsi"/>
          <w:szCs w:val="21"/>
          <w:shd w:val="clear" w:color="auto" w:fill="FFFFFF"/>
        </w:rPr>
        <w:t>março</w:t>
      </w:r>
      <w:r w:rsidRPr="000C30F5">
        <w:rPr>
          <w:rFonts w:asciiTheme="minorHAnsi" w:hAnsiTheme="minorHAnsi" w:cstheme="minorHAnsi"/>
          <w:szCs w:val="21"/>
          <w:shd w:val="clear" w:color="auto" w:fill="FFFFFF"/>
        </w:rPr>
        <w:t xml:space="preserve"> de 202</w:t>
      </w:r>
      <w:r w:rsidR="003F21BA" w:rsidRPr="000C30F5">
        <w:rPr>
          <w:rFonts w:asciiTheme="minorHAnsi" w:hAnsiTheme="minorHAnsi" w:cstheme="minorHAnsi"/>
          <w:szCs w:val="21"/>
          <w:shd w:val="clear" w:color="auto" w:fill="FFFFFF"/>
        </w:rPr>
        <w:t>4</w:t>
      </w:r>
      <w:r w:rsidRPr="000C30F5">
        <w:rPr>
          <w:rFonts w:asciiTheme="minorHAnsi" w:hAnsiTheme="minorHAnsi" w:cstheme="minorHAnsi"/>
          <w:szCs w:val="21"/>
          <w:shd w:val="clear" w:color="auto" w:fill="FFFFFF"/>
        </w:rPr>
        <w:t xml:space="preserve"> a </w:t>
      </w:r>
      <w:r w:rsidRPr="000C30F5">
        <w:rPr>
          <w:rFonts w:ascii="Calibri" w:hAnsi="Calibri" w:cs="Calibri"/>
          <w:color w:val="000000"/>
        </w:rPr>
        <w:t xml:space="preserve">INFRA </w:t>
      </w:r>
      <w:r w:rsidR="00C83F23" w:rsidRPr="000C30F5">
        <w:rPr>
          <w:rFonts w:ascii="Calibri" w:hAnsi="Calibri" w:cs="Calibri"/>
          <w:color w:val="000000"/>
        </w:rPr>
        <w:t>S.A.</w:t>
      </w:r>
      <w:r w:rsidRPr="000C30F5">
        <w:rPr>
          <w:rFonts w:ascii="Calibri" w:hAnsi="Calibri" w:cs="Calibri"/>
          <w:color w:val="000000"/>
        </w:rPr>
        <w:t xml:space="preserve"> tinha 23</w:t>
      </w:r>
      <w:r w:rsidR="006D002C" w:rsidRPr="000C30F5">
        <w:rPr>
          <w:rFonts w:ascii="Calibri" w:hAnsi="Calibri" w:cs="Calibri"/>
          <w:color w:val="000000"/>
        </w:rPr>
        <w:t>4</w:t>
      </w:r>
      <w:r w:rsidRPr="000C30F5">
        <w:rPr>
          <w:rFonts w:ascii="Calibri" w:hAnsi="Calibri" w:cs="Calibri"/>
          <w:color w:val="000000"/>
        </w:rPr>
        <w:t xml:space="preserve"> empregados cedidos a outros órgãos</w:t>
      </w:r>
      <w:r w:rsidR="000E5F8E" w:rsidRPr="000C30F5">
        <w:rPr>
          <w:rFonts w:ascii="Calibri" w:hAnsi="Calibri" w:cs="Calibri"/>
          <w:color w:val="000000"/>
        </w:rPr>
        <w:t xml:space="preserve">, cujo custo corresponde a aproximadamente </w:t>
      </w:r>
      <w:r w:rsidR="00354AB0" w:rsidRPr="000C30F5">
        <w:rPr>
          <w:rFonts w:ascii="Calibri" w:hAnsi="Calibri" w:cs="Calibri"/>
          <w:color w:val="000000"/>
        </w:rPr>
        <w:t>29</w:t>
      </w:r>
      <w:r w:rsidR="00511723" w:rsidRPr="000C30F5">
        <w:rPr>
          <w:rFonts w:ascii="Calibri" w:hAnsi="Calibri" w:cs="Calibri"/>
          <w:color w:val="000000"/>
        </w:rPr>
        <w:t xml:space="preserve">,00 </w:t>
      </w:r>
      <w:r w:rsidR="00F83FA7" w:rsidRPr="000C30F5">
        <w:rPr>
          <w:rFonts w:ascii="Calibri" w:hAnsi="Calibri" w:cs="Calibri"/>
          <w:color w:val="000000"/>
        </w:rPr>
        <w:t>% dos dis</w:t>
      </w:r>
      <w:r w:rsidR="00057811" w:rsidRPr="000C30F5">
        <w:rPr>
          <w:rFonts w:ascii="Calibri" w:hAnsi="Calibri" w:cs="Calibri"/>
          <w:color w:val="000000"/>
        </w:rPr>
        <w:t>pêndios</w:t>
      </w:r>
      <w:r w:rsidR="00E22531" w:rsidRPr="000C30F5">
        <w:rPr>
          <w:rFonts w:ascii="Calibri" w:hAnsi="Calibri" w:cs="Calibri"/>
          <w:color w:val="000000"/>
        </w:rPr>
        <w:t xml:space="preserve"> </w:t>
      </w:r>
      <w:r w:rsidR="00590BAA" w:rsidRPr="000C30F5">
        <w:rPr>
          <w:rFonts w:ascii="Calibri" w:hAnsi="Calibri" w:cs="Calibri"/>
          <w:color w:val="000000"/>
        </w:rPr>
        <w:t>de pessoal d</w:t>
      </w:r>
      <w:r w:rsidR="00A27CAB" w:rsidRPr="000C30F5">
        <w:rPr>
          <w:rFonts w:ascii="Calibri" w:hAnsi="Calibri" w:cs="Calibri"/>
          <w:color w:val="000000"/>
        </w:rPr>
        <w:t>a companhia</w:t>
      </w:r>
      <w:r w:rsidRPr="000C30F5">
        <w:rPr>
          <w:rFonts w:ascii="Calibri" w:hAnsi="Calibri" w:cs="Calibri"/>
          <w:color w:val="000000"/>
        </w:rPr>
        <w:t>.</w:t>
      </w:r>
      <w:r w:rsidR="00104252" w:rsidRPr="000C30F5">
        <w:rPr>
          <w:rFonts w:ascii="Calibri" w:hAnsi="Calibri" w:cs="Calibri"/>
          <w:color w:val="000000"/>
        </w:rPr>
        <w:t xml:space="preserve"> </w:t>
      </w:r>
      <w:r w:rsidR="004546E1" w:rsidRPr="000C30F5">
        <w:rPr>
          <w:rFonts w:ascii="Calibri" w:hAnsi="Calibri" w:cs="Calibri"/>
          <w:color w:val="000000"/>
        </w:rPr>
        <w:t xml:space="preserve">Considerando o disposto nas regras de reembolso, no período existiam </w:t>
      </w:r>
      <w:r w:rsidR="00B274B5" w:rsidRPr="000C30F5">
        <w:rPr>
          <w:rFonts w:ascii="Calibri" w:hAnsi="Calibri" w:cs="Calibri"/>
          <w:color w:val="000000"/>
        </w:rPr>
        <w:t xml:space="preserve">apenas </w:t>
      </w:r>
      <w:r w:rsidR="004546E1" w:rsidRPr="000C30F5">
        <w:rPr>
          <w:rFonts w:ascii="Calibri" w:hAnsi="Calibri" w:cs="Calibri"/>
          <w:color w:val="000000"/>
        </w:rPr>
        <w:t xml:space="preserve">3 empregados do quadro da INFRA </w:t>
      </w:r>
      <w:r w:rsidR="00F36330" w:rsidRPr="000C30F5">
        <w:rPr>
          <w:rFonts w:ascii="Calibri" w:hAnsi="Calibri" w:cs="Calibri"/>
          <w:color w:val="000000"/>
        </w:rPr>
        <w:t>S.A.</w:t>
      </w:r>
      <w:r w:rsidR="004546E1" w:rsidRPr="000C30F5">
        <w:rPr>
          <w:rFonts w:ascii="Calibri" w:hAnsi="Calibri" w:cs="Calibri"/>
          <w:color w:val="000000"/>
        </w:rPr>
        <w:t xml:space="preserve"> e 1 empregado do quadro da RFFSA com ressarcimento mensal do custo de folha de pagamento. </w:t>
      </w:r>
      <w:r w:rsidR="00C06354" w:rsidRPr="000C30F5">
        <w:rPr>
          <w:rFonts w:ascii="Calibri" w:hAnsi="Calibri" w:cs="Calibri"/>
          <w:color w:val="000000"/>
        </w:rPr>
        <w:t>Para os demais</w:t>
      </w:r>
      <w:r w:rsidR="00104252" w:rsidRPr="000C30F5">
        <w:rPr>
          <w:rFonts w:ascii="Calibri" w:hAnsi="Calibri" w:cs="Calibri"/>
          <w:color w:val="000000"/>
        </w:rPr>
        <w:t xml:space="preserve"> o responsável pelo ônus da folha é a INFRA</w:t>
      </w:r>
      <w:r w:rsidR="00F36330" w:rsidRPr="000C30F5">
        <w:rPr>
          <w:rFonts w:ascii="Calibri" w:hAnsi="Calibri" w:cs="Calibri"/>
          <w:color w:val="000000"/>
        </w:rPr>
        <w:t xml:space="preserve"> S.A.</w:t>
      </w:r>
      <w:r w:rsidR="00104252" w:rsidRPr="000C30F5">
        <w:rPr>
          <w:rFonts w:ascii="Calibri" w:hAnsi="Calibri" w:cs="Calibri"/>
          <w:color w:val="000000"/>
        </w:rPr>
        <w:t xml:space="preserve">, considerando o disposto no </w:t>
      </w:r>
      <w:r w:rsidR="00537874" w:rsidRPr="000C30F5">
        <w:rPr>
          <w:rFonts w:ascii="Calibri" w:hAnsi="Calibri" w:cs="Calibri"/>
          <w:color w:val="000000"/>
        </w:rPr>
        <w:t>a</w:t>
      </w:r>
      <w:r w:rsidR="00104252" w:rsidRPr="000C30F5">
        <w:rPr>
          <w:rFonts w:ascii="Calibri" w:hAnsi="Calibri" w:cs="Calibri"/>
          <w:color w:val="000000"/>
        </w:rPr>
        <w:t>rt. 19 do D</w:t>
      </w:r>
      <w:r w:rsidR="00FD14BA" w:rsidRPr="000C30F5">
        <w:rPr>
          <w:rFonts w:ascii="Calibri" w:hAnsi="Calibri" w:cs="Calibri"/>
          <w:color w:val="000000"/>
        </w:rPr>
        <w:t>ecreto</w:t>
      </w:r>
      <w:r w:rsidR="00104252" w:rsidRPr="000C30F5">
        <w:rPr>
          <w:rFonts w:ascii="Calibri" w:hAnsi="Calibri" w:cs="Calibri"/>
          <w:color w:val="000000"/>
        </w:rPr>
        <w:t xml:space="preserve"> </w:t>
      </w:r>
      <w:r w:rsidR="00130181" w:rsidRPr="000C30F5">
        <w:rPr>
          <w:rFonts w:ascii="Calibri" w:hAnsi="Calibri" w:cs="Calibri"/>
          <w:color w:val="000000"/>
        </w:rPr>
        <w:t xml:space="preserve">nº </w:t>
      </w:r>
      <w:r w:rsidR="00104252" w:rsidRPr="000C30F5">
        <w:rPr>
          <w:rFonts w:ascii="Calibri" w:hAnsi="Calibri" w:cs="Calibri"/>
          <w:color w:val="000000"/>
        </w:rPr>
        <w:t>10.835</w:t>
      </w:r>
      <w:r w:rsidR="00562F8F" w:rsidRPr="000C30F5">
        <w:rPr>
          <w:rFonts w:ascii="Calibri" w:hAnsi="Calibri" w:cs="Calibri"/>
          <w:color w:val="000000"/>
        </w:rPr>
        <w:t>/</w:t>
      </w:r>
      <w:r w:rsidR="00104252" w:rsidRPr="000C30F5">
        <w:rPr>
          <w:rFonts w:ascii="Calibri" w:hAnsi="Calibri" w:cs="Calibri"/>
          <w:color w:val="000000"/>
        </w:rPr>
        <w:t>2021</w:t>
      </w:r>
      <w:r w:rsidR="008701A4" w:rsidRPr="000C30F5">
        <w:rPr>
          <w:rFonts w:asciiTheme="minorHAnsi" w:hAnsiTheme="minorHAnsi" w:cstheme="minorHAnsi"/>
          <w:color w:val="000000"/>
        </w:rPr>
        <w:t>:</w:t>
      </w:r>
    </w:p>
    <w:p w14:paraId="4BB1C79B" w14:textId="18D0776C" w:rsidR="00616D08" w:rsidRPr="000C30F5" w:rsidRDefault="00D57853" w:rsidP="000C30F5">
      <w:pPr>
        <w:pStyle w:val="Textoembloco"/>
        <w:spacing w:before="120" w:after="0" w:line="264" w:lineRule="auto"/>
        <w:ind w:left="1134" w:right="0"/>
        <w:rPr>
          <w:rFonts w:ascii="Calibri" w:hAnsi="Calibri" w:cs="Calibri"/>
          <w:i/>
          <w:iCs/>
          <w:color w:val="000000"/>
        </w:rPr>
      </w:pPr>
      <w:r w:rsidRPr="000C30F5">
        <w:rPr>
          <w:rStyle w:val="nfase"/>
          <w:rFonts w:ascii="Calibri" w:hAnsi="Calibri" w:cs="Calibri"/>
          <w:color w:val="000000"/>
        </w:rPr>
        <w:t>Art. 19.</w:t>
      </w:r>
      <w:r w:rsidR="00662B48" w:rsidRPr="000C30F5">
        <w:rPr>
          <w:rStyle w:val="nfase"/>
          <w:rFonts w:ascii="Calibri" w:hAnsi="Calibri" w:cs="Calibri"/>
          <w:color w:val="000000"/>
        </w:rPr>
        <w:t xml:space="preserve"> </w:t>
      </w:r>
      <w:r w:rsidRPr="000C30F5">
        <w:rPr>
          <w:rStyle w:val="Forte"/>
          <w:rFonts w:ascii="Calibri" w:hAnsi="Calibri" w:cs="Calibri"/>
          <w:i/>
          <w:iCs/>
          <w:color w:val="000000"/>
        </w:rPr>
        <w:t>Não haverá reembolso</w:t>
      </w:r>
      <w:r w:rsidRPr="000C30F5">
        <w:rPr>
          <w:rStyle w:val="nfase"/>
          <w:rFonts w:ascii="Calibri" w:hAnsi="Calibri" w:cs="Calibri"/>
          <w:color w:val="000000"/>
        </w:rPr>
        <w:t> pela administração pública federal, direta e indireta, nas movimentações no âmbito dos Poderes da União e de suas autarquias, fundações públicas e </w:t>
      </w:r>
      <w:r w:rsidRPr="000C30F5">
        <w:rPr>
          <w:rStyle w:val="Forte"/>
          <w:rFonts w:ascii="Calibri" w:hAnsi="Calibri" w:cs="Calibri"/>
          <w:i/>
          <w:iCs/>
          <w:color w:val="000000"/>
        </w:rPr>
        <w:t>empresas estatais dependentes de recursos do Tesouro Nacional</w:t>
      </w:r>
      <w:r w:rsidRPr="000C30F5">
        <w:rPr>
          <w:rStyle w:val="nfase"/>
          <w:rFonts w:ascii="Calibri" w:hAnsi="Calibri" w:cs="Calibri"/>
          <w:color w:val="000000"/>
        </w:rPr>
        <w:t> para o pagamento de despesas de pessoal ou para o custeio em geral.</w:t>
      </w:r>
    </w:p>
    <w:p w14:paraId="45188773" w14:textId="77777777" w:rsidR="008B2FA5" w:rsidRPr="000C30F5" w:rsidRDefault="008B2FA5" w:rsidP="000C30F5">
      <w:pPr>
        <w:pStyle w:val="Textoembloco"/>
        <w:spacing w:after="0" w:line="240" w:lineRule="auto"/>
        <w:ind w:left="0" w:right="0"/>
        <w:rPr>
          <w:rFonts w:ascii="Calibri" w:hAnsi="Calibri" w:cs="Calibri"/>
          <w:szCs w:val="21"/>
          <w:shd w:val="clear" w:color="auto" w:fill="FFFFFF"/>
        </w:rPr>
      </w:pPr>
    </w:p>
    <w:p w14:paraId="18C1C87A" w14:textId="2D9E6A51" w:rsidR="00981131" w:rsidRPr="000C30F5" w:rsidRDefault="00EE2714" w:rsidP="000C30F5">
      <w:pPr>
        <w:pStyle w:val="Ttulo1"/>
      </w:pPr>
      <w:bookmarkStart w:id="95" w:name="_Toc184926699"/>
      <w:r w:rsidRPr="000C30F5">
        <w:t>30</w:t>
      </w:r>
      <w:r w:rsidR="008B2FA5" w:rsidRPr="000C30F5">
        <w:t xml:space="preserve"> </w:t>
      </w:r>
      <w:r w:rsidR="004B6C8A" w:rsidRPr="000C30F5">
        <w:t>–</w:t>
      </w:r>
      <w:r w:rsidR="008B2FA5" w:rsidRPr="000C30F5">
        <w:t xml:space="preserve"> </w:t>
      </w:r>
      <w:r w:rsidR="009429A5" w:rsidRPr="000C30F5">
        <w:t xml:space="preserve">Despesas </w:t>
      </w:r>
      <w:r w:rsidR="0063267A" w:rsidRPr="000C30F5">
        <w:t>Gerais e Administrativas</w:t>
      </w:r>
      <w:bookmarkEnd w:id="95"/>
    </w:p>
    <w:p w14:paraId="0FF43B6B" w14:textId="2AF2104E" w:rsidR="00E71553" w:rsidRPr="000C30F5" w:rsidRDefault="00E71553" w:rsidP="000C30F5">
      <w:pPr>
        <w:spacing w:before="120"/>
        <w:jc w:val="both"/>
        <w:rPr>
          <w:rFonts w:cstheme="minorHAnsi"/>
          <w:sz w:val="20"/>
          <w:szCs w:val="22"/>
        </w:rPr>
      </w:pPr>
      <w:r w:rsidRPr="000C30F5">
        <w:rPr>
          <w:rFonts w:cstheme="minorHAnsi"/>
          <w:sz w:val="20"/>
          <w:szCs w:val="22"/>
        </w:rPr>
        <w:t xml:space="preserve">As Despesas Gerais e Administrativas totalizaram o valor de R$ </w:t>
      </w:r>
      <w:r w:rsidR="00BF1B12" w:rsidRPr="000C30F5">
        <w:rPr>
          <w:rFonts w:cstheme="minorHAnsi"/>
          <w:sz w:val="20"/>
          <w:szCs w:val="22"/>
        </w:rPr>
        <w:t>7,</w:t>
      </w:r>
      <w:r w:rsidR="00D151D5" w:rsidRPr="000C30F5">
        <w:rPr>
          <w:rFonts w:cstheme="minorHAnsi"/>
          <w:sz w:val="20"/>
          <w:szCs w:val="22"/>
        </w:rPr>
        <w:t>26</w:t>
      </w:r>
      <w:r w:rsidRPr="000C30F5">
        <w:rPr>
          <w:rFonts w:cstheme="minorHAnsi"/>
          <w:sz w:val="20"/>
          <w:szCs w:val="22"/>
        </w:rPr>
        <w:t xml:space="preserve"> milhões:</w:t>
      </w:r>
    </w:p>
    <w:tbl>
      <w:tblPr>
        <w:tblW w:w="5000" w:type="pct"/>
        <w:tblCellMar>
          <w:left w:w="70" w:type="dxa"/>
          <w:right w:w="70" w:type="dxa"/>
        </w:tblCellMar>
        <w:tblLook w:val="04A0" w:firstRow="1" w:lastRow="0" w:firstColumn="1" w:lastColumn="0" w:noHBand="0" w:noVBand="1"/>
      </w:tblPr>
      <w:tblGrid>
        <w:gridCol w:w="8053"/>
        <w:gridCol w:w="1207"/>
        <w:gridCol w:w="1207"/>
      </w:tblGrid>
      <w:tr w:rsidR="006C09A8" w:rsidRPr="000C30F5" w14:paraId="2F1F13B4" w14:textId="77777777" w:rsidTr="000A7F7F">
        <w:trPr>
          <w:trHeight w:val="227"/>
        </w:trPr>
        <w:tc>
          <w:tcPr>
            <w:tcW w:w="7566" w:type="dxa"/>
            <w:tcBorders>
              <w:top w:val="nil"/>
              <w:left w:val="nil"/>
              <w:bottom w:val="single" w:sz="8" w:space="0" w:color="auto"/>
              <w:right w:val="nil"/>
            </w:tcBorders>
            <w:shd w:val="clear" w:color="000000" w:fill="DDEBF7"/>
            <w:noWrap/>
            <w:vAlign w:val="center"/>
            <w:hideMark/>
          </w:tcPr>
          <w:p w14:paraId="664D3418" w14:textId="77777777" w:rsidR="006C09A8" w:rsidRPr="000C30F5" w:rsidRDefault="006C09A8"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DESPESAS GERAIS E ADMINISTRATIVAS</w:t>
            </w:r>
          </w:p>
        </w:tc>
        <w:tc>
          <w:tcPr>
            <w:tcW w:w="1134" w:type="dxa"/>
            <w:tcBorders>
              <w:top w:val="nil"/>
              <w:left w:val="nil"/>
              <w:bottom w:val="single" w:sz="8" w:space="0" w:color="auto"/>
              <w:right w:val="nil"/>
            </w:tcBorders>
            <w:shd w:val="clear" w:color="000000" w:fill="DDEBF7"/>
            <w:vAlign w:val="center"/>
            <w:hideMark/>
          </w:tcPr>
          <w:p w14:paraId="3AD47BDF" w14:textId="77777777" w:rsidR="006C09A8" w:rsidRPr="000C30F5" w:rsidRDefault="006C09A8"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04A0FD39" w14:textId="77777777" w:rsidR="006C09A8" w:rsidRPr="000C30F5" w:rsidRDefault="006C09A8"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6C09A8" w:rsidRPr="000C30F5" w14:paraId="4B8C7921" w14:textId="77777777" w:rsidTr="000A7F7F">
        <w:trPr>
          <w:trHeight w:val="227"/>
        </w:trPr>
        <w:tc>
          <w:tcPr>
            <w:tcW w:w="7566" w:type="dxa"/>
            <w:tcBorders>
              <w:top w:val="nil"/>
              <w:left w:val="nil"/>
              <w:bottom w:val="nil"/>
              <w:right w:val="nil"/>
            </w:tcBorders>
            <w:shd w:val="clear" w:color="auto" w:fill="auto"/>
            <w:noWrap/>
            <w:vAlign w:val="center"/>
            <w:hideMark/>
          </w:tcPr>
          <w:p w14:paraId="5643A95F"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Tecnologia da Informação e Comunicação</w:t>
            </w:r>
          </w:p>
        </w:tc>
        <w:tc>
          <w:tcPr>
            <w:tcW w:w="1134" w:type="dxa"/>
            <w:tcBorders>
              <w:top w:val="nil"/>
              <w:left w:val="nil"/>
              <w:bottom w:val="nil"/>
              <w:right w:val="nil"/>
            </w:tcBorders>
            <w:shd w:val="clear" w:color="auto" w:fill="auto"/>
            <w:noWrap/>
            <w:vAlign w:val="center"/>
            <w:hideMark/>
          </w:tcPr>
          <w:p w14:paraId="7CC57833"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(2.854.466)</w:t>
            </w:r>
          </w:p>
        </w:tc>
        <w:tc>
          <w:tcPr>
            <w:tcW w:w="1134" w:type="dxa"/>
            <w:tcBorders>
              <w:top w:val="nil"/>
              <w:left w:val="nil"/>
              <w:bottom w:val="nil"/>
              <w:right w:val="nil"/>
            </w:tcBorders>
            <w:shd w:val="clear" w:color="auto" w:fill="auto"/>
            <w:noWrap/>
            <w:vAlign w:val="center"/>
            <w:hideMark/>
          </w:tcPr>
          <w:p w14:paraId="3EA142CD"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(1.168.201)</w:t>
            </w:r>
          </w:p>
        </w:tc>
      </w:tr>
      <w:tr w:rsidR="006C09A8" w:rsidRPr="000C30F5" w14:paraId="6BAFAD8C" w14:textId="77777777" w:rsidTr="000A7F7F">
        <w:trPr>
          <w:trHeight w:val="227"/>
        </w:trPr>
        <w:tc>
          <w:tcPr>
            <w:tcW w:w="7566" w:type="dxa"/>
            <w:tcBorders>
              <w:top w:val="nil"/>
              <w:left w:val="nil"/>
              <w:bottom w:val="nil"/>
              <w:right w:val="nil"/>
            </w:tcBorders>
            <w:shd w:val="clear" w:color="auto" w:fill="auto"/>
            <w:noWrap/>
            <w:vAlign w:val="center"/>
            <w:hideMark/>
          </w:tcPr>
          <w:p w14:paraId="670FCBD7"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Serviços Finalísticos Especializados</w:t>
            </w:r>
          </w:p>
        </w:tc>
        <w:tc>
          <w:tcPr>
            <w:tcW w:w="1134" w:type="dxa"/>
            <w:tcBorders>
              <w:top w:val="nil"/>
              <w:left w:val="nil"/>
              <w:bottom w:val="nil"/>
              <w:right w:val="nil"/>
            </w:tcBorders>
            <w:shd w:val="clear" w:color="auto" w:fill="auto"/>
            <w:noWrap/>
            <w:vAlign w:val="center"/>
            <w:hideMark/>
          </w:tcPr>
          <w:p w14:paraId="640BE3AD"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(1.605.934)</w:t>
            </w:r>
          </w:p>
        </w:tc>
        <w:tc>
          <w:tcPr>
            <w:tcW w:w="1134" w:type="dxa"/>
            <w:tcBorders>
              <w:top w:val="nil"/>
              <w:left w:val="nil"/>
              <w:bottom w:val="nil"/>
              <w:right w:val="nil"/>
            </w:tcBorders>
            <w:shd w:val="clear" w:color="auto" w:fill="auto"/>
            <w:noWrap/>
            <w:vAlign w:val="center"/>
            <w:hideMark/>
          </w:tcPr>
          <w:p w14:paraId="372A4541"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(504.790)</w:t>
            </w:r>
          </w:p>
        </w:tc>
      </w:tr>
      <w:tr w:rsidR="006C09A8" w:rsidRPr="000C30F5" w14:paraId="7F498A45" w14:textId="77777777" w:rsidTr="000A7F7F">
        <w:trPr>
          <w:trHeight w:val="227"/>
        </w:trPr>
        <w:tc>
          <w:tcPr>
            <w:tcW w:w="7566" w:type="dxa"/>
            <w:tcBorders>
              <w:top w:val="nil"/>
              <w:left w:val="nil"/>
              <w:bottom w:val="nil"/>
              <w:right w:val="nil"/>
            </w:tcBorders>
            <w:shd w:val="clear" w:color="auto" w:fill="auto"/>
            <w:noWrap/>
            <w:vAlign w:val="center"/>
            <w:hideMark/>
          </w:tcPr>
          <w:p w14:paraId="4DA1B305"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Assessoria, Consultoria, Locação de Mão de Obra, Limpeza e Vigilância</w:t>
            </w:r>
          </w:p>
        </w:tc>
        <w:tc>
          <w:tcPr>
            <w:tcW w:w="1134" w:type="dxa"/>
            <w:tcBorders>
              <w:top w:val="nil"/>
              <w:left w:val="nil"/>
              <w:bottom w:val="nil"/>
              <w:right w:val="nil"/>
            </w:tcBorders>
            <w:shd w:val="clear" w:color="auto" w:fill="auto"/>
            <w:noWrap/>
            <w:vAlign w:val="center"/>
            <w:hideMark/>
          </w:tcPr>
          <w:p w14:paraId="4F5D94AB" w14:textId="0368FC94"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(1.586.250)</w:t>
            </w:r>
          </w:p>
        </w:tc>
        <w:tc>
          <w:tcPr>
            <w:tcW w:w="1134" w:type="dxa"/>
            <w:tcBorders>
              <w:top w:val="nil"/>
              <w:left w:val="nil"/>
              <w:bottom w:val="nil"/>
              <w:right w:val="nil"/>
            </w:tcBorders>
            <w:shd w:val="clear" w:color="auto" w:fill="auto"/>
            <w:noWrap/>
            <w:vAlign w:val="center"/>
            <w:hideMark/>
          </w:tcPr>
          <w:p w14:paraId="541D3365"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(823.118)</w:t>
            </w:r>
          </w:p>
        </w:tc>
      </w:tr>
      <w:tr w:rsidR="006C09A8" w:rsidRPr="000C30F5" w14:paraId="68D01FF0" w14:textId="77777777" w:rsidTr="000A7F7F">
        <w:trPr>
          <w:trHeight w:val="227"/>
        </w:trPr>
        <w:tc>
          <w:tcPr>
            <w:tcW w:w="7566" w:type="dxa"/>
            <w:tcBorders>
              <w:top w:val="nil"/>
              <w:left w:val="nil"/>
              <w:bottom w:val="nil"/>
              <w:right w:val="nil"/>
            </w:tcBorders>
            <w:shd w:val="clear" w:color="auto" w:fill="auto"/>
            <w:noWrap/>
            <w:vAlign w:val="center"/>
            <w:hideMark/>
          </w:tcPr>
          <w:p w14:paraId="434A7E70"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Locação e Condomínio</w:t>
            </w:r>
          </w:p>
        </w:tc>
        <w:tc>
          <w:tcPr>
            <w:tcW w:w="1134" w:type="dxa"/>
            <w:tcBorders>
              <w:top w:val="nil"/>
              <w:left w:val="nil"/>
              <w:bottom w:val="nil"/>
              <w:right w:val="nil"/>
            </w:tcBorders>
            <w:shd w:val="clear" w:color="auto" w:fill="auto"/>
            <w:noWrap/>
            <w:vAlign w:val="center"/>
            <w:hideMark/>
          </w:tcPr>
          <w:p w14:paraId="1BE174D1"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(465.462)</w:t>
            </w:r>
          </w:p>
        </w:tc>
        <w:tc>
          <w:tcPr>
            <w:tcW w:w="1134" w:type="dxa"/>
            <w:tcBorders>
              <w:top w:val="nil"/>
              <w:left w:val="nil"/>
              <w:bottom w:val="nil"/>
              <w:right w:val="nil"/>
            </w:tcBorders>
            <w:shd w:val="clear" w:color="auto" w:fill="auto"/>
            <w:noWrap/>
            <w:vAlign w:val="center"/>
            <w:hideMark/>
          </w:tcPr>
          <w:p w14:paraId="334B3F82"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(913.394)</w:t>
            </w:r>
          </w:p>
        </w:tc>
      </w:tr>
      <w:tr w:rsidR="006C09A8" w:rsidRPr="000C30F5" w14:paraId="453206C3" w14:textId="77777777" w:rsidTr="000A7F7F">
        <w:trPr>
          <w:trHeight w:val="227"/>
        </w:trPr>
        <w:tc>
          <w:tcPr>
            <w:tcW w:w="7566" w:type="dxa"/>
            <w:tcBorders>
              <w:top w:val="nil"/>
              <w:left w:val="nil"/>
              <w:bottom w:val="nil"/>
              <w:right w:val="nil"/>
            </w:tcBorders>
            <w:shd w:val="clear" w:color="auto" w:fill="auto"/>
            <w:noWrap/>
            <w:vAlign w:val="center"/>
            <w:hideMark/>
          </w:tcPr>
          <w:p w14:paraId="13661F7E"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Eventos Institucionais</w:t>
            </w:r>
          </w:p>
        </w:tc>
        <w:tc>
          <w:tcPr>
            <w:tcW w:w="1134" w:type="dxa"/>
            <w:tcBorders>
              <w:top w:val="nil"/>
              <w:left w:val="nil"/>
              <w:bottom w:val="nil"/>
              <w:right w:val="nil"/>
            </w:tcBorders>
            <w:shd w:val="clear" w:color="auto" w:fill="auto"/>
            <w:noWrap/>
            <w:vAlign w:val="center"/>
            <w:hideMark/>
          </w:tcPr>
          <w:p w14:paraId="4FD2EE6D"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(213.600)</w:t>
            </w:r>
          </w:p>
        </w:tc>
        <w:tc>
          <w:tcPr>
            <w:tcW w:w="1134" w:type="dxa"/>
            <w:tcBorders>
              <w:top w:val="nil"/>
              <w:left w:val="nil"/>
              <w:bottom w:val="nil"/>
              <w:right w:val="nil"/>
            </w:tcBorders>
            <w:shd w:val="clear" w:color="auto" w:fill="auto"/>
            <w:noWrap/>
            <w:vAlign w:val="center"/>
            <w:hideMark/>
          </w:tcPr>
          <w:p w14:paraId="6A11BAA4" w14:textId="39A667DC"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 </w:t>
            </w:r>
          </w:p>
        </w:tc>
      </w:tr>
      <w:tr w:rsidR="006C09A8" w:rsidRPr="000C30F5" w14:paraId="705C545D" w14:textId="77777777" w:rsidTr="000A7F7F">
        <w:trPr>
          <w:trHeight w:val="227"/>
        </w:trPr>
        <w:tc>
          <w:tcPr>
            <w:tcW w:w="7566" w:type="dxa"/>
            <w:tcBorders>
              <w:top w:val="nil"/>
              <w:left w:val="nil"/>
              <w:bottom w:val="nil"/>
              <w:right w:val="nil"/>
            </w:tcBorders>
            <w:shd w:val="clear" w:color="auto" w:fill="auto"/>
            <w:noWrap/>
            <w:vAlign w:val="center"/>
            <w:hideMark/>
          </w:tcPr>
          <w:p w14:paraId="2B3A30DF"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Impostos e Taxas</w:t>
            </w:r>
          </w:p>
        </w:tc>
        <w:tc>
          <w:tcPr>
            <w:tcW w:w="1134" w:type="dxa"/>
            <w:tcBorders>
              <w:top w:val="nil"/>
              <w:left w:val="nil"/>
              <w:bottom w:val="nil"/>
              <w:right w:val="nil"/>
            </w:tcBorders>
            <w:shd w:val="clear" w:color="auto" w:fill="auto"/>
            <w:noWrap/>
            <w:vAlign w:val="center"/>
            <w:hideMark/>
          </w:tcPr>
          <w:p w14:paraId="7271A02B"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(166.695)</w:t>
            </w:r>
          </w:p>
        </w:tc>
        <w:tc>
          <w:tcPr>
            <w:tcW w:w="1134" w:type="dxa"/>
            <w:tcBorders>
              <w:top w:val="nil"/>
              <w:left w:val="nil"/>
              <w:bottom w:val="nil"/>
              <w:right w:val="nil"/>
            </w:tcBorders>
            <w:shd w:val="clear" w:color="auto" w:fill="auto"/>
            <w:noWrap/>
            <w:vAlign w:val="center"/>
            <w:hideMark/>
          </w:tcPr>
          <w:p w14:paraId="0C1A8491"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(93.665)</w:t>
            </w:r>
          </w:p>
        </w:tc>
      </w:tr>
      <w:tr w:rsidR="006C09A8" w:rsidRPr="000C30F5" w14:paraId="20902993" w14:textId="77777777" w:rsidTr="000A7F7F">
        <w:trPr>
          <w:trHeight w:val="227"/>
        </w:trPr>
        <w:tc>
          <w:tcPr>
            <w:tcW w:w="7566" w:type="dxa"/>
            <w:tcBorders>
              <w:top w:val="nil"/>
              <w:left w:val="nil"/>
              <w:bottom w:val="nil"/>
              <w:right w:val="nil"/>
            </w:tcBorders>
            <w:shd w:val="clear" w:color="auto" w:fill="auto"/>
            <w:noWrap/>
            <w:vAlign w:val="center"/>
            <w:hideMark/>
          </w:tcPr>
          <w:p w14:paraId="211D5BA3"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Treinamentos e Capacitações</w:t>
            </w:r>
          </w:p>
        </w:tc>
        <w:tc>
          <w:tcPr>
            <w:tcW w:w="1134" w:type="dxa"/>
            <w:tcBorders>
              <w:top w:val="nil"/>
              <w:left w:val="nil"/>
              <w:bottom w:val="nil"/>
              <w:right w:val="nil"/>
            </w:tcBorders>
            <w:shd w:val="clear" w:color="auto" w:fill="auto"/>
            <w:noWrap/>
            <w:vAlign w:val="center"/>
            <w:hideMark/>
          </w:tcPr>
          <w:p w14:paraId="7E514CC2"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(72.486)</w:t>
            </w:r>
          </w:p>
        </w:tc>
        <w:tc>
          <w:tcPr>
            <w:tcW w:w="1134" w:type="dxa"/>
            <w:tcBorders>
              <w:top w:val="nil"/>
              <w:left w:val="nil"/>
              <w:bottom w:val="nil"/>
              <w:right w:val="nil"/>
            </w:tcBorders>
            <w:shd w:val="clear" w:color="auto" w:fill="auto"/>
            <w:noWrap/>
            <w:vAlign w:val="center"/>
            <w:hideMark/>
          </w:tcPr>
          <w:p w14:paraId="0FFAB8CC" w14:textId="5DFDA235"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 </w:t>
            </w:r>
          </w:p>
        </w:tc>
      </w:tr>
      <w:tr w:rsidR="006C09A8" w:rsidRPr="000C30F5" w14:paraId="642A6B32" w14:textId="77777777" w:rsidTr="000A7F7F">
        <w:trPr>
          <w:trHeight w:val="227"/>
        </w:trPr>
        <w:tc>
          <w:tcPr>
            <w:tcW w:w="7566" w:type="dxa"/>
            <w:tcBorders>
              <w:top w:val="nil"/>
              <w:left w:val="nil"/>
              <w:bottom w:val="nil"/>
              <w:right w:val="nil"/>
            </w:tcBorders>
            <w:shd w:val="clear" w:color="auto" w:fill="auto"/>
            <w:noWrap/>
            <w:vAlign w:val="center"/>
            <w:hideMark/>
          </w:tcPr>
          <w:p w14:paraId="5597C079"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Custas judiciais</w:t>
            </w:r>
          </w:p>
        </w:tc>
        <w:tc>
          <w:tcPr>
            <w:tcW w:w="1134" w:type="dxa"/>
            <w:tcBorders>
              <w:top w:val="nil"/>
              <w:left w:val="nil"/>
              <w:bottom w:val="nil"/>
              <w:right w:val="nil"/>
            </w:tcBorders>
            <w:shd w:val="clear" w:color="auto" w:fill="auto"/>
            <w:noWrap/>
            <w:vAlign w:val="center"/>
            <w:hideMark/>
          </w:tcPr>
          <w:p w14:paraId="39BFB427"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(141.243)</w:t>
            </w:r>
          </w:p>
        </w:tc>
        <w:tc>
          <w:tcPr>
            <w:tcW w:w="1134" w:type="dxa"/>
            <w:tcBorders>
              <w:top w:val="nil"/>
              <w:left w:val="nil"/>
              <w:bottom w:val="nil"/>
              <w:right w:val="nil"/>
            </w:tcBorders>
            <w:shd w:val="clear" w:color="auto" w:fill="auto"/>
            <w:noWrap/>
            <w:vAlign w:val="center"/>
            <w:hideMark/>
          </w:tcPr>
          <w:p w14:paraId="0A6F1FFA"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(451.341)</w:t>
            </w:r>
          </w:p>
        </w:tc>
      </w:tr>
      <w:tr w:rsidR="006C09A8" w:rsidRPr="000C30F5" w14:paraId="2ED98F6A" w14:textId="77777777" w:rsidTr="000A7F7F">
        <w:trPr>
          <w:trHeight w:val="227"/>
        </w:trPr>
        <w:tc>
          <w:tcPr>
            <w:tcW w:w="7566" w:type="dxa"/>
            <w:tcBorders>
              <w:top w:val="nil"/>
              <w:left w:val="nil"/>
              <w:bottom w:val="nil"/>
              <w:right w:val="nil"/>
            </w:tcBorders>
            <w:shd w:val="clear" w:color="auto" w:fill="auto"/>
            <w:noWrap/>
            <w:vAlign w:val="center"/>
            <w:hideMark/>
          </w:tcPr>
          <w:p w14:paraId="4A5F51E7"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Energia, Água e Telecomunicações</w:t>
            </w:r>
          </w:p>
        </w:tc>
        <w:tc>
          <w:tcPr>
            <w:tcW w:w="1134" w:type="dxa"/>
            <w:tcBorders>
              <w:top w:val="nil"/>
              <w:left w:val="nil"/>
              <w:bottom w:val="nil"/>
              <w:right w:val="nil"/>
            </w:tcBorders>
            <w:shd w:val="clear" w:color="auto" w:fill="auto"/>
            <w:noWrap/>
            <w:vAlign w:val="center"/>
            <w:hideMark/>
          </w:tcPr>
          <w:p w14:paraId="45D5E49B"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(111.832)</w:t>
            </w:r>
          </w:p>
        </w:tc>
        <w:tc>
          <w:tcPr>
            <w:tcW w:w="1134" w:type="dxa"/>
            <w:tcBorders>
              <w:top w:val="nil"/>
              <w:left w:val="nil"/>
              <w:bottom w:val="nil"/>
              <w:right w:val="nil"/>
            </w:tcBorders>
            <w:shd w:val="clear" w:color="auto" w:fill="auto"/>
            <w:noWrap/>
            <w:vAlign w:val="center"/>
            <w:hideMark/>
          </w:tcPr>
          <w:p w14:paraId="39AFF868"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(241.003)</w:t>
            </w:r>
          </w:p>
        </w:tc>
      </w:tr>
      <w:tr w:rsidR="006C09A8" w:rsidRPr="000C30F5" w14:paraId="42375EC1" w14:textId="77777777" w:rsidTr="000A7F7F">
        <w:trPr>
          <w:trHeight w:val="227"/>
        </w:trPr>
        <w:tc>
          <w:tcPr>
            <w:tcW w:w="7566" w:type="dxa"/>
            <w:tcBorders>
              <w:top w:val="nil"/>
              <w:left w:val="nil"/>
              <w:bottom w:val="nil"/>
              <w:right w:val="nil"/>
            </w:tcBorders>
            <w:shd w:val="clear" w:color="auto" w:fill="auto"/>
            <w:noWrap/>
            <w:vAlign w:val="center"/>
            <w:hideMark/>
          </w:tcPr>
          <w:p w14:paraId="6B5FA2FB" w14:textId="77777777" w:rsidR="006C09A8" w:rsidRPr="000C30F5" w:rsidRDefault="006C09A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Material de Expediente e Combustíveis</w:t>
            </w:r>
          </w:p>
        </w:tc>
        <w:tc>
          <w:tcPr>
            <w:tcW w:w="1134" w:type="dxa"/>
            <w:tcBorders>
              <w:top w:val="nil"/>
              <w:left w:val="nil"/>
              <w:bottom w:val="nil"/>
              <w:right w:val="nil"/>
            </w:tcBorders>
            <w:shd w:val="clear" w:color="auto" w:fill="auto"/>
            <w:noWrap/>
            <w:vAlign w:val="center"/>
            <w:hideMark/>
          </w:tcPr>
          <w:p w14:paraId="4EFC7058"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(45.357)</w:t>
            </w:r>
          </w:p>
        </w:tc>
        <w:tc>
          <w:tcPr>
            <w:tcW w:w="1134" w:type="dxa"/>
            <w:tcBorders>
              <w:top w:val="nil"/>
              <w:left w:val="nil"/>
              <w:bottom w:val="nil"/>
              <w:right w:val="nil"/>
            </w:tcBorders>
            <w:shd w:val="clear" w:color="auto" w:fill="auto"/>
            <w:noWrap/>
            <w:vAlign w:val="center"/>
            <w:hideMark/>
          </w:tcPr>
          <w:p w14:paraId="456EAEDE" w14:textId="77777777" w:rsidR="006C09A8" w:rsidRPr="000C30F5" w:rsidRDefault="006C09A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(54.963)</w:t>
            </w:r>
          </w:p>
        </w:tc>
      </w:tr>
      <w:tr w:rsidR="006C09A8" w:rsidRPr="000C30F5" w14:paraId="04B1D54E" w14:textId="77777777" w:rsidTr="000A7F7F">
        <w:trPr>
          <w:trHeight w:val="227"/>
        </w:trPr>
        <w:tc>
          <w:tcPr>
            <w:tcW w:w="7566" w:type="dxa"/>
            <w:tcBorders>
              <w:top w:val="single" w:sz="8" w:space="0" w:color="auto"/>
              <w:left w:val="nil"/>
              <w:bottom w:val="single" w:sz="8" w:space="0" w:color="auto"/>
              <w:right w:val="nil"/>
            </w:tcBorders>
            <w:shd w:val="clear" w:color="000000" w:fill="DDEBF7"/>
            <w:noWrap/>
            <w:vAlign w:val="center"/>
            <w:hideMark/>
          </w:tcPr>
          <w:p w14:paraId="613ADF5D" w14:textId="77777777" w:rsidR="006C09A8" w:rsidRPr="000C30F5" w:rsidRDefault="006C09A8"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2A97D70A" w14:textId="77777777" w:rsidR="006C09A8" w:rsidRPr="000C30F5" w:rsidRDefault="006C09A8"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(7.263.325)</w:t>
            </w:r>
          </w:p>
        </w:tc>
        <w:tc>
          <w:tcPr>
            <w:tcW w:w="1134" w:type="dxa"/>
            <w:tcBorders>
              <w:top w:val="single" w:sz="8" w:space="0" w:color="auto"/>
              <w:left w:val="nil"/>
              <w:bottom w:val="single" w:sz="8" w:space="0" w:color="auto"/>
              <w:right w:val="nil"/>
            </w:tcBorders>
            <w:shd w:val="clear" w:color="000000" w:fill="DDEBF7"/>
            <w:noWrap/>
            <w:vAlign w:val="center"/>
            <w:hideMark/>
          </w:tcPr>
          <w:p w14:paraId="1E2175D3" w14:textId="77777777" w:rsidR="006C09A8" w:rsidRPr="000C30F5" w:rsidRDefault="006C09A8"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(4.250.475)</w:t>
            </w:r>
          </w:p>
        </w:tc>
      </w:tr>
    </w:tbl>
    <w:p w14:paraId="326F3DB8" w14:textId="2DE56CC7" w:rsidR="004A422F" w:rsidRPr="000C30F5" w:rsidRDefault="00073731" w:rsidP="000C30F5">
      <w:pPr>
        <w:spacing w:before="120" w:line="240" w:lineRule="auto"/>
        <w:jc w:val="both"/>
        <w:rPr>
          <w:rFonts w:cstheme="minorHAnsi"/>
          <w:sz w:val="20"/>
        </w:rPr>
      </w:pPr>
      <w:r w:rsidRPr="00392BBF">
        <w:rPr>
          <w:rFonts w:cstheme="minorHAnsi"/>
          <w:sz w:val="20"/>
        </w:rPr>
        <w:t>O aumento nas</w:t>
      </w:r>
      <w:r w:rsidR="00D02F8B" w:rsidRPr="000C30F5">
        <w:rPr>
          <w:rFonts w:cstheme="minorHAnsi"/>
          <w:sz w:val="20"/>
        </w:rPr>
        <w:t xml:space="preserve"> despesas </w:t>
      </w:r>
      <w:r w:rsidR="008F586E" w:rsidRPr="000C30F5">
        <w:rPr>
          <w:rFonts w:cstheme="minorHAnsi"/>
          <w:sz w:val="20"/>
        </w:rPr>
        <w:t>com</w:t>
      </w:r>
      <w:r w:rsidR="00D02F8B" w:rsidRPr="000C30F5">
        <w:rPr>
          <w:rFonts w:cstheme="minorHAnsi"/>
          <w:sz w:val="20"/>
        </w:rPr>
        <w:t xml:space="preserve"> Tecnologia da Informação</w:t>
      </w:r>
      <w:r w:rsidR="000F0577" w:rsidRPr="000C30F5">
        <w:rPr>
          <w:rFonts w:cstheme="minorHAnsi"/>
          <w:sz w:val="20"/>
        </w:rPr>
        <w:t xml:space="preserve"> e </w:t>
      </w:r>
      <w:r w:rsidR="008F586E" w:rsidRPr="000C30F5">
        <w:rPr>
          <w:rFonts w:cstheme="minorHAnsi"/>
          <w:sz w:val="20"/>
        </w:rPr>
        <w:t>C</w:t>
      </w:r>
      <w:r w:rsidR="000F0577" w:rsidRPr="000C30F5">
        <w:rPr>
          <w:rFonts w:cstheme="minorHAnsi"/>
          <w:sz w:val="20"/>
        </w:rPr>
        <w:t>omunicação</w:t>
      </w:r>
      <w:r w:rsidR="00D02F8B" w:rsidRPr="000C30F5">
        <w:rPr>
          <w:rFonts w:cstheme="minorHAnsi"/>
          <w:sz w:val="20"/>
        </w:rPr>
        <w:t xml:space="preserve"> </w:t>
      </w:r>
      <w:r w:rsidR="00244984" w:rsidRPr="000C30F5">
        <w:rPr>
          <w:rFonts w:cstheme="minorHAnsi"/>
          <w:sz w:val="20"/>
        </w:rPr>
        <w:t>deve-se</w:t>
      </w:r>
      <w:r w:rsidR="002A4C1F">
        <w:rPr>
          <w:rFonts w:cstheme="minorHAnsi"/>
          <w:sz w:val="20"/>
        </w:rPr>
        <w:t>, majoritariamente,</w:t>
      </w:r>
      <w:r w:rsidR="00244984" w:rsidRPr="000C30F5">
        <w:rPr>
          <w:rFonts w:cstheme="minorHAnsi"/>
          <w:sz w:val="20"/>
        </w:rPr>
        <w:t xml:space="preserve"> </w:t>
      </w:r>
      <w:r w:rsidR="009C7101">
        <w:rPr>
          <w:rFonts w:cstheme="minorHAnsi"/>
          <w:sz w:val="20"/>
        </w:rPr>
        <w:t>ao custeio com</w:t>
      </w:r>
      <w:r w:rsidR="00D02F8B" w:rsidRPr="000C30F5">
        <w:rPr>
          <w:rFonts w:cstheme="minorHAnsi"/>
          <w:sz w:val="20"/>
        </w:rPr>
        <w:t xml:space="preserve"> infraestrutura tecnológica, licenciamento de software e serviços de comunicação de dados</w:t>
      </w:r>
      <w:r w:rsidR="00040427" w:rsidRPr="000C30F5">
        <w:rPr>
          <w:rFonts w:cstheme="minorHAnsi"/>
          <w:sz w:val="20"/>
        </w:rPr>
        <w:t>.</w:t>
      </w:r>
      <w:r w:rsidR="002A4BA4" w:rsidRPr="000C30F5">
        <w:rPr>
          <w:rFonts w:cstheme="minorHAnsi"/>
          <w:sz w:val="20"/>
        </w:rPr>
        <w:t xml:space="preserve"> </w:t>
      </w:r>
    </w:p>
    <w:p w14:paraId="726B4DD2" w14:textId="4D450AA8" w:rsidR="00EE595D" w:rsidRDefault="00B4677D" w:rsidP="00EE562F">
      <w:pPr>
        <w:spacing w:before="120" w:line="240" w:lineRule="auto"/>
        <w:jc w:val="both"/>
        <w:rPr>
          <w:rFonts w:cstheme="minorHAnsi"/>
          <w:sz w:val="20"/>
        </w:rPr>
      </w:pPr>
      <w:r w:rsidRPr="000C30F5">
        <w:rPr>
          <w:rFonts w:cstheme="minorHAnsi"/>
          <w:sz w:val="20"/>
        </w:rPr>
        <w:t>A variação na rubrica “S</w:t>
      </w:r>
      <w:r w:rsidR="00BF4CE8" w:rsidRPr="000C30F5">
        <w:rPr>
          <w:rFonts w:cstheme="minorHAnsi"/>
          <w:sz w:val="20"/>
        </w:rPr>
        <w:t>erviços Finalísticos Especializados</w:t>
      </w:r>
      <w:r w:rsidRPr="000C30F5">
        <w:rPr>
          <w:rFonts w:cstheme="minorHAnsi"/>
          <w:sz w:val="20"/>
        </w:rPr>
        <w:t>”</w:t>
      </w:r>
      <w:r w:rsidR="00AB011E" w:rsidRPr="000C30F5">
        <w:rPr>
          <w:rFonts w:cstheme="minorHAnsi"/>
          <w:sz w:val="20"/>
        </w:rPr>
        <w:t xml:space="preserve"> </w:t>
      </w:r>
      <w:r w:rsidR="004A422F" w:rsidRPr="000C30F5">
        <w:rPr>
          <w:rFonts w:cstheme="minorHAnsi"/>
          <w:sz w:val="20"/>
        </w:rPr>
        <w:t>decorre,</w:t>
      </w:r>
      <w:r w:rsidR="00AB011E" w:rsidRPr="000C30F5">
        <w:rPr>
          <w:rFonts w:cstheme="minorHAnsi"/>
          <w:sz w:val="20"/>
        </w:rPr>
        <w:t xml:space="preserve"> </w:t>
      </w:r>
      <w:r w:rsidRPr="000C30F5">
        <w:rPr>
          <w:rFonts w:cstheme="minorHAnsi"/>
          <w:sz w:val="20"/>
        </w:rPr>
        <w:t>basicamente</w:t>
      </w:r>
      <w:r w:rsidR="004A422F" w:rsidRPr="000C30F5">
        <w:rPr>
          <w:rFonts w:cstheme="minorHAnsi"/>
          <w:sz w:val="20"/>
        </w:rPr>
        <w:t>,</w:t>
      </w:r>
      <w:r w:rsidR="00AB011E" w:rsidRPr="000C30F5">
        <w:rPr>
          <w:rFonts w:cstheme="minorHAnsi"/>
          <w:sz w:val="20"/>
        </w:rPr>
        <w:t xml:space="preserve"> </w:t>
      </w:r>
      <w:r w:rsidR="004A422F" w:rsidRPr="000C30F5">
        <w:rPr>
          <w:rFonts w:cstheme="minorHAnsi"/>
          <w:sz w:val="20"/>
        </w:rPr>
        <w:t>d</w:t>
      </w:r>
      <w:r w:rsidR="00D65824" w:rsidRPr="000C30F5">
        <w:rPr>
          <w:rFonts w:cstheme="minorHAnsi"/>
          <w:sz w:val="20"/>
        </w:rPr>
        <w:t>a</w:t>
      </w:r>
      <w:r w:rsidR="00AB011E" w:rsidRPr="000C30F5">
        <w:rPr>
          <w:rFonts w:cstheme="minorHAnsi"/>
          <w:sz w:val="20"/>
        </w:rPr>
        <w:t xml:space="preserve"> </w:t>
      </w:r>
      <w:r w:rsidR="00D65824" w:rsidRPr="000C30F5">
        <w:rPr>
          <w:rFonts w:cstheme="minorHAnsi"/>
          <w:sz w:val="20"/>
        </w:rPr>
        <w:t xml:space="preserve">prestação de serviços especializados para atualização, manutenção e suporte técnico das licenças de softwares </w:t>
      </w:r>
      <w:proofErr w:type="spellStart"/>
      <w:r w:rsidR="00D65824" w:rsidRPr="000C30F5">
        <w:rPr>
          <w:rFonts w:cstheme="minorHAnsi"/>
          <w:sz w:val="20"/>
        </w:rPr>
        <w:t>ArcGIS</w:t>
      </w:r>
      <w:proofErr w:type="spellEnd"/>
      <w:r w:rsidR="00D65824" w:rsidRPr="000C30F5">
        <w:rPr>
          <w:rFonts w:cstheme="minorHAnsi"/>
          <w:sz w:val="20"/>
        </w:rPr>
        <w:t>, incluindo assistência técnica, atualização tecnológica e serviços presenciais em sistemas de informação geográfica</w:t>
      </w:r>
      <w:r w:rsidR="004B23DC">
        <w:rPr>
          <w:rFonts w:cstheme="minorHAnsi"/>
          <w:sz w:val="20"/>
        </w:rPr>
        <w:t>.</w:t>
      </w:r>
    </w:p>
    <w:p w14:paraId="19956F2C" w14:textId="77777777" w:rsidR="00EE595D" w:rsidRDefault="00EE595D" w:rsidP="00EE595D">
      <w:pPr>
        <w:spacing w:before="120" w:line="240" w:lineRule="auto"/>
        <w:jc w:val="both"/>
        <w:rPr>
          <w:rFonts w:cstheme="minorHAnsi"/>
          <w:sz w:val="20"/>
        </w:rPr>
      </w:pPr>
      <w:r>
        <w:rPr>
          <w:rFonts w:cstheme="minorHAnsi"/>
          <w:sz w:val="20"/>
        </w:rPr>
        <w:t>O acréscimo da rubrica “</w:t>
      </w:r>
      <w:r w:rsidRPr="00D35B31">
        <w:rPr>
          <w:rFonts w:cstheme="minorHAnsi"/>
          <w:sz w:val="20"/>
        </w:rPr>
        <w:t>Assessoria, Consultoria, Locação de Mão de Obra, Limpeza e Vigilância</w:t>
      </w:r>
      <w:r>
        <w:rPr>
          <w:rFonts w:cstheme="minorHAnsi"/>
          <w:sz w:val="20"/>
        </w:rPr>
        <w:t xml:space="preserve">” é justificada, principalmente, pela </w:t>
      </w:r>
      <w:r w:rsidRPr="001D61F7">
        <w:rPr>
          <w:rFonts w:cstheme="minorHAnsi"/>
          <w:sz w:val="20"/>
        </w:rPr>
        <w:t>contratação de serviços continuados de apoio administrativo, com regime de dedicação exclusiva de mão de obra</w:t>
      </w:r>
      <w:r>
        <w:rPr>
          <w:rFonts w:cstheme="minorHAnsi"/>
          <w:sz w:val="20"/>
        </w:rPr>
        <w:t xml:space="preserve">, celebrado em agosto/2023. No 1º trimestre de 2024, os pagamentos destes serviços somam o total de R$ 589,36 mil.  </w:t>
      </w:r>
    </w:p>
    <w:p w14:paraId="10DDF34B" w14:textId="23224ADE" w:rsidR="00E81894" w:rsidRDefault="00F44F42" w:rsidP="00EE562F">
      <w:pPr>
        <w:spacing w:before="120" w:line="240" w:lineRule="auto"/>
        <w:jc w:val="both"/>
        <w:rPr>
          <w:rFonts w:cstheme="minorHAnsi"/>
          <w:sz w:val="20"/>
        </w:rPr>
      </w:pPr>
      <w:r w:rsidRPr="000C30F5">
        <w:rPr>
          <w:rFonts w:cstheme="minorHAnsi"/>
          <w:sz w:val="20"/>
        </w:rPr>
        <w:t xml:space="preserve"> </w:t>
      </w:r>
      <w:r w:rsidR="00E81894">
        <w:rPr>
          <w:rFonts w:cstheme="minorHAnsi"/>
          <w:sz w:val="20"/>
        </w:rPr>
        <w:t>A redução da despesa com locação e condomínio deve-se à entrega do imóvel locado para a filial, onde fica</w:t>
      </w:r>
      <w:r w:rsidR="00F95C9B">
        <w:rPr>
          <w:rFonts w:cstheme="minorHAnsi"/>
          <w:sz w:val="20"/>
        </w:rPr>
        <w:t>v</w:t>
      </w:r>
      <w:r w:rsidR="00E81894">
        <w:rPr>
          <w:rFonts w:cstheme="minorHAnsi"/>
          <w:sz w:val="20"/>
        </w:rPr>
        <w:t>a instalada a sede da empresa EPL, incorporada pela Valec. A entrega ocorreu em outubro de 2023.</w:t>
      </w:r>
    </w:p>
    <w:p w14:paraId="29D755B8" w14:textId="386C0884" w:rsidR="005218FB" w:rsidRDefault="002C199F" w:rsidP="00192827">
      <w:pPr>
        <w:spacing w:before="120" w:after="0" w:line="240" w:lineRule="auto"/>
        <w:jc w:val="both"/>
        <w:rPr>
          <w:rFonts w:cs="Calibri"/>
          <w:sz w:val="20"/>
          <w:szCs w:val="22"/>
        </w:rPr>
      </w:pPr>
      <w:r w:rsidRPr="00785DD9">
        <w:rPr>
          <w:rFonts w:cs="Calibri"/>
          <w:sz w:val="20"/>
          <w:szCs w:val="22"/>
        </w:rPr>
        <w:t xml:space="preserve">A </w:t>
      </w:r>
      <w:r>
        <w:rPr>
          <w:rFonts w:cs="Calibri"/>
          <w:sz w:val="20"/>
          <w:szCs w:val="22"/>
        </w:rPr>
        <w:t>diminuição da</w:t>
      </w:r>
      <w:r w:rsidRPr="00785DD9">
        <w:rPr>
          <w:rFonts w:cs="Calibri"/>
          <w:sz w:val="20"/>
          <w:szCs w:val="22"/>
        </w:rPr>
        <w:t xml:space="preserve"> despesa de Custas Judiciais ocorreu em função da reclassificação dos valores pagos relativos às sentenças Judiciais – Ativo Civil RGPS</w:t>
      </w:r>
      <w:r>
        <w:rPr>
          <w:rFonts w:cs="Calibri"/>
          <w:sz w:val="20"/>
          <w:szCs w:val="22"/>
        </w:rPr>
        <w:t xml:space="preserve"> para</w:t>
      </w:r>
      <w:r w:rsidRPr="00785DD9">
        <w:rPr>
          <w:rFonts w:cs="Calibri"/>
          <w:sz w:val="20"/>
          <w:szCs w:val="22"/>
        </w:rPr>
        <w:t xml:space="preserve"> a rubrica “Provisão/Reversão para Contingências”</w:t>
      </w:r>
      <w:r>
        <w:rPr>
          <w:rFonts w:cs="Calibri"/>
          <w:sz w:val="20"/>
          <w:szCs w:val="22"/>
        </w:rPr>
        <w:t xml:space="preserve"> (Nota Explicativa 22)</w:t>
      </w:r>
      <w:r w:rsidRPr="00785DD9">
        <w:rPr>
          <w:rFonts w:cs="Calibri"/>
          <w:sz w:val="20"/>
          <w:szCs w:val="22"/>
        </w:rPr>
        <w:t>.</w:t>
      </w:r>
    </w:p>
    <w:p w14:paraId="6FEA4B17" w14:textId="77777777" w:rsidR="00192827" w:rsidRPr="002C199F" w:rsidRDefault="00192827" w:rsidP="00192827">
      <w:pPr>
        <w:spacing w:after="0" w:line="240" w:lineRule="auto"/>
        <w:jc w:val="both"/>
        <w:rPr>
          <w:rFonts w:cs="Calibri"/>
          <w:sz w:val="20"/>
          <w:szCs w:val="22"/>
        </w:rPr>
      </w:pPr>
    </w:p>
    <w:p w14:paraId="45003B66" w14:textId="564D5AC2" w:rsidR="005218FB" w:rsidRDefault="00EA470D" w:rsidP="00903317">
      <w:pPr>
        <w:pStyle w:val="Ttulo1"/>
      </w:pPr>
      <w:bookmarkStart w:id="96" w:name="_Toc184926700"/>
      <w:r w:rsidRPr="00903317">
        <w:t>31</w:t>
      </w:r>
      <w:r w:rsidR="005218FB" w:rsidRPr="00903317">
        <w:t xml:space="preserve"> – Depreciação e Amortização</w:t>
      </w:r>
      <w:bookmarkEnd w:id="96"/>
    </w:p>
    <w:p w14:paraId="3CF1DD7B" w14:textId="70DBBBBA" w:rsidR="00EA470D" w:rsidRPr="005F0FA5" w:rsidRDefault="00335405" w:rsidP="00EA470D">
      <w:pPr>
        <w:rPr>
          <w:sz w:val="20"/>
          <w:szCs w:val="20"/>
        </w:rPr>
      </w:pPr>
      <w:r w:rsidRPr="005F0FA5">
        <w:rPr>
          <w:sz w:val="20"/>
          <w:szCs w:val="20"/>
        </w:rPr>
        <w:t xml:space="preserve">As despesas com Depreciação e Amortização no primeiro trimestre de 2024 </w:t>
      </w:r>
      <w:r w:rsidR="00993688" w:rsidRPr="005F0FA5">
        <w:rPr>
          <w:sz w:val="20"/>
          <w:szCs w:val="20"/>
        </w:rPr>
        <w:t xml:space="preserve">totalizaram </w:t>
      </w:r>
      <w:r w:rsidR="00604D41" w:rsidRPr="005F0FA5">
        <w:rPr>
          <w:sz w:val="20"/>
          <w:szCs w:val="20"/>
        </w:rPr>
        <w:t>os seguintes valores:</w:t>
      </w:r>
    </w:p>
    <w:tbl>
      <w:tblPr>
        <w:tblW w:w="5000" w:type="pct"/>
        <w:tblCellMar>
          <w:left w:w="70" w:type="dxa"/>
          <w:right w:w="70" w:type="dxa"/>
        </w:tblCellMar>
        <w:tblLook w:val="04A0" w:firstRow="1" w:lastRow="0" w:firstColumn="1" w:lastColumn="0" w:noHBand="0" w:noVBand="1"/>
      </w:tblPr>
      <w:tblGrid>
        <w:gridCol w:w="8153"/>
        <w:gridCol w:w="1157"/>
        <w:gridCol w:w="1157"/>
      </w:tblGrid>
      <w:tr w:rsidR="0097469D" w:rsidRPr="00EA470D" w14:paraId="03BBE00A" w14:textId="77777777" w:rsidTr="000A7F7F">
        <w:trPr>
          <w:trHeight w:val="227"/>
        </w:trPr>
        <w:tc>
          <w:tcPr>
            <w:tcW w:w="7989" w:type="dxa"/>
            <w:tcBorders>
              <w:left w:val="nil"/>
              <w:bottom w:val="single" w:sz="4" w:space="0" w:color="auto"/>
              <w:right w:val="nil"/>
            </w:tcBorders>
            <w:shd w:val="clear" w:color="auto" w:fill="DEEAF6" w:themeFill="accent1" w:themeFillTint="33"/>
            <w:noWrap/>
            <w:vAlign w:val="center"/>
            <w:hideMark/>
          </w:tcPr>
          <w:p w14:paraId="1365CE5C" w14:textId="38A698E9" w:rsidR="00EA470D" w:rsidRPr="00EA470D" w:rsidRDefault="00EA470D" w:rsidP="00EA470D">
            <w:pPr>
              <w:spacing w:after="0" w:line="240" w:lineRule="auto"/>
              <w:rPr>
                <w:rFonts w:ascii="Calibri" w:eastAsia="Times New Roman" w:hAnsi="Calibri" w:cs="Calibri"/>
                <w:b/>
                <w:bCs/>
                <w:color w:val="000000"/>
                <w:sz w:val="16"/>
                <w:szCs w:val="16"/>
              </w:rPr>
            </w:pPr>
            <w:r w:rsidRPr="00EA470D">
              <w:rPr>
                <w:rFonts w:ascii="Calibri" w:eastAsia="Times New Roman" w:hAnsi="Calibri" w:cs="Calibri"/>
                <w:b/>
                <w:bCs/>
                <w:color w:val="000000"/>
                <w:sz w:val="16"/>
                <w:szCs w:val="16"/>
              </w:rPr>
              <w:t> </w:t>
            </w:r>
            <w:r w:rsidR="00D03F02">
              <w:rPr>
                <w:rFonts w:ascii="Calibri" w:eastAsia="Times New Roman" w:hAnsi="Calibri" w:cs="Calibri"/>
                <w:b/>
                <w:bCs/>
                <w:color w:val="000000"/>
                <w:sz w:val="16"/>
                <w:szCs w:val="16"/>
              </w:rPr>
              <w:t>DEPRECIAÇÃO E AMORTIZAÇÃO</w:t>
            </w:r>
          </w:p>
        </w:tc>
        <w:tc>
          <w:tcPr>
            <w:tcW w:w="1134" w:type="dxa"/>
            <w:tcBorders>
              <w:left w:val="nil"/>
              <w:bottom w:val="single" w:sz="4" w:space="0" w:color="auto"/>
              <w:right w:val="nil"/>
            </w:tcBorders>
            <w:shd w:val="clear" w:color="auto" w:fill="DEEAF6" w:themeFill="accent1" w:themeFillTint="33"/>
            <w:noWrap/>
            <w:vAlign w:val="center"/>
            <w:hideMark/>
          </w:tcPr>
          <w:p w14:paraId="43AA4A48" w14:textId="77777777" w:rsidR="00EA470D" w:rsidRPr="00EA470D" w:rsidRDefault="00EA470D" w:rsidP="00EA470D">
            <w:pPr>
              <w:spacing w:after="0" w:line="240" w:lineRule="auto"/>
              <w:jc w:val="right"/>
              <w:rPr>
                <w:rFonts w:ascii="Calibri" w:eastAsia="Times New Roman" w:hAnsi="Calibri" w:cs="Calibri"/>
                <w:b/>
                <w:bCs/>
                <w:color w:val="000000"/>
                <w:sz w:val="16"/>
                <w:szCs w:val="16"/>
              </w:rPr>
            </w:pPr>
            <w:r w:rsidRPr="00EA470D">
              <w:rPr>
                <w:rFonts w:ascii="Calibri" w:eastAsia="Times New Roman" w:hAnsi="Calibri" w:cs="Calibri"/>
                <w:b/>
                <w:bCs/>
                <w:color w:val="000000"/>
                <w:sz w:val="16"/>
                <w:szCs w:val="16"/>
              </w:rPr>
              <w:t>31/03/2024</w:t>
            </w:r>
          </w:p>
        </w:tc>
        <w:tc>
          <w:tcPr>
            <w:tcW w:w="1134" w:type="dxa"/>
            <w:tcBorders>
              <w:left w:val="nil"/>
              <w:bottom w:val="single" w:sz="4" w:space="0" w:color="auto"/>
              <w:right w:val="nil"/>
            </w:tcBorders>
            <w:shd w:val="clear" w:color="auto" w:fill="DEEAF6" w:themeFill="accent1" w:themeFillTint="33"/>
            <w:noWrap/>
            <w:vAlign w:val="center"/>
            <w:hideMark/>
          </w:tcPr>
          <w:p w14:paraId="76F08219" w14:textId="77777777" w:rsidR="00EA470D" w:rsidRPr="00EA470D" w:rsidRDefault="00EA470D" w:rsidP="00EA470D">
            <w:pPr>
              <w:spacing w:after="0" w:line="240" w:lineRule="auto"/>
              <w:jc w:val="right"/>
              <w:rPr>
                <w:rFonts w:ascii="Calibri" w:eastAsia="Times New Roman" w:hAnsi="Calibri" w:cs="Calibri"/>
                <w:b/>
                <w:bCs/>
                <w:color w:val="000000"/>
                <w:sz w:val="16"/>
                <w:szCs w:val="16"/>
              </w:rPr>
            </w:pPr>
            <w:r w:rsidRPr="00EA470D">
              <w:rPr>
                <w:rFonts w:ascii="Calibri" w:eastAsia="Times New Roman" w:hAnsi="Calibri" w:cs="Calibri"/>
                <w:b/>
                <w:bCs/>
                <w:color w:val="000000"/>
                <w:sz w:val="16"/>
                <w:szCs w:val="16"/>
              </w:rPr>
              <w:t>31/03/2023</w:t>
            </w:r>
          </w:p>
        </w:tc>
      </w:tr>
      <w:tr w:rsidR="00EA470D" w:rsidRPr="00EA470D" w14:paraId="40944F5A" w14:textId="77777777" w:rsidTr="000A7F7F">
        <w:trPr>
          <w:trHeight w:val="227"/>
        </w:trPr>
        <w:tc>
          <w:tcPr>
            <w:tcW w:w="7989" w:type="dxa"/>
            <w:tcBorders>
              <w:top w:val="single" w:sz="4" w:space="0" w:color="auto"/>
              <w:left w:val="nil"/>
              <w:bottom w:val="nil"/>
              <w:right w:val="nil"/>
            </w:tcBorders>
            <w:shd w:val="clear" w:color="auto" w:fill="auto"/>
            <w:noWrap/>
            <w:vAlign w:val="center"/>
            <w:hideMark/>
          </w:tcPr>
          <w:p w14:paraId="598E82EC" w14:textId="77777777" w:rsidR="00EA470D" w:rsidRPr="00EA470D" w:rsidRDefault="00EA470D" w:rsidP="00EA470D">
            <w:pPr>
              <w:spacing w:after="0" w:line="240" w:lineRule="auto"/>
              <w:rPr>
                <w:rFonts w:ascii="Calibri" w:eastAsia="Times New Roman" w:hAnsi="Calibri" w:cs="Calibri"/>
                <w:color w:val="000000"/>
                <w:sz w:val="16"/>
                <w:szCs w:val="16"/>
              </w:rPr>
            </w:pPr>
            <w:r w:rsidRPr="00EA470D">
              <w:rPr>
                <w:rFonts w:ascii="Calibri" w:eastAsia="Times New Roman" w:hAnsi="Calibri" w:cs="Calibri"/>
                <w:color w:val="000000"/>
                <w:sz w:val="16"/>
                <w:szCs w:val="16"/>
              </w:rPr>
              <w:t>Depreciação de Bens Móveis</w:t>
            </w:r>
          </w:p>
        </w:tc>
        <w:tc>
          <w:tcPr>
            <w:tcW w:w="1134" w:type="dxa"/>
            <w:tcBorders>
              <w:top w:val="single" w:sz="4" w:space="0" w:color="auto"/>
              <w:left w:val="nil"/>
              <w:bottom w:val="nil"/>
              <w:right w:val="nil"/>
            </w:tcBorders>
            <w:shd w:val="clear" w:color="auto" w:fill="auto"/>
            <w:noWrap/>
            <w:vAlign w:val="center"/>
            <w:hideMark/>
          </w:tcPr>
          <w:p w14:paraId="4B4186C7" w14:textId="7C4EC8C3"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(471.5</w:t>
            </w:r>
            <w:r w:rsidR="00B87058">
              <w:rPr>
                <w:rFonts w:ascii="Calibri" w:eastAsia="Times New Roman" w:hAnsi="Calibri" w:cs="Calibri"/>
                <w:color w:val="000000"/>
                <w:sz w:val="16"/>
                <w:szCs w:val="16"/>
              </w:rPr>
              <w:t>09</w:t>
            </w:r>
            <w:r w:rsidRPr="00EA470D">
              <w:rPr>
                <w:rFonts w:ascii="Calibri" w:eastAsia="Times New Roman" w:hAnsi="Calibri" w:cs="Calibri"/>
                <w:color w:val="000000"/>
                <w:sz w:val="16"/>
                <w:szCs w:val="16"/>
              </w:rPr>
              <w:t>)</w:t>
            </w:r>
          </w:p>
        </w:tc>
        <w:tc>
          <w:tcPr>
            <w:tcW w:w="1134" w:type="dxa"/>
            <w:tcBorders>
              <w:top w:val="single" w:sz="4" w:space="0" w:color="auto"/>
              <w:left w:val="nil"/>
              <w:bottom w:val="nil"/>
              <w:right w:val="nil"/>
            </w:tcBorders>
            <w:shd w:val="clear" w:color="auto" w:fill="auto"/>
            <w:noWrap/>
            <w:vAlign w:val="center"/>
            <w:hideMark/>
          </w:tcPr>
          <w:p w14:paraId="2BDC617A" w14:textId="584F0491"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(861.528)</w:t>
            </w:r>
          </w:p>
        </w:tc>
      </w:tr>
      <w:tr w:rsidR="00EA470D" w:rsidRPr="00EA470D" w14:paraId="66CDFB63" w14:textId="77777777" w:rsidTr="000A7F7F">
        <w:trPr>
          <w:trHeight w:val="227"/>
        </w:trPr>
        <w:tc>
          <w:tcPr>
            <w:tcW w:w="7989" w:type="dxa"/>
            <w:tcBorders>
              <w:top w:val="nil"/>
              <w:left w:val="nil"/>
              <w:bottom w:val="nil"/>
              <w:right w:val="nil"/>
            </w:tcBorders>
            <w:shd w:val="clear" w:color="auto" w:fill="auto"/>
            <w:noWrap/>
            <w:vAlign w:val="center"/>
            <w:hideMark/>
          </w:tcPr>
          <w:p w14:paraId="14B4F4DB" w14:textId="77777777" w:rsidR="00EA470D" w:rsidRPr="00EA470D" w:rsidRDefault="00EA470D" w:rsidP="00EA470D">
            <w:pPr>
              <w:spacing w:after="0" w:line="240" w:lineRule="auto"/>
              <w:rPr>
                <w:rFonts w:ascii="Calibri" w:eastAsia="Times New Roman" w:hAnsi="Calibri" w:cs="Calibri"/>
                <w:color w:val="000000"/>
                <w:sz w:val="16"/>
                <w:szCs w:val="16"/>
              </w:rPr>
            </w:pPr>
            <w:r w:rsidRPr="00EA470D">
              <w:rPr>
                <w:rFonts w:ascii="Calibri" w:eastAsia="Times New Roman" w:hAnsi="Calibri" w:cs="Calibri"/>
                <w:color w:val="000000"/>
                <w:sz w:val="16"/>
                <w:szCs w:val="16"/>
              </w:rPr>
              <w:t>Depreciação de Bens Imóveis</w:t>
            </w:r>
          </w:p>
        </w:tc>
        <w:tc>
          <w:tcPr>
            <w:tcW w:w="1134" w:type="dxa"/>
            <w:tcBorders>
              <w:top w:val="nil"/>
              <w:left w:val="nil"/>
              <w:bottom w:val="nil"/>
              <w:right w:val="nil"/>
            </w:tcBorders>
            <w:shd w:val="clear" w:color="auto" w:fill="auto"/>
            <w:noWrap/>
            <w:vAlign w:val="center"/>
            <w:hideMark/>
          </w:tcPr>
          <w:p w14:paraId="7D224222" w14:textId="43B776B5"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(67.80</w:t>
            </w:r>
            <w:r w:rsidR="0071759C">
              <w:rPr>
                <w:rFonts w:ascii="Calibri" w:eastAsia="Times New Roman" w:hAnsi="Calibri" w:cs="Calibri"/>
                <w:color w:val="000000"/>
                <w:sz w:val="16"/>
                <w:szCs w:val="16"/>
              </w:rPr>
              <w:t>3</w:t>
            </w:r>
            <w:r w:rsidRPr="00EA470D">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650049E" w14:textId="04515024"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(108.487)</w:t>
            </w:r>
          </w:p>
        </w:tc>
      </w:tr>
      <w:tr w:rsidR="00EA470D" w:rsidRPr="00EA470D" w14:paraId="39F5A53D" w14:textId="77777777" w:rsidTr="000A7F7F">
        <w:trPr>
          <w:trHeight w:val="227"/>
        </w:trPr>
        <w:tc>
          <w:tcPr>
            <w:tcW w:w="7989" w:type="dxa"/>
            <w:tcBorders>
              <w:top w:val="nil"/>
              <w:left w:val="nil"/>
              <w:bottom w:val="nil"/>
              <w:right w:val="nil"/>
            </w:tcBorders>
            <w:shd w:val="clear" w:color="auto" w:fill="auto"/>
            <w:noWrap/>
            <w:vAlign w:val="center"/>
            <w:hideMark/>
          </w:tcPr>
          <w:p w14:paraId="0731E494" w14:textId="77777777" w:rsidR="00EA470D" w:rsidRPr="00EA470D" w:rsidRDefault="00EA470D" w:rsidP="00EA470D">
            <w:pPr>
              <w:spacing w:after="0" w:line="240" w:lineRule="auto"/>
              <w:rPr>
                <w:rFonts w:ascii="Calibri" w:eastAsia="Times New Roman" w:hAnsi="Calibri" w:cs="Calibri"/>
                <w:color w:val="000000"/>
                <w:sz w:val="16"/>
                <w:szCs w:val="16"/>
              </w:rPr>
            </w:pPr>
            <w:r w:rsidRPr="00EA470D">
              <w:rPr>
                <w:rFonts w:ascii="Calibri" w:eastAsia="Times New Roman" w:hAnsi="Calibri" w:cs="Calibri"/>
                <w:color w:val="000000"/>
                <w:sz w:val="16"/>
                <w:szCs w:val="16"/>
              </w:rPr>
              <w:t>Depreciação de Direito de Uso</w:t>
            </w:r>
          </w:p>
        </w:tc>
        <w:tc>
          <w:tcPr>
            <w:tcW w:w="1134" w:type="dxa"/>
            <w:tcBorders>
              <w:top w:val="nil"/>
              <w:left w:val="nil"/>
              <w:bottom w:val="nil"/>
              <w:right w:val="nil"/>
            </w:tcBorders>
            <w:shd w:val="clear" w:color="auto" w:fill="auto"/>
            <w:noWrap/>
            <w:vAlign w:val="center"/>
            <w:hideMark/>
          </w:tcPr>
          <w:p w14:paraId="201AAC8D" w14:textId="0D0BF854"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 xml:space="preserve"> (1.026.817)</w:t>
            </w:r>
          </w:p>
        </w:tc>
        <w:tc>
          <w:tcPr>
            <w:tcW w:w="1134" w:type="dxa"/>
            <w:tcBorders>
              <w:top w:val="nil"/>
              <w:left w:val="nil"/>
              <w:bottom w:val="nil"/>
              <w:right w:val="nil"/>
            </w:tcBorders>
            <w:shd w:val="clear" w:color="auto" w:fill="auto"/>
            <w:noWrap/>
            <w:vAlign w:val="center"/>
            <w:hideMark/>
          </w:tcPr>
          <w:p w14:paraId="3A5A6C33" w14:textId="474B0BD3"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 xml:space="preserve"> (1.552.442)</w:t>
            </w:r>
          </w:p>
        </w:tc>
      </w:tr>
      <w:tr w:rsidR="00EA470D" w:rsidRPr="00EA470D" w14:paraId="4D800962" w14:textId="77777777" w:rsidTr="000A7F7F">
        <w:trPr>
          <w:trHeight w:val="227"/>
        </w:trPr>
        <w:tc>
          <w:tcPr>
            <w:tcW w:w="7989" w:type="dxa"/>
            <w:tcBorders>
              <w:top w:val="nil"/>
              <w:left w:val="nil"/>
              <w:bottom w:val="single" w:sz="4" w:space="0" w:color="auto"/>
              <w:right w:val="nil"/>
            </w:tcBorders>
            <w:shd w:val="clear" w:color="auto" w:fill="auto"/>
            <w:noWrap/>
            <w:vAlign w:val="center"/>
            <w:hideMark/>
          </w:tcPr>
          <w:p w14:paraId="1FD0DE4B" w14:textId="77777777" w:rsidR="00EA470D" w:rsidRPr="00EA470D" w:rsidRDefault="00EA470D" w:rsidP="00EA470D">
            <w:pPr>
              <w:spacing w:after="0" w:line="240" w:lineRule="auto"/>
              <w:rPr>
                <w:rFonts w:ascii="Calibri" w:eastAsia="Times New Roman" w:hAnsi="Calibri" w:cs="Calibri"/>
                <w:color w:val="000000"/>
                <w:sz w:val="16"/>
                <w:szCs w:val="16"/>
              </w:rPr>
            </w:pPr>
            <w:r w:rsidRPr="00EA470D">
              <w:rPr>
                <w:rFonts w:ascii="Calibri" w:eastAsia="Times New Roman" w:hAnsi="Calibri" w:cs="Calibri"/>
                <w:color w:val="000000"/>
                <w:sz w:val="16"/>
                <w:szCs w:val="16"/>
              </w:rPr>
              <w:t>Amortização de Intangível</w:t>
            </w:r>
          </w:p>
        </w:tc>
        <w:tc>
          <w:tcPr>
            <w:tcW w:w="1134" w:type="dxa"/>
            <w:tcBorders>
              <w:top w:val="nil"/>
              <w:left w:val="nil"/>
              <w:bottom w:val="single" w:sz="4" w:space="0" w:color="auto"/>
              <w:right w:val="nil"/>
            </w:tcBorders>
            <w:shd w:val="clear" w:color="auto" w:fill="auto"/>
            <w:noWrap/>
            <w:vAlign w:val="center"/>
            <w:hideMark/>
          </w:tcPr>
          <w:p w14:paraId="2AECA183" w14:textId="7EB1A5B8"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(54.027)</w:t>
            </w:r>
          </w:p>
        </w:tc>
        <w:tc>
          <w:tcPr>
            <w:tcW w:w="1134" w:type="dxa"/>
            <w:tcBorders>
              <w:top w:val="nil"/>
              <w:left w:val="nil"/>
              <w:bottom w:val="single" w:sz="4" w:space="0" w:color="auto"/>
              <w:right w:val="nil"/>
            </w:tcBorders>
            <w:shd w:val="clear" w:color="auto" w:fill="auto"/>
            <w:noWrap/>
            <w:vAlign w:val="center"/>
            <w:hideMark/>
          </w:tcPr>
          <w:p w14:paraId="52FCF641" w14:textId="2E196BA6" w:rsidR="00EA470D" w:rsidRPr="00EA470D" w:rsidRDefault="00EA470D" w:rsidP="00604D41">
            <w:pPr>
              <w:spacing w:after="0" w:line="240" w:lineRule="auto"/>
              <w:jc w:val="right"/>
              <w:rPr>
                <w:rFonts w:ascii="Calibri" w:eastAsia="Times New Roman" w:hAnsi="Calibri" w:cs="Calibri"/>
                <w:color w:val="000000"/>
                <w:sz w:val="16"/>
                <w:szCs w:val="16"/>
              </w:rPr>
            </w:pPr>
            <w:r w:rsidRPr="00EA470D">
              <w:rPr>
                <w:rFonts w:ascii="Calibri" w:eastAsia="Times New Roman" w:hAnsi="Calibri" w:cs="Calibri"/>
                <w:color w:val="000000"/>
                <w:sz w:val="16"/>
                <w:szCs w:val="16"/>
              </w:rPr>
              <w:t>(215.091)</w:t>
            </w:r>
          </w:p>
        </w:tc>
      </w:tr>
      <w:tr w:rsidR="00EA470D" w:rsidRPr="00EA470D" w14:paraId="0D2D268F" w14:textId="77777777" w:rsidTr="000A7F7F">
        <w:trPr>
          <w:trHeight w:val="227"/>
        </w:trPr>
        <w:tc>
          <w:tcPr>
            <w:tcW w:w="7989" w:type="dxa"/>
            <w:tcBorders>
              <w:top w:val="single" w:sz="4" w:space="0" w:color="auto"/>
              <w:left w:val="nil"/>
              <w:bottom w:val="single" w:sz="8" w:space="0" w:color="auto"/>
              <w:right w:val="nil"/>
            </w:tcBorders>
            <w:shd w:val="clear" w:color="auto" w:fill="DEEAF6" w:themeFill="accent1" w:themeFillTint="33"/>
            <w:noWrap/>
            <w:vAlign w:val="center"/>
            <w:hideMark/>
          </w:tcPr>
          <w:p w14:paraId="43F4D269" w14:textId="77777777" w:rsidR="00EA470D" w:rsidRPr="00EA470D" w:rsidRDefault="00EA470D" w:rsidP="00EA470D">
            <w:pPr>
              <w:spacing w:after="0" w:line="240" w:lineRule="auto"/>
              <w:rPr>
                <w:rFonts w:ascii="Calibri" w:eastAsia="Times New Roman" w:hAnsi="Calibri" w:cs="Calibri"/>
                <w:b/>
                <w:color w:val="000000"/>
                <w:sz w:val="16"/>
                <w:szCs w:val="16"/>
              </w:rPr>
            </w:pPr>
            <w:r w:rsidRPr="00EA470D">
              <w:rPr>
                <w:rFonts w:ascii="Calibri" w:eastAsia="Times New Roman" w:hAnsi="Calibri" w:cs="Calibri"/>
                <w:b/>
                <w:color w:val="000000"/>
                <w:sz w:val="16"/>
                <w:szCs w:val="16"/>
              </w:rPr>
              <w:t>Total</w:t>
            </w:r>
          </w:p>
        </w:tc>
        <w:tc>
          <w:tcPr>
            <w:tcW w:w="1134" w:type="dxa"/>
            <w:tcBorders>
              <w:top w:val="single" w:sz="4" w:space="0" w:color="auto"/>
              <w:left w:val="nil"/>
              <w:bottom w:val="single" w:sz="8" w:space="0" w:color="auto"/>
              <w:right w:val="nil"/>
            </w:tcBorders>
            <w:shd w:val="clear" w:color="auto" w:fill="DEEAF6" w:themeFill="accent1" w:themeFillTint="33"/>
            <w:noWrap/>
            <w:vAlign w:val="center"/>
            <w:hideMark/>
          </w:tcPr>
          <w:p w14:paraId="2238EFDF" w14:textId="0F01796A" w:rsidR="00EA470D" w:rsidRPr="00EA470D" w:rsidRDefault="00EA470D" w:rsidP="00604D41">
            <w:pPr>
              <w:spacing w:after="0" w:line="240" w:lineRule="auto"/>
              <w:jc w:val="right"/>
              <w:rPr>
                <w:rFonts w:ascii="Calibri" w:eastAsia="Times New Roman" w:hAnsi="Calibri" w:cs="Calibri"/>
                <w:b/>
                <w:color w:val="000000"/>
                <w:sz w:val="16"/>
                <w:szCs w:val="16"/>
              </w:rPr>
            </w:pPr>
            <w:r w:rsidRPr="00EA470D">
              <w:rPr>
                <w:rFonts w:ascii="Calibri" w:eastAsia="Times New Roman" w:hAnsi="Calibri" w:cs="Calibri"/>
                <w:b/>
                <w:color w:val="000000"/>
                <w:sz w:val="16"/>
                <w:szCs w:val="16"/>
              </w:rPr>
              <w:t xml:space="preserve"> (1.620.156)</w:t>
            </w:r>
          </w:p>
        </w:tc>
        <w:tc>
          <w:tcPr>
            <w:tcW w:w="1134" w:type="dxa"/>
            <w:tcBorders>
              <w:top w:val="single" w:sz="4" w:space="0" w:color="auto"/>
              <w:left w:val="nil"/>
              <w:bottom w:val="single" w:sz="8" w:space="0" w:color="auto"/>
              <w:right w:val="nil"/>
            </w:tcBorders>
            <w:shd w:val="clear" w:color="auto" w:fill="DEEAF6" w:themeFill="accent1" w:themeFillTint="33"/>
            <w:noWrap/>
            <w:vAlign w:val="center"/>
            <w:hideMark/>
          </w:tcPr>
          <w:p w14:paraId="7D56FCCC" w14:textId="585661C8" w:rsidR="00EA470D" w:rsidRPr="00EA470D" w:rsidRDefault="00EA470D" w:rsidP="00604D41">
            <w:pPr>
              <w:spacing w:after="0" w:line="240" w:lineRule="auto"/>
              <w:jc w:val="right"/>
              <w:rPr>
                <w:rFonts w:ascii="Calibri" w:eastAsia="Times New Roman" w:hAnsi="Calibri" w:cs="Calibri"/>
                <w:b/>
                <w:color w:val="000000"/>
                <w:sz w:val="16"/>
                <w:szCs w:val="16"/>
              </w:rPr>
            </w:pPr>
            <w:r w:rsidRPr="00EA470D">
              <w:rPr>
                <w:rFonts w:ascii="Calibri" w:eastAsia="Times New Roman" w:hAnsi="Calibri" w:cs="Calibri"/>
                <w:b/>
                <w:color w:val="000000"/>
                <w:sz w:val="16"/>
                <w:szCs w:val="16"/>
              </w:rPr>
              <w:t xml:space="preserve"> (2.737.548)</w:t>
            </w:r>
          </w:p>
        </w:tc>
      </w:tr>
    </w:tbl>
    <w:p w14:paraId="01DFD0F5" w14:textId="6B5940A9" w:rsidR="005218FB" w:rsidRDefault="005218FB" w:rsidP="00192827">
      <w:pPr>
        <w:spacing w:before="120" w:after="0"/>
        <w:jc w:val="both"/>
        <w:rPr>
          <w:sz w:val="20"/>
          <w:szCs w:val="20"/>
        </w:rPr>
      </w:pPr>
      <w:r w:rsidRPr="00F87A68">
        <w:rPr>
          <w:sz w:val="20"/>
          <w:szCs w:val="20"/>
        </w:rPr>
        <w:t>Conforme informado na Nota Explicativa 21, a Companhia adota o CPC 06 (R2) – Arrendamentos para os contratos de locação de imóveis. A redução da despesa de depreciação no período deve</w:t>
      </w:r>
      <w:r w:rsidR="002E1247">
        <w:rPr>
          <w:sz w:val="20"/>
          <w:szCs w:val="20"/>
        </w:rPr>
        <w:t>-</w:t>
      </w:r>
      <w:r w:rsidRPr="00F87A68">
        <w:rPr>
          <w:sz w:val="20"/>
          <w:szCs w:val="20"/>
        </w:rPr>
        <w:t>se, basicamente, à entrega do imóvel locado para a filial, realizando-se a baixa do passivo de arrendamento em 31 de outubro de 2023. Dessa forma, em 2024, o saldo de despesa de depreciação, relativo ao CPC ora mencionado, apresenta somente valor relacionado ao Imóvel Sede da Infra S.A.</w:t>
      </w:r>
    </w:p>
    <w:p w14:paraId="6961970F" w14:textId="77777777" w:rsidR="00EE562F" w:rsidRPr="00EE562F" w:rsidRDefault="00EE562F" w:rsidP="002C64EB">
      <w:pPr>
        <w:spacing w:after="0" w:line="240" w:lineRule="auto"/>
        <w:jc w:val="both"/>
        <w:rPr>
          <w:rFonts w:cstheme="minorHAnsi"/>
          <w:sz w:val="20"/>
        </w:rPr>
      </w:pPr>
    </w:p>
    <w:p w14:paraId="259FC098" w14:textId="4459B17F" w:rsidR="004B7513" w:rsidRPr="00A35CA0" w:rsidRDefault="004B7513" w:rsidP="00A35CA0">
      <w:pPr>
        <w:pStyle w:val="Ttulo1"/>
      </w:pPr>
      <w:bookmarkStart w:id="97" w:name="_Toc184926701"/>
      <w:r w:rsidRPr="00A35CA0">
        <w:t>3</w:t>
      </w:r>
      <w:r w:rsidR="00454BFD">
        <w:t>2</w:t>
      </w:r>
      <w:r w:rsidRPr="00A35CA0">
        <w:t xml:space="preserve"> – Outras Receitas</w:t>
      </w:r>
      <w:r w:rsidR="002307DB" w:rsidRPr="00A35CA0">
        <w:t>/Despesas</w:t>
      </w:r>
      <w:bookmarkEnd w:id="97"/>
    </w:p>
    <w:p w14:paraId="78E12162" w14:textId="24ABC241" w:rsidR="00FB12FE" w:rsidRPr="000C30F5" w:rsidRDefault="009A5ED0" w:rsidP="000C30F5">
      <w:pPr>
        <w:spacing w:before="120"/>
        <w:jc w:val="both"/>
        <w:rPr>
          <w:rFonts w:cstheme="minorHAnsi"/>
          <w:sz w:val="20"/>
        </w:rPr>
      </w:pPr>
      <w:r w:rsidRPr="000C30F5">
        <w:rPr>
          <w:rFonts w:cstheme="minorHAnsi"/>
          <w:sz w:val="20"/>
        </w:rPr>
        <w:t xml:space="preserve">A rubrica “Outras Receitas/Despesas” </w:t>
      </w:r>
      <w:r w:rsidR="00355B7F">
        <w:rPr>
          <w:rFonts w:cstheme="minorHAnsi"/>
          <w:sz w:val="20"/>
        </w:rPr>
        <w:t>é composta pelos seguintes valores</w:t>
      </w:r>
      <w:r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8175"/>
        <w:gridCol w:w="1146"/>
        <w:gridCol w:w="1146"/>
      </w:tblGrid>
      <w:tr w:rsidR="007D44F4" w:rsidRPr="007D44F4" w14:paraId="215FE7D3" w14:textId="77777777" w:rsidTr="00EB3302">
        <w:trPr>
          <w:trHeight w:val="227"/>
        </w:trPr>
        <w:tc>
          <w:tcPr>
            <w:tcW w:w="8091" w:type="dxa"/>
            <w:tcBorders>
              <w:top w:val="nil"/>
              <w:left w:val="nil"/>
              <w:bottom w:val="single" w:sz="8" w:space="0" w:color="auto"/>
              <w:right w:val="nil"/>
            </w:tcBorders>
            <w:shd w:val="clear" w:color="000000" w:fill="DDEBF7"/>
            <w:noWrap/>
            <w:vAlign w:val="center"/>
            <w:hideMark/>
          </w:tcPr>
          <w:p w14:paraId="76F0CF88" w14:textId="77777777" w:rsidR="007D44F4" w:rsidRPr="007D44F4" w:rsidRDefault="007D44F4" w:rsidP="007D44F4">
            <w:pPr>
              <w:spacing w:after="0" w:line="240" w:lineRule="auto"/>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t>OUTRAS RECEITAS/DESPESAS</w:t>
            </w:r>
          </w:p>
        </w:tc>
        <w:tc>
          <w:tcPr>
            <w:tcW w:w="1134" w:type="dxa"/>
            <w:tcBorders>
              <w:top w:val="nil"/>
              <w:left w:val="nil"/>
              <w:bottom w:val="single" w:sz="8" w:space="0" w:color="auto"/>
              <w:right w:val="nil"/>
            </w:tcBorders>
            <w:shd w:val="clear" w:color="000000" w:fill="DDEBF7"/>
            <w:vAlign w:val="center"/>
            <w:hideMark/>
          </w:tcPr>
          <w:p w14:paraId="0F569177" w14:textId="77777777" w:rsidR="007D44F4" w:rsidRPr="007D44F4" w:rsidRDefault="007D44F4" w:rsidP="007D44F4">
            <w:pPr>
              <w:spacing w:after="0" w:line="240" w:lineRule="auto"/>
              <w:jc w:val="right"/>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07173BDB" w14:textId="77777777" w:rsidR="007D44F4" w:rsidRPr="007D44F4" w:rsidRDefault="007D44F4" w:rsidP="007D44F4">
            <w:pPr>
              <w:spacing w:after="0" w:line="240" w:lineRule="auto"/>
              <w:jc w:val="right"/>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t>31/03/2023</w:t>
            </w:r>
          </w:p>
        </w:tc>
      </w:tr>
      <w:tr w:rsidR="007D44F4" w:rsidRPr="007D44F4" w14:paraId="2016C7A5" w14:textId="77777777" w:rsidTr="00EB3302">
        <w:trPr>
          <w:trHeight w:val="227"/>
        </w:trPr>
        <w:tc>
          <w:tcPr>
            <w:tcW w:w="8091" w:type="dxa"/>
            <w:tcBorders>
              <w:top w:val="nil"/>
              <w:left w:val="nil"/>
              <w:bottom w:val="nil"/>
              <w:right w:val="nil"/>
            </w:tcBorders>
            <w:shd w:val="clear" w:color="auto" w:fill="auto"/>
            <w:noWrap/>
            <w:vAlign w:val="center"/>
            <w:hideMark/>
          </w:tcPr>
          <w:p w14:paraId="774D4405" w14:textId="77777777" w:rsidR="007D44F4" w:rsidRPr="007D44F4" w:rsidRDefault="007D44F4" w:rsidP="007D44F4">
            <w:pPr>
              <w:spacing w:after="0" w:line="240" w:lineRule="auto"/>
              <w:rPr>
                <w:rFonts w:ascii="Calibri" w:eastAsia="Times New Roman" w:hAnsi="Calibri" w:cs="Calibri"/>
                <w:color w:val="000000"/>
                <w:sz w:val="16"/>
                <w:szCs w:val="16"/>
              </w:rPr>
            </w:pPr>
            <w:r w:rsidRPr="007D44F4">
              <w:rPr>
                <w:rFonts w:ascii="Calibri" w:eastAsia="Times New Roman" w:hAnsi="Calibri" w:cs="Calibri"/>
                <w:color w:val="000000"/>
                <w:sz w:val="16"/>
                <w:szCs w:val="16"/>
              </w:rPr>
              <w:t>Imposto a Recuperar (PIS, COFINS e INSS)</w:t>
            </w:r>
          </w:p>
        </w:tc>
        <w:tc>
          <w:tcPr>
            <w:tcW w:w="1134" w:type="dxa"/>
            <w:tcBorders>
              <w:top w:val="nil"/>
              <w:left w:val="nil"/>
              <w:bottom w:val="nil"/>
              <w:right w:val="nil"/>
            </w:tcBorders>
            <w:shd w:val="clear" w:color="auto" w:fill="auto"/>
            <w:vAlign w:val="center"/>
            <w:hideMark/>
          </w:tcPr>
          <w:p w14:paraId="6A3760C3"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170.243 </w:t>
            </w:r>
          </w:p>
        </w:tc>
        <w:tc>
          <w:tcPr>
            <w:tcW w:w="1134" w:type="dxa"/>
            <w:tcBorders>
              <w:top w:val="nil"/>
              <w:left w:val="nil"/>
              <w:bottom w:val="nil"/>
              <w:right w:val="nil"/>
            </w:tcBorders>
            <w:shd w:val="clear" w:color="auto" w:fill="auto"/>
            <w:vAlign w:val="center"/>
            <w:hideMark/>
          </w:tcPr>
          <w:p w14:paraId="6987F6DF"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202.797 </w:t>
            </w:r>
          </w:p>
        </w:tc>
      </w:tr>
      <w:tr w:rsidR="007D44F4" w:rsidRPr="007D44F4" w14:paraId="5D120ADA" w14:textId="77777777" w:rsidTr="00EB3302">
        <w:trPr>
          <w:trHeight w:val="227"/>
        </w:trPr>
        <w:tc>
          <w:tcPr>
            <w:tcW w:w="8091" w:type="dxa"/>
            <w:tcBorders>
              <w:top w:val="nil"/>
              <w:left w:val="nil"/>
              <w:bottom w:val="nil"/>
              <w:right w:val="nil"/>
            </w:tcBorders>
            <w:shd w:val="clear" w:color="auto" w:fill="auto"/>
            <w:noWrap/>
            <w:vAlign w:val="center"/>
            <w:hideMark/>
          </w:tcPr>
          <w:p w14:paraId="24F5B75F" w14:textId="77777777" w:rsidR="007D44F4" w:rsidRPr="007D44F4" w:rsidRDefault="007D44F4" w:rsidP="007D44F4">
            <w:pPr>
              <w:spacing w:after="0" w:line="240" w:lineRule="auto"/>
              <w:rPr>
                <w:rFonts w:ascii="Calibri" w:eastAsia="Times New Roman" w:hAnsi="Calibri" w:cs="Calibri"/>
                <w:color w:val="000000"/>
                <w:sz w:val="16"/>
                <w:szCs w:val="16"/>
              </w:rPr>
            </w:pPr>
            <w:r w:rsidRPr="007D44F4">
              <w:rPr>
                <w:rFonts w:ascii="Calibri" w:eastAsia="Times New Roman" w:hAnsi="Calibri" w:cs="Calibri"/>
                <w:color w:val="000000"/>
                <w:sz w:val="16"/>
                <w:szCs w:val="16"/>
              </w:rPr>
              <w:t>Reembolso de Custos com Desapropriação</w:t>
            </w:r>
          </w:p>
        </w:tc>
        <w:tc>
          <w:tcPr>
            <w:tcW w:w="1134" w:type="dxa"/>
            <w:tcBorders>
              <w:top w:val="nil"/>
              <w:left w:val="nil"/>
              <w:bottom w:val="nil"/>
              <w:right w:val="nil"/>
            </w:tcBorders>
            <w:shd w:val="clear" w:color="auto" w:fill="auto"/>
            <w:vAlign w:val="center"/>
            <w:hideMark/>
          </w:tcPr>
          <w:p w14:paraId="0188745C"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96.889 </w:t>
            </w:r>
          </w:p>
        </w:tc>
        <w:tc>
          <w:tcPr>
            <w:tcW w:w="1134" w:type="dxa"/>
            <w:tcBorders>
              <w:top w:val="nil"/>
              <w:left w:val="nil"/>
              <w:bottom w:val="nil"/>
              <w:right w:val="nil"/>
            </w:tcBorders>
            <w:shd w:val="clear" w:color="auto" w:fill="auto"/>
            <w:vAlign w:val="center"/>
            <w:hideMark/>
          </w:tcPr>
          <w:p w14:paraId="6AE48D6A"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 </w:t>
            </w:r>
          </w:p>
        </w:tc>
      </w:tr>
      <w:tr w:rsidR="007D44F4" w:rsidRPr="007D44F4" w14:paraId="6F8E1D7C" w14:textId="77777777" w:rsidTr="00EB3302">
        <w:trPr>
          <w:trHeight w:val="227"/>
        </w:trPr>
        <w:tc>
          <w:tcPr>
            <w:tcW w:w="8091" w:type="dxa"/>
            <w:tcBorders>
              <w:top w:val="nil"/>
              <w:left w:val="nil"/>
              <w:bottom w:val="nil"/>
              <w:right w:val="nil"/>
            </w:tcBorders>
            <w:shd w:val="clear" w:color="auto" w:fill="auto"/>
            <w:noWrap/>
            <w:vAlign w:val="center"/>
            <w:hideMark/>
          </w:tcPr>
          <w:p w14:paraId="18372F6E" w14:textId="77777777" w:rsidR="007D44F4" w:rsidRPr="007D44F4" w:rsidRDefault="007D44F4" w:rsidP="007D44F4">
            <w:pPr>
              <w:spacing w:after="0" w:line="240" w:lineRule="auto"/>
              <w:rPr>
                <w:rFonts w:ascii="Calibri" w:eastAsia="Times New Roman" w:hAnsi="Calibri" w:cs="Calibri"/>
                <w:color w:val="000000"/>
                <w:sz w:val="16"/>
                <w:szCs w:val="16"/>
              </w:rPr>
            </w:pPr>
            <w:r w:rsidRPr="007D44F4">
              <w:rPr>
                <w:rFonts w:ascii="Calibri" w:eastAsia="Times New Roman" w:hAnsi="Calibri" w:cs="Calibri"/>
                <w:color w:val="000000"/>
                <w:sz w:val="16"/>
                <w:szCs w:val="16"/>
              </w:rPr>
              <w:t>Termo de Execução Descentralizada – TED</w:t>
            </w:r>
          </w:p>
        </w:tc>
        <w:tc>
          <w:tcPr>
            <w:tcW w:w="1134" w:type="dxa"/>
            <w:tcBorders>
              <w:top w:val="nil"/>
              <w:left w:val="nil"/>
              <w:bottom w:val="nil"/>
              <w:right w:val="nil"/>
            </w:tcBorders>
            <w:shd w:val="clear" w:color="auto" w:fill="auto"/>
            <w:vAlign w:val="center"/>
            <w:hideMark/>
          </w:tcPr>
          <w:p w14:paraId="18234776"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1C792BB2"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89.116 </w:t>
            </w:r>
          </w:p>
        </w:tc>
      </w:tr>
      <w:tr w:rsidR="007D44F4" w:rsidRPr="007D44F4" w14:paraId="1624396D" w14:textId="77777777" w:rsidTr="00EB3302">
        <w:trPr>
          <w:trHeight w:val="227"/>
        </w:trPr>
        <w:tc>
          <w:tcPr>
            <w:tcW w:w="8091" w:type="dxa"/>
            <w:tcBorders>
              <w:top w:val="nil"/>
              <w:left w:val="nil"/>
              <w:bottom w:val="nil"/>
              <w:right w:val="nil"/>
            </w:tcBorders>
            <w:shd w:val="clear" w:color="auto" w:fill="auto"/>
            <w:noWrap/>
            <w:vAlign w:val="center"/>
            <w:hideMark/>
          </w:tcPr>
          <w:p w14:paraId="3A0E0560" w14:textId="77777777" w:rsidR="007D44F4" w:rsidRPr="007D44F4" w:rsidRDefault="007D44F4" w:rsidP="007D44F4">
            <w:pPr>
              <w:spacing w:after="0" w:line="240" w:lineRule="auto"/>
              <w:rPr>
                <w:rFonts w:ascii="Calibri" w:eastAsia="Times New Roman" w:hAnsi="Calibri" w:cs="Calibri"/>
                <w:color w:val="000000"/>
                <w:sz w:val="16"/>
                <w:szCs w:val="16"/>
              </w:rPr>
            </w:pPr>
            <w:r w:rsidRPr="007D44F4">
              <w:rPr>
                <w:rFonts w:ascii="Calibri" w:eastAsia="Times New Roman" w:hAnsi="Calibri" w:cs="Calibri"/>
                <w:color w:val="000000"/>
                <w:sz w:val="16"/>
                <w:szCs w:val="16"/>
              </w:rPr>
              <w:t>Restituições</w:t>
            </w:r>
          </w:p>
        </w:tc>
        <w:tc>
          <w:tcPr>
            <w:tcW w:w="1134" w:type="dxa"/>
            <w:tcBorders>
              <w:top w:val="nil"/>
              <w:left w:val="nil"/>
              <w:bottom w:val="nil"/>
              <w:right w:val="nil"/>
            </w:tcBorders>
            <w:shd w:val="clear" w:color="auto" w:fill="auto"/>
            <w:vAlign w:val="center"/>
            <w:hideMark/>
          </w:tcPr>
          <w:p w14:paraId="46F0F9EF"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25B1194C"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33.644 </w:t>
            </w:r>
          </w:p>
        </w:tc>
      </w:tr>
      <w:tr w:rsidR="007D44F4" w:rsidRPr="007D44F4" w14:paraId="7B2EE67D" w14:textId="77777777" w:rsidTr="00EB3302">
        <w:trPr>
          <w:trHeight w:val="227"/>
        </w:trPr>
        <w:tc>
          <w:tcPr>
            <w:tcW w:w="8091" w:type="dxa"/>
            <w:tcBorders>
              <w:top w:val="nil"/>
              <w:left w:val="nil"/>
              <w:bottom w:val="nil"/>
              <w:right w:val="nil"/>
            </w:tcBorders>
            <w:shd w:val="clear" w:color="auto" w:fill="auto"/>
            <w:noWrap/>
            <w:vAlign w:val="center"/>
            <w:hideMark/>
          </w:tcPr>
          <w:p w14:paraId="06BBC2A6" w14:textId="77777777" w:rsidR="007D44F4" w:rsidRPr="007D44F4" w:rsidRDefault="007D44F4" w:rsidP="007D44F4">
            <w:pPr>
              <w:spacing w:after="0" w:line="240" w:lineRule="auto"/>
              <w:rPr>
                <w:rFonts w:ascii="Calibri" w:eastAsia="Times New Roman" w:hAnsi="Calibri" w:cs="Calibri"/>
                <w:color w:val="000000"/>
                <w:sz w:val="16"/>
                <w:szCs w:val="16"/>
              </w:rPr>
            </w:pPr>
            <w:r w:rsidRPr="007D44F4">
              <w:rPr>
                <w:rFonts w:ascii="Calibri" w:eastAsia="Times New Roman" w:hAnsi="Calibri" w:cs="Calibri"/>
                <w:color w:val="000000"/>
                <w:sz w:val="16"/>
                <w:szCs w:val="16"/>
              </w:rPr>
              <w:t>Baixa de Ativos (Imobilizado e Intangível)</w:t>
            </w:r>
          </w:p>
        </w:tc>
        <w:tc>
          <w:tcPr>
            <w:tcW w:w="1134" w:type="dxa"/>
            <w:tcBorders>
              <w:top w:val="nil"/>
              <w:left w:val="nil"/>
              <w:bottom w:val="nil"/>
              <w:right w:val="nil"/>
            </w:tcBorders>
            <w:shd w:val="clear" w:color="auto" w:fill="auto"/>
            <w:vAlign w:val="center"/>
            <w:hideMark/>
          </w:tcPr>
          <w:p w14:paraId="6C2708AF"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(7.115)</w:t>
            </w:r>
          </w:p>
        </w:tc>
        <w:tc>
          <w:tcPr>
            <w:tcW w:w="1134" w:type="dxa"/>
            <w:tcBorders>
              <w:top w:val="nil"/>
              <w:left w:val="nil"/>
              <w:bottom w:val="nil"/>
              <w:right w:val="nil"/>
            </w:tcBorders>
            <w:shd w:val="clear" w:color="auto" w:fill="auto"/>
            <w:vAlign w:val="center"/>
            <w:hideMark/>
          </w:tcPr>
          <w:p w14:paraId="30850C20" w14:textId="77777777" w:rsidR="007D44F4" w:rsidRPr="007D44F4" w:rsidRDefault="007D44F4" w:rsidP="007D44F4">
            <w:pPr>
              <w:spacing w:after="0" w:line="240" w:lineRule="auto"/>
              <w:jc w:val="right"/>
              <w:rPr>
                <w:rFonts w:ascii="Calibri" w:eastAsia="Times New Roman" w:hAnsi="Calibri" w:cs="Calibri"/>
                <w:color w:val="000000"/>
                <w:sz w:val="16"/>
                <w:szCs w:val="16"/>
              </w:rPr>
            </w:pPr>
            <w:r w:rsidRPr="007D44F4">
              <w:rPr>
                <w:rFonts w:ascii="Calibri" w:eastAsia="Times New Roman" w:hAnsi="Calibri" w:cs="Calibri"/>
                <w:color w:val="000000"/>
                <w:sz w:val="16"/>
                <w:szCs w:val="16"/>
              </w:rPr>
              <w:t xml:space="preserve"> - </w:t>
            </w:r>
          </w:p>
        </w:tc>
      </w:tr>
      <w:tr w:rsidR="007D44F4" w:rsidRPr="007D44F4" w14:paraId="380958CB" w14:textId="77777777" w:rsidTr="00EB3302">
        <w:trPr>
          <w:trHeight w:val="227"/>
        </w:trPr>
        <w:tc>
          <w:tcPr>
            <w:tcW w:w="8091" w:type="dxa"/>
            <w:tcBorders>
              <w:top w:val="nil"/>
              <w:left w:val="nil"/>
              <w:bottom w:val="single" w:sz="8" w:space="0" w:color="auto"/>
              <w:right w:val="nil"/>
            </w:tcBorders>
            <w:shd w:val="clear" w:color="000000" w:fill="DDEBF7"/>
            <w:noWrap/>
            <w:vAlign w:val="center"/>
            <w:hideMark/>
          </w:tcPr>
          <w:p w14:paraId="514D3275" w14:textId="77777777" w:rsidR="007D44F4" w:rsidRPr="007D44F4" w:rsidRDefault="007D44F4" w:rsidP="007D44F4">
            <w:pPr>
              <w:spacing w:after="0" w:line="240" w:lineRule="auto"/>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lastRenderedPageBreak/>
              <w:t xml:space="preserve">TOTAL </w:t>
            </w:r>
          </w:p>
        </w:tc>
        <w:tc>
          <w:tcPr>
            <w:tcW w:w="1134" w:type="dxa"/>
            <w:tcBorders>
              <w:top w:val="nil"/>
              <w:left w:val="nil"/>
              <w:bottom w:val="single" w:sz="8" w:space="0" w:color="auto"/>
              <w:right w:val="nil"/>
            </w:tcBorders>
            <w:shd w:val="clear" w:color="000000" w:fill="DDEBF7"/>
            <w:noWrap/>
            <w:vAlign w:val="center"/>
            <w:hideMark/>
          </w:tcPr>
          <w:p w14:paraId="1995A5D2" w14:textId="77777777" w:rsidR="007D44F4" w:rsidRPr="007D44F4" w:rsidRDefault="007D44F4" w:rsidP="007D44F4">
            <w:pPr>
              <w:spacing w:after="0" w:line="240" w:lineRule="auto"/>
              <w:jc w:val="right"/>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t xml:space="preserve">      260.017 </w:t>
            </w:r>
          </w:p>
        </w:tc>
        <w:tc>
          <w:tcPr>
            <w:tcW w:w="1134" w:type="dxa"/>
            <w:tcBorders>
              <w:top w:val="nil"/>
              <w:left w:val="nil"/>
              <w:bottom w:val="single" w:sz="8" w:space="0" w:color="auto"/>
              <w:right w:val="nil"/>
            </w:tcBorders>
            <w:shd w:val="clear" w:color="000000" w:fill="DDEBF7"/>
            <w:noWrap/>
            <w:vAlign w:val="center"/>
            <w:hideMark/>
          </w:tcPr>
          <w:p w14:paraId="1D0731AC" w14:textId="77777777" w:rsidR="007D44F4" w:rsidRPr="007D44F4" w:rsidRDefault="007D44F4" w:rsidP="007D44F4">
            <w:pPr>
              <w:spacing w:after="0" w:line="240" w:lineRule="auto"/>
              <w:jc w:val="right"/>
              <w:rPr>
                <w:rFonts w:ascii="Calibri" w:eastAsia="Times New Roman" w:hAnsi="Calibri" w:cs="Calibri"/>
                <w:b/>
                <w:bCs/>
                <w:color w:val="000000"/>
                <w:sz w:val="16"/>
                <w:szCs w:val="16"/>
              </w:rPr>
            </w:pPr>
            <w:r w:rsidRPr="007D44F4">
              <w:rPr>
                <w:rFonts w:ascii="Calibri" w:eastAsia="Times New Roman" w:hAnsi="Calibri" w:cs="Calibri"/>
                <w:b/>
                <w:bCs/>
                <w:color w:val="000000"/>
                <w:sz w:val="16"/>
                <w:szCs w:val="16"/>
              </w:rPr>
              <w:t xml:space="preserve">      325.557 </w:t>
            </w:r>
          </w:p>
        </w:tc>
      </w:tr>
    </w:tbl>
    <w:p w14:paraId="4D81394B" w14:textId="1333D8F2" w:rsidR="00BC35F7" w:rsidRDefault="00BC35F7" w:rsidP="00EB3302">
      <w:pPr>
        <w:spacing w:before="120" w:after="0" w:line="240" w:lineRule="auto"/>
        <w:jc w:val="both"/>
        <w:rPr>
          <w:rFonts w:cstheme="minorHAnsi"/>
          <w:sz w:val="20"/>
        </w:rPr>
      </w:pPr>
      <w:r w:rsidRPr="00BC35F7">
        <w:rPr>
          <w:rFonts w:cstheme="minorHAnsi"/>
          <w:sz w:val="20"/>
        </w:rPr>
        <w:t xml:space="preserve">O reembolso de Custos com Desapropriação decorre do Acordo de Obrigações Recíprocas – AOR (SEI n° 6973430), celebrado entre a Valec (agora Infra S.A.) e a Bahia Ferrovias S.A. – BAFER, que tem por objeto o estabelecimento do escopo de atuação conjunta nos processos de desapropriação pendentes e futuros, relacionados ao Contrato de Subconcessão do trecho da </w:t>
      </w:r>
      <w:r w:rsidR="00010A99" w:rsidRPr="00010A99">
        <w:rPr>
          <w:rFonts w:cstheme="minorHAnsi"/>
          <w:sz w:val="20"/>
        </w:rPr>
        <w:t>Ferrovia de Integração Oeste-Leste – FIOL</w:t>
      </w:r>
      <w:r w:rsidRPr="00BC35F7">
        <w:rPr>
          <w:rFonts w:cstheme="minorHAnsi"/>
          <w:sz w:val="20"/>
        </w:rPr>
        <w:t xml:space="preserve"> I, localizado entre os municípios de Ilhéus e Caetité, ambos no Estado da Bahia, </w:t>
      </w:r>
      <w:proofErr w:type="spellStart"/>
      <w:r w:rsidRPr="00BC35F7">
        <w:rPr>
          <w:rFonts w:cstheme="minorHAnsi"/>
          <w:sz w:val="20"/>
        </w:rPr>
        <w:t>subconcedido</w:t>
      </w:r>
      <w:proofErr w:type="spellEnd"/>
      <w:r w:rsidRPr="00BC35F7">
        <w:rPr>
          <w:rFonts w:cstheme="minorHAnsi"/>
          <w:sz w:val="20"/>
        </w:rPr>
        <w:t xml:space="preserve"> à BAFER nos termos do Contrato de Subconcessão do Edital de Concorrência Internacional n° 01/2020, no qual a Infra S.A. atua na qualidade de Interveniente </w:t>
      </w:r>
      <w:proofErr w:type="spellStart"/>
      <w:r w:rsidRPr="00BC35F7">
        <w:rPr>
          <w:rFonts w:cstheme="minorHAnsi"/>
          <w:sz w:val="20"/>
        </w:rPr>
        <w:t>Subconcedente</w:t>
      </w:r>
      <w:proofErr w:type="spellEnd"/>
      <w:r w:rsidRPr="00BC35F7">
        <w:rPr>
          <w:rFonts w:cstheme="minorHAnsi"/>
          <w:sz w:val="20"/>
        </w:rPr>
        <w:t>. Dentre as responsabilidades da BAFER no âmbito do citado Acordo, destaca-se o compromisso de reembolsar à Infra S.A. os custos incorridos na atuação dos processos judiciais de desapropriação da FIOL I a partir da assinatura do Contrato de Subconcessão.</w:t>
      </w:r>
    </w:p>
    <w:p w14:paraId="527B2525" w14:textId="77777777" w:rsidR="00EB3302" w:rsidRPr="008C1A5A" w:rsidRDefault="00EB3302" w:rsidP="00EB3302">
      <w:pPr>
        <w:spacing w:after="0" w:line="240" w:lineRule="auto"/>
        <w:jc w:val="both"/>
        <w:rPr>
          <w:rFonts w:cstheme="minorHAnsi"/>
          <w:sz w:val="20"/>
        </w:rPr>
      </w:pPr>
    </w:p>
    <w:p w14:paraId="0310019D" w14:textId="24934F72" w:rsidR="00E71553" w:rsidRPr="000C30F5" w:rsidRDefault="00BA58FE" w:rsidP="000C30F5">
      <w:pPr>
        <w:pStyle w:val="Ttulo1"/>
      </w:pPr>
      <w:bookmarkStart w:id="98" w:name="_Toc184926702"/>
      <w:r w:rsidRPr="000C30F5">
        <w:t>3</w:t>
      </w:r>
      <w:r w:rsidR="00454BFD">
        <w:t>3</w:t>
      </w:r>
      <w:r w:rsidR="00E71553" w:rsidRPr="000C30F5">
        <w:t xml:space="preserve"> – </w:t>
      </w:r>
      <w:r w:rsidRPr="000C30F5">
        <w:t>Resultado Financeiro Líquido</w:t>
      </w:r>
      <w:bookmarkEnd w:id="98"/>
    </w:p>
    <w:p w14:paraId="39DCB53D" w14:textId="73AA46C8" w:rsidR="000B4501" w:rsidRPr="000C30F5" w:rsidRDefault="001E4AC9" w:rsidP="000C30F5">
      <w:pPr>
        <w:spacing w:before="120"/>
        <w:jc w:val="both"/>
        <w:rPr>
          <w:rFonts w:cstheme="minorHAnsi"/>
          <w:sz w:val="20"/>
        </w:rPr>
      </w:pPr>
      <w:r w:rsidRPr="000C30F5">
        <w:rPr>
          <w:rFonts w:cstheme="minorHAnsi"/>
          <w:sz w:val="20"/>
        </w:rPr>
        <w:t xml:space="preserve">O Resultado Financeiro Líquido do </w:t>
      </w:r>
      <w:r w:rsidR="00D12C54">
        <w:rPr>
          <w:rFonts w:cstheme="minorHAnsi"/>
          <w:sz w:val="20"/>
        </w:rPr>
        <w:t>primeiro trimestre</w:t>
      </w:r>
      <w:r w:rsidRPr="000C30F5">
        <w:rPr>
          <w:rFonts w:cstheme="minorHAnsi"/>
          <w:sz w:val="20"/>
        </w:rPr>
        <w:t xml:space="preserve"> de 202</w:t>
      </w:r>
      <w:r w:rsidR="00806657">
        <w:rPr>
          <w:rFonts w:cstheme="minorHAnsi"/>
          <w:sz w:val="20"/>
        </w:rPr>
        <w:t>4</w:t>
      </w:r>
      <w:r w:rsidRPr="000C30F5">
        <w:rPr>
          <w:rFonts w:cstheme="minorHAnsi"/>
          <w:sz w:val="20"/>
        </w:rPr>
        <w:t xml:space="preserve"> resultou no montante de </w:t>
      </w:r>
      <w:r w:rsidR="006E7767" w:rsidRPr="000C30F5">
        <w:rPr>
          <w:rFonts w:cstheme="minorHAnsi"/>
          <w:sz w:val="20"/>
        </w:rPr>
        <w:t xml:space="preserve">R$ </w:t>
      </w:r>
      <w:r w:rsidR="00170354" w:rsidRPr="000C30F5">
        <w:rPr>
          <w:rFonts w:cstheme="minorHAnsi"/>
          <w:sz w:val="20"/>
        </w:rPr>
        <w:t>3,85</w:t>
      </w:r>
      <w:r w:rsidR="00A51F27" w:rsidRPr="000C30F5">
        <w:rPr>
          <w:rFonts w:cstheme="minorHAnsi"/>
          <w:sz w:val="20"/>
        </w:rPr>
        <w:t xml:space="preserve"> milhões</w:t>
      </w:r>
      <w:r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8171"/>
        <w:gridCol w:w="1148"/>
        <w:gridCol w:w="1148"/>
      </w:tblGrid>
      <w:tr w:rsidR="00A8228D" w:rsidRPr="000C30F5" w14:paraId="769C8DBF" w14:textId="77777777" w:rsidTr="0015311D">
        <w:trPr>
          <w:trHeight w:hRule="exact" w:val="227"/>
        </w:trPr>
        <w:tc>
          <w:tcPr>
            <w:tcW w:w="8073" w:type="dxa"/>
            <w:tcBorders>
              <w:top w:val="nil"/>
              <w:left w:val="nil"/>
              <w:bottom w:val="single" w:sz="8" w:space="0" w:color="auto"/>
              <w:right w:val="nil"/>
            </w:tcBorders>
            <w:shd w:val="clear" w:color="000000" w:fill="DDEBF7"/>
            <w:noWrap/>
            <w:vAlign w:val="center"/>
            <w:hideMark/>
          </w:tcPr>
          <w:p w14:paraId="3ABDDB0D" w14:textId="77777777" w:rsidR="00A8228D" w:rsidRPr="000C30F5" w:rsidRDefault="00A8228D"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RESULTADO FINANCEIRO LÍQUIDO</w:t>
            </w:r>
          </w:p>
        </w:tc>
        <w:tc>
          <w:tcPr>
            <w:tcW w:w="1134" w:type="dxa"/>
            <w:tcBorders>
              <w:top w:val="nil"/>
              <w:left w:val="nil"/>
              <w:bottom w:val="single" w:sz="8" w:space="0" w:color="auto"/>
              <w:right w:val="nil"/>
            </w:tcBorders>
            <w:shd w:val="clear" w:color="000000" w:fill="DDEBF7"/>
            <w:vAlign w:val="center"/>
            <w:hideMark/>
          </w:tcPr>
          <w:p w14:paraId="20895844" w14:textId="77777777" w:rsidR="00A8228D" w:rsidRPr="000C30F5" w:rsidRDefault="00A8228D"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500BFAAD" w14:textId="77777777" w:rsidR="00A8228D" w:rsidRPr="000C30F5" w:rsidRDefault="00A8228D"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A8228D" w:rsidRPr="000C30F5" w14:paraId="1DE3D263" w14:textId="77777777" w:rsidTr="0015311D">
        <w:trPr>
          <w:trHeight w:hRule="exact" w:val="227"/>
        </w:trPr>
        <w:tc>
          <w:tcPr>
            <w:tcW w:w="8073" w:type="dxa"/>
            <w:tcBorders>
              <w:top w:val="nil"/>
              <w:left w:val="nil"/>
              <w:bottom w:val="nil"/>
              <w:right w:val="nil"/>
            </w:tcBorders>
            <w:shd w:val="clear" w:color="auto" w:fill="auto"/>
            <w:noWrap/>
            <w:vAlign w:val="center"/>
            <w:hideMark/>
          </w:tcPr>
          <w:p w14:paraId="6EF6BC7D" w14:textId="77777777" w:rsidR="00A8228D" w:rsidRPr="000C30F5" w:rsidRDefault="00A8228D"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Rendimento de Aplicação Financeira </w:t>
            </w:r>
            <w:r w:rsidRPr="000C30F5">
              <w:rPr>
                <w:rFonts w:ascii="Calibri" w:eastAsia="Times New Roman" w:hAnsi="Calibri" w:cs="Calibri"/>
                <w:color w:val="4472C4"/>
                <w:sz w:val="16"/>
                <w:szCs w:val="16"/>
              </w:rPr>
              <w:t>(Nota Explicativa 3)</w:t>
            </w:r>
          </w:p>
        </w:tc>
        <w:tc>
          <w:tcPr>
            <w:tcW w:w="1134" w:type="dxa"/>
            <w:tcBorders>
              <w:top w:val="nil"/>
              <w:left w:val="nil"/>
              <w:bottom w:val="nil"/>
              <w:right w:val="nil"/>
            </w:tcBorders>
            <w:shd w:val="clear" w:color="auto" w:fill="auto"/>
            <w:noWrap/>
            <w:vAlign w:val="center"/>
            <w:hideMark/>
          </w:tcPr>
          <w:p w14:paraId="0AA9FB07"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3.191.999</w:t>
            </w:r>
          </w:p>
        </w:tc>
        <w:tc>
          <w:tcPr>
            <w:tcW w:w="1134" w:type="dxa"/>
            <w:tcBorders>
              <w:top w:val="nil"/>
              <w:left w:val="nil"/>
              <w:bottom w:val="nil"/>
              <w:right w:val="nil"/>
            </w:tcBorders>
            <w:shd w:val="clear" w:color="auto" w:fill="auto"/>
            <w:noWrap/>
            <w:vAlign w:val="center"/>
            <w:hideMark/>
          </w:tcPr>
          <w:p w14:paraId="360FF982"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2.492.701</w:t>
            </w:r>
          </w:p>
        </w:tc>
      </w:tr>
      <w:tr w:rsidR="00A8228D" w:rsidRPr="000C30F5" w14:paraId="6FF67F88" w14:textId="77777777" w:rsidTr="0015311D">
        <w:trPr>
          <w:trHeight w:hRule="exact" w:val="227"/>
        </w:trPr>
        <w:tc>
          <w:tcPr>
            <w:tcW w:w="8073" w:type="dxa"/>
            <w:tcBorders>
              <w:top w:val="nil"/>
              <w:left w:val="nil"/>
              <w:bottom w:val="nil"/>
              <w:right w:val="nil"/>
            </w:tcBorders>
            <w:shd w:val="clear" w:color="auto" w:fill="auto"/>
            <w:noWrap/>
            <w:vAlign w:val="center"/>
            <w:hideMark/>
          </w:tcPr>
          <w:p w14:paraId="480AD17E" w14:textId="77777777" w:rsidR="00A8228D" w:rsidRPr="000C30F5" w:rsidRDefault="00A8228D"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Atualização Monetária dos Contratos de Permissão de Uso de Pátios </w:t>
            </w:r>
            <w:r w:rsidRPr="000C30F5">
              <w:rPr>
                <w:rFonts w:ascii="Calibri" w:eastAsia="Times New Roman" w:hAnsi="Calibri" w:cs="Calibri"/>
                <w:color w:val="4472C4"/>
                <w:sz w:val="16"/>
                <w:szCs w:val="16"/>
              </w:rPr>
              <w:t>(Nota Explicativa 4)</w:t>
            </w:r>
          </w:p>
        </w:tc>
        <w:tc>
          <w:tcPr>
            <w:tcW w:w="1134" w:type="dxa"/>
            <w:tcBorders>
              <w:top w:val="nil"/>
              <w:left w:val="nil"/>
              <w:bottom w:val="nil"/>
              <w:right w:val="nil"/>
            </w:tcBorders>
            <w:shd w:val="clear" w:color="auto" w:fill="auto"/>
            <w:noWrap/>
            <w:vAlign w:val="center"/>
            <w:hideMark/>
          </w:tcPr>
          <w:p w14:paraId="6213AB15"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996.790</w:t>
            </w:r>
          </w:p>
        </w:tc>
        <w:tc>
          <w:tcPr>
            <w:tcW w:w="1134" w:type="dxa"/>
            <w:tcBorders>
              <w:top w:val="nil"/>
              <w:left w:val="nil"/>
              <w:bottom w:val="nil"/>
              <w:right w:val="nil"/>
            </w:tcBorders>
            <w:shd w:val="clear" w:color="auto" w:fill="auto"/>
            <w:noWrap/>
            <w:vAlign w:val="center"/>
            <w:hideMark/>
          </w:tcPr>
          <w:p w14:paraId="27973C71"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662.168</w:t>
            </w:r>
          </w:p>
        </w:tc>
      </w:tr>
      <w:tr w:rsidR="00A8228D" w:rsidRPr="000C30F5" w14:paraId="3A423E91" w14:textId="77777777" w:rsidTr="0015311D">
        <w:trPr>
          <w:trHeight w:hRule="exact" w:val="227"/>
        </w:trPr>
        <w:tc>
          <w:tcPr>
            <w:tcW w:w="8073" w:type="dxa"/>
            <w:tcBorders>
              <w:top w:val="nil"/>
              <w:left w:val="nil"/>
              <w:bottom w:val="nil"/>
              <w:right w:val="nil"/>
            </w:tcBorders>
            <w:shd w:val="clear" w:color="auto" w:fill="auto"/>
            <w:noWrap/>
            <w:vAlign w:val="center"/>
            <w:hideMark/>
          </w:tcPr>
          <w:p w14:paraId="5E87855B" w14:textId="77777777" w:rsidR="00A8228D" w:rsidRPr="000C30F5" w:rsidRDefault="00A8228D"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Despesa Financeira de Arrendamento</w:t>
            </w:r>
          </w:p>
        </w:tc>
        <w:tc>
          <w:tcPr>
            <w:tcW w:w="1134" w:type="dxa"/>
            <w:tcBorders>
              <w:top w:val="nil"/>
              <w:left w:val="nil"/>
              <w:bottom w:val="nil"/>
              <w:right w:val="nil"/>
            </w:tcBorders>
            <w:shd w:val="clear" w:color="auto" w:fill="auto"/>
            <w:noWrap/>
            <w:vAlign w:val="center"/>
            <w:hideMark/>
          </w:tcPr>
          <w:p w14:paraId="1013E521"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(153.372)</w:t>
            </w:r>
          </w:p>
        </w:tc>
        <w:tc>
          <w:tcPr>
            <w:tcW w:w="1134" w:type="dxa"/>
            <w:tcBorders>
              <w:top w:val="nil"/>
              <w:left w:val="nil"/>
              <w:bottom w:val="nil"/>
              <w:right w:val="nil"/>
            </w:tcBorders>
            <w:shd w:val="clear" w:color="auto" w:fill="auto"/>
            <w:noWrap/>
            <w:vAlign w:val="center"/>
            <w:hideMark/>
          </w:tcPr>
          <w:p w14:paraId="6649DA22"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(335.467)</w:t>
            </w:r>
          </w:p>
        </w:tc>
      </w:tr>
      <w:tr w:rsidR="00A8228D" w:rsidRPr="000C30F5" w14:paraId="20ABB397" w14:textId="77777777" w:rsidTr="0015311D">
        <w:trPr>
          <w:trHeight w:hRule="exact" w:val="227"/>
        </w:trPr>
        <w:tc>
          <w:tcPr>
            <w:tcW w:w="8073" w:type="dxa"/>
            <w:tcBorders>
              <w:top w:val="nil"/>
              <w:left w:val="nil"/>
              <w:bottom w:val="nil"/>
              <w:right w:val="nil"/>
            </w:tcBorders>
            <w:shd w:val="clear" w:color="auto" w:fill="auto"/>
            <w:noWrap/>
            <w:vAlign w:val="center"/>
            <w:hideMark/>
          </w:tcPr>
          <w:p w14:paraId="1A670FF4" w14:textId="77777777" w:rsidR="00A8228D" w:rsidRPr="000C30F5" w:rsidRDefault="00A8228D"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 Despesa Financeira de Arrendamento de Pátios </w:t>
            </w:r>
            <w:r w:rsidRPr="000C30F5">
              <w:rPr>
                <w:rFonts w:ascii="Calibri" w:eastAsia="Times New Roman" w:hAnsi="Calibri" w:cs="Calibri"/>
                <w:color w:val="4472C4"/>
                <w:sz w:val="16"/>
                <w:szCs w:val="16"/>
              </w:rPr>
              <w:t>(Nota Explicativa 4)</w:t>
            </w:r>
          </w:p>
        </w:tc>
        <w:tc>
          <w:tcPr>
            <w:tcW w:w="1134" w:type="dxa"/>
            <w:tcBorders>
              <w:top w:val="nil"/>
              <w:left w:val="nil"/>
              <w:bottom w:val="nil"/>
              <w:right w:val="nil"/>
            </w:tcBorders>
            <w:shd w:val="clear" w:color="auto" w:fill="auto"/>
            <w:noWrap/>
            <w:vAlign w:val="center"/>
            <w:hideMark/>
          </w:tcPr>
          <w:p w14:paraId="7EDBBDDB"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(145.905)</w:t>
            </w:r>
          </w:p>
        </w:tc>
        <w:tc>
          <w:tcPr>
            <w:tcW w:w="1134" w:type="dxa"/>
            <w:tcBorders>
              <w:top w:val="nil"/>
              <w:left w:val="nil"/>
              <w:bottom w:val="nil"/>
              <w:right w:val="nil"/>
            </w:tcBorders>
            <w:shd w:val="clear" w:color="auto" w:fill="auto"/>
            <w:noWrap/>
            <w:vAlign w:val="center"/>
            <w:hideMark/>
          </w:tcPr>
          <w:p w14:paraId="4F0F7FEE"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(17.577)</w:t>
            </w:r>
          </w:p>
        </w:tc>
      </w:tr>
      <w:tr w:rsidR="00A8228D" w:rsidRPr="000C30F5" w14:paraId="63F4B7F2" w14:textId="77777777" w:rsidTr="0015311D">
        <w:trPr>
          <w:trHeight w:hRule="exact" w:val="227"/>
        </w:trPr>
        <w:tc>
          <w:tcPr>
            <w:tcW w:w="8073" w:type="dxa"/>
            <w:tcBorders>
              <w:top w:val="nil"/>
              <w:left w:val="nil"/>
              <w:bottom w:val="nil"/>
              <w:right w:val="nil"/>
            </w:tcBorders>
            <w:shd w:val="clear" w:color="auto" w:fill="auto"/>
            <w:noWrap/>
            <w:vAlign w:val="center"/>
            <w:hideMark/>
          </w:tcPr>
          <w:p w14:paraId="7615716F" w14:textId="77777777" w:rsidR="00A8228D" w:rsidRPr="000C30F5" w:rsidRDefault="00A8228D"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 Outras Despesas Financeiras</w:t>
            </w:r>
          </w:p>
        </w:tc>
        <w:tc>
          <w:tcPr>
            <w:tcW w:w="1134" w:type="dxa"/>
            <w:tcBorders>
              <w:top w:val="nil"/>
              <w:left w:val="nil"/>
              <w:bottom w:val="nil"/>
              <w:right w:val="nil"/>
            </w:tcBorders>
            <w:shd w:val="clear" w:color="auto" w:fill="auto"/>
            <w:noWrap/>
            <w:vAlign w:val="center"/>
            <w:hideMark/>
          </w:tcPr>
          <w:p w14:paraId="2FAD9767"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(44.086)</w:t>
            </w:r>
          </w:p>
        </w:tc>
        <w:tc>
          <w:tcPr>
            <w:tcW w:w="1134" w:type="dxa"/>
            <w:tcBorders>
              <w:top w:val="nil"/>
              <w:left w:val="nil"/>
              <w:bottom w:val="nil"/>
              <w:right w:val="nil"/>
            </w:tcBorders>
            <w:shd w:val="clear" w:color="auto" w:fill="auto"/>
            <w:noWrap/>
            <w:vAlign w:val="center"/>
            <w:hideMark/>
          </w:tcPr>
          <w:p w14:paraId="3196096F" w14:textId="77777777" w:rsidR="00A8228D" w:rsidRPr="000C30F5" w:rsidRDefault="00A8228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(7)</w:t>
            </w:r>
          </w:p>
        </w:tc>
      </w:tr>
      <w:tr w:rsidR="00A8228D" w:rsidRPr="000C30F5" w14:paraId="2FD66DAD" w14:textId="77777777" w:rsidTr="0015311D">
        <w:trPr>
          <w:trHeight w:hRule="exact" w:val="227"/>
        </w:trPr>
        <w:tc>
          <w:tcPr>
            <w:tcW w:w="8073" w:type="dxa"/>
            <w:tcBorders>
              <w:top w:val="single" w:sz="8" w:space="0" w:color="auto"/>
              <w:left w:val="nil"/>
              <w:bottom w:val="single" w:sz="8" w:space="0" w:color="auto"/>
              <w:right w:val="nil"/>
            </w:tcBorders>
            <w:shd w:val="clear" w:color="000000" w:fill="DDEBF7"/>
            <w:noWrap/>
            <w:vAlign w:val="center"/>
            <w:hideMark/>
          </w:tcPr>
          <w:p w14:paraId="3E41A9D6" w14:textId="77777777" w:rsidR="00A8228D" w:rsidRPr="000C30F5" w:rsidRDefault="00A8228D"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781D584C" w14:textId="77777777" w:rsidR="00A8228D" w:rsidRPr="000C30F5" w:rsidRDefault="00A8228D"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3.845.426</w:t>
            </w:r>
          </w:p>
        </w:tc>
        <w:tc>
          <w:tcPr>
            <w:tcW w:w="1134" w:type="dxa"/>
            <w:tcBorders>
              <w:top w:val="single" w:sz="8" w:space="0" w:color="auto"/>
              <w:left w:val="nil"/>
              <w:bottom w:val="single" w:sz="8" w:space="0" w:color="auto"/>
              <w:right w:val="nil"/>
            </w:tcBorders>
            <w:shd w:val="clear" w:color="000000" w:fill="DDEBF7"/>
            <w:noWrap/>
            <w:vAlign w:val="center"/>
            <w:hideMark/>
          </w:tcPr>
          <w:p w14:paraId="18D1487C" w14:textId="77777777" w:rsidR="00A8228D" w:rsidRPr="000C30F5" w:rsidRDefault="00A8228D"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2.801.820</w:t>
            </w:r>
          </w:p>
        </w:tc>
      </w:tr>
    </w:tbl>
    <w:p w14:paraId="4CD53B42" w14:textId="77777777" w:rsidR="00344AAF" w:rsidRPr="000C30F5" w:rsidRDefault="00344AAF" w:rsidP="008C1A5A">
      <w:pPr>
        <w:spacing w:before="120" w:line="240" w:lineRule="auto"/>
        <w:jc w:val="both"/>
        <w:rPr>
          <w:rFonts w:cstheme="minorHAnsi"/>
          <w:sz w:val="20"/>
        </w:rPr>
      </w:pPr>
      <w:r w:rsidRPr="000C30F5">
        <w:rPr>
          <w:rFonts w:cstheme="minorHAnsi"/>
          <w:sz w:val="20"/>
        </w:rPr>
        <w:t>As receitas financeiras da Infra S.A. reconhecidas são provindas das atualizações monetárias sobre os direitos a receber dos Contratos de Permissões de Uso de Pátios, bem como dos rendimentos de aplicação financeira de recursos próprios na Conta Única do Tesouro, iniciada em janeiro de 2023.</w:t>
      </w:r>
    </w:p>
    <w:p w14:paraId="37445C4A" w14:textId="55B66052" w:rsidR="00816487" w:rsidRDefault="00344AAF" w:rsidP="008C1A5A">
      <w:pPr>
        <w:spacing w:before="120" w:after="0" w:line="240" w:lineRule="auto"/>
        <w:jc w:val="both"/>
        <w:rPr>
          <w:rFonts w:cstheme="minorHAnsi"/>
          <w:sz w:val="20"/>
        </w:rPr>
      </w:pPr>
      <w:r w:rsidRPr="000C30F5">
        <w:rPr>
          <w:rFonts w:cstheme="minorHAnsi"/>
          <w:sz w:val="20"/>
        </w:rPr>
        <w:t>As despesas financeiras decorrem</w:t>
      </w:r>
      <w:r w:rsidR="00C13153">
        <w:rPr>
          <w:rFonts w:cstheme="minorHAnsi"/>
          <w:sz w:val="20"/>
        </w:rPr>
        <w:t>,</w:t>
      </w:r>
      <w:r w:rsidRPr="000C30F5">
        <w:rPr>
          <w:rFonts w:cstheme="minorHAnsi"/>
          <w:sz w:val="20"/>
        </w:rPr>
        <w:t xml:space="preserve"> principalmente</w:t>
      </w:r>
      <w:r w:rsidR="00C13153">
        <w:rPr>
          <w:rFonts w:cstheme="minorHAnsi"/>
          <w:sz w:val="20"/>
        </w:rPr>
        <w:t>,</w:t>
      </w:r>
      <w:r w:rsidRPr="000C30F5">
        <w:rPr>
          <w:rFonts w:cstheme="minorHAnsi"/>
          <w:sz w:val="20"/>
        </w:rPr>
        <w:t xml:space="preserve"> do reconhecimento do direito de uso do passivo de arrendamento, referente à locação do imóve</w:t>
      </w:r>
      <w:r w:rsidR="00BA0D7E">
        <w:rPr>
          <w:rFonts w:cstheme="minorHAnsi"/>
          <w:sz w:val="20"/>
        </w:rPr>
        <w:t>l</w:t>
      </w:r>
      <w:r w:rsidRPr="000C30F5">
        <w:rPr>
          <w:rFonts w:cstheme="minorHAnsi"/>
          <w:sz w:val="20"/>
        </w:rPr>
        <w:t xml:space="preserve"> da Sede e</w:t>
      </w:r>
      <w:r w:rsidR="00A7622A">
        <w:rPr>
          <w:rFonts w:cstheme="minorHAnsi"/>
          <w:sz w:val="20"/>
        </w:rPr>
        <w:t>, até outubro de 2023 da</w:t>
      </w:r>
      <w:r w:rsidRPr="000C30F5">
        <w:rPr>
          <w:rFonts w:cstheme="minorHAnsi"/>
          <w:sz w:val="20"/>
        </w:rPr>
        <w:t xml:space="preserve"> filial da Infra S.A., conforme evidenciado na Nota Explicativa 21, além dos contratos de arrendamentos relativos às Permissões de Uso de Pátios da Infra S.A., conforme Nota Explicativa 4.</w:t>
      </w:r>
    </w:p>
    <w:p w14:paraId="57011A8B" w14:textId="5156A49C" w:rsidR="00035F16" w:rsidRPr="000C30F5" w:rsidRDefault="00035F16" w:rsidP="008C1A5A">
      <w:pPr>
        <w:spacing w:before="120" w:after="0" w:line="240" w:lineRule="auto"/>
        <w:jc w:val="both"/>
        <w:rPr>
          <w:rFonts w:cstheme="minorHAnsi"/>
          <w:sz w:val="20"/>
        </w:rPr>
      </w:pPr>
      <w:r w:rsidRPr="009F1C4A">
        <w:rPr>
          <w:rFonts w:cstheme="minorHAnsi"/>
          <w:sz w:val="20"/>
        </w:rPr>
        <w:t>Cumpre destacar em 31 de outubro de 2023, houve a baixa do Direito de Uso e do Passivo de Arrendamento da filial devido a entrega do imóvel do locado</w:t>
      </w:r>
      <w:r w:rsidR="00E513F4">
        <w:rPr>
          <w:rFonts w:cstheme="minorHAnsi"/>
          <w:sz w:val="20"/>
        </w:rPr>
        <w:t xml:space="preserve">, razão </w:t>
      </w:r>
      <w:r w:rsidR="00893265">
        <w:rPr>
          <w:rFonts w:cstheme="minorHAnsi"/>
          <w:sz w:val="20"/>
        </w:rPr>
        <w:t>da diminuição da despesa no período</w:t>
      </w:r>
      <w:r w:rsidRPr="009F1C4A">
        <w:rPr>
          <w:rFonts w:cstheme="minorHAnsi"/>
          <w:sz w:val="20"/>
        </w:rPr>
        <w:t>.</w:t>
      </w:r>
    </w:p>
    <w:p w14:paraId="626AE93B" w14:textId="77777777" w:rsidR="00344AAF" w:rsidRPr="008C1A5A" w:rsidRDefault="00344AAF" w:rsidP="008C1A5A">
      <w:pPr>
        <w:spacing w:after="0" w:line="240" w:lineRule="auto"/>
        <w:jc w:val="both"/>
        <w:rPr>
          <w:rFonts w:cstheme="minorHAnsi"/>
          <w:sz w:val="20"/>
        </w:rPr>
      </w:pPr>
    </w:p>
    <w:p w14:paraId="2C64FB5C" w14:textId="675655B9" w:rsidR="00E71553" w:rsidRPr="000C30F5" w:rsidRDefault="00DB2716" w:rsidP="000C30F5">
      <w:pPr>
        <w:pStyle w:val="Ttulo1"/>
      </w:pPr>
      <w:bookmarkStart w:id="99" w:name="_Toc184926703"/>
      <w:r w:rsidRPr="000C30F5">
        <w:t>3</w:t>
      </w:r>
      <w:r w:rsidR="00454BFD">
        <w:t>4</w:t>
      </w:r>
      <w:r w:rsidR="00E71553" w:rsidRPr="000C30F5">
        <w:t xml:space="preserve"> – </w:t>
      </w:r>
      <w:r w:rsidRPr="000C30F5">
        <w:t xml:space="preserve">Subvenção </w:t>
      </w:r>
      <w:r w:rsidR="00AC75DE" w:rsidRPr="000C30F5">
        <w:t>d</w:t>
      </w:r>
      <w:r w:rsidRPr="000C30F5">
        <w:t xml:space="preserve">o Tesouro Nacional – Repasse </w:t>
      </w:r>
      <w:r w:rsidR="00AC75DE" w:rsidRPr="000C30F5">
        <w:t>p</w:t>
      </w:r>
      <w:r w:rsidRPr="000C30F5">
        <w:t xml:space="preserve">ara Custeio </w:t>
      </w:r>
      <w:r w:rsidR="00AC75DE" w:rsidRPr="000C30F5">
        <w:t>e</w:t>
      </w:r>
      <w:r w:rsidRPr="000C30F5">
        <w:t xml:space="preserve"> Pessoal</w:t>
      </w:r>
      <w:bookmarkEnd w:id="99"/>
    </w:p>
    <w:p w14:paraId="676C0766" w14:textId="22F4AA8B" w:rsidR="005A6BC3" w:rsidRDefault="00E71553" w:rsidP="000C30F5">
      <w:pPr>
        <w:spacing w:before="120"/>
        <w:jc w:val="both"/>
        <w:rPr>
          <w:rFonts w:cstheme="minorHAnsi"/>
          <w:sz w:val="20"/>
        </w:rPr>
      </w:pPr>
      <w:r w:rsidRPr="000C30F5">
        <w:rPr>
          <w:rFonts w:cstheme="minorHAnsi"/>
          <w:sz w:val="20"/>
        </w:rPr>
        <w:t xml:space="preserve">A subvenção para custeio e pessoal repassada à Infra S.A. pela Secretaria do Tesouro Nacional </w:t>
      </w:r>
      <w:r w:rsidR="000048FC" w:rsidRPr="000C30F5">
        <w:rPr>
          <w:rFonts w:cstheme="minorHAnsi"/>
          <w:sz w:val="20"/>
        </w:rPr>
        <w:t>–</w:t>
      </w:r>
      <w:r w:rsidR="0073038F" w:rsidRPr="000C30F5">
        <w:rPr>
          <w:rFonts w:cstheme="minorHAnsi"/>
          <w:sz w:val="20"/>
        </w:rPr>
        <w:t xml:space="preserve"> STN</w:t>
      </w:r>
      <w:r w:rsidRPr="000C30F5">
        <w:rPr>
          <w:rFonts w:cstheme="minorHAnsi"/>
          <w:sz w:val="20"/>
        </w:rPr>
        <w:t xml:space="preserve"> totalizou, no </w:t>
      </w:r>
      <w:r w:rsidR="0030188E" w:rsidRPr="000C30F5">
        <w:rPr>
          <w:rFonts w:cstheme="minorHAnsi"/>
          <w:sz w:val="20"/>
        </w:rPr>
        <w:t>primeiro trimestre de 2024</w:t>
      </w:r>
      <w:r w:rsidRPr="000C30F5">
        <w:rPr>
          <w:rFonts w:cstheme="minorHAnsi"/>
          <w:sz w:val="20"/>
        </w:rPr>
        <w:t xml:space="preserve">, R$ </w:t>
      </w:r>
      <w:r w:rsidR="002247DF" w:rsidRPr="000C30F5">
        <w:rPr>
          <w:rFonts w:cstheme="minorHAnsi"/>
          <w:sz w:val="20"/>
        </w:rPr>
        <w:t xml:space="preserve">58,17 </w:t>
      </w:r>
      <w:r w:rsidR="00B56749" w:rsidRPr="000C30F5">
        <w:rPr>
          <w:rFonts w:cstheme="minorHAnsi"/>
          <w:sz w:val="20"/>
        </w:rPr>
        <w:t>milhões</w:t>
      </w:r>
      <w:r w:rsidR="00C65B84" w:rsidRPr="000C30F5">
        <w:rPr>
          <w:rFonts w:cstheme="minorHAnsi"/>
          <w:sz w:val="20"/>
        </w:rPr>
        <w:t xml:space="preserve">. </w:t>
      </w:r>
    </w:p>
    <w:p w14:paraId="4F4D2649" w14:textId="70C65280" w:rsidR="004211DC" w:rsidRPr="000C30F5" w:rsidRDefault="004211DC" w:rsidP="000C30F5">
      <w:pPr>
        <w:spacing w:before="120"/>
        <w:jc w:val="both"/>
        <w:rPr>
          <w:rFonts w:cstheme="minorHAnsi"/>
          <w:sz w:val="20"/>
        </w:rPr>
      </w:pPr>
      <w:r w:rsidRPr="000E6031">
        <w:rPr>
          <w:rFonts w:cstheme="minorHAnsi"/>
          <w:sz w:val="20"/>
        </w:rPr>
        <w:t>O aumento deve-se</w:t>
      </w:r>
      <w:r w:rsidR="00C674A6">
        <w:rPr>
          <w:rFonts w:cstheme="minorHAnsi"/>
          <w:sz w:val="20"/>
        </w:rPr>
        <w:t>, principalmente, em razão do pagamento de despesa</w:t>
      </w:r>
      <w:r w:rsidR="004D371B">
        <w:rPr>
          <w:rFonts w:cstheme="minorHAnsi"/>
          <w:sz w:val="20"/>
        </w:rPr>
        <w:t xml:space="preserve">s gerais e administrativas, tais quais </w:t>
      </w:r>
      <w:r w:rsidR="005745A3">
        <w:rPr>
          <w:rFonts w:cstheme="minorHAnsi"/>
          <w:sz w:val="20"/>
        </w:rPr>
        <w:t xml:space="preserve">contratação de </w:t>
      </w:r>
      <w:r w:rsidR="001520CE">
        <w:rPr>
          <w:rFonts w:cstheme="minorHAnsi"/>
          <w:sz w:val="20"/>
        </w:rPr>
        <w:t xml:space="preserve">serviço de apoio administrativo, </w:t>
      </w:r>
      <w:r w:rsidR="004D371B">
        <w:rPr>
          <w:rFonts w:cstheme="minorHAnsi"/>
          <w:sz w:val="20"/>
        </w:rPr>
        <w:t>aquisição de</w:t>
      </w:r>
      <w:r w:rsidR="006C779E">
        <w:rPr>
          <w:rFonts w:cstheme="minorHAnsi"/>
          <w:sz w:val="20"/>
        </w:rPr>
        <w:t xml:space="preserve"> licença</w:t>
      </w:r>
      <w:r w:rsidR="001520CE">
        <w:rPr>
          <w:rFonts w:cstheme="minorHAnsi"/>
          <w:sz w:val="20"/>
        </w:rPr>
        <w:t>s</w:t>
      </w:r>
      <w:r w:rsidR="00B91140">
        <w:rPr>
          <w:rFonts w:cstheme="minorHAnsi"/>
          <w:sz w:val="20"/>
        </w:rPr>
        <w:t xml:space="preserve"> de</w:t>
      </w:r>
      <w:r w:rsidR="004D371B">
        <w:rPr>
          <w:rFonts w:cstheme="minorHAnsi"/>
          <w:sz w:val="20"/>
        </w:rPr>
        <w:t xml:space="preserve"> software e serviços de </w:t>
      </w:r>
      <w:r w:rsidR="004D371B" w:rsidRPr="000C30F5">
        <w:rPr>
          <w:rFonts w:cstheme="minorHAnsi"/>
          <w:sz w:val="20"/>
        </w:rPr>
        <w:t>Tecnologia da Informação e Comunicação</w:t>
      </w:r>
      <w:r w:rsidR="009B3E66">
        <w:rPr>
          <w:rFonts w:cstheme="minorHAnsi"/>
          <w:sz w:val="20"/>
        </w:rPr>
        <w:t xml:space="preserve"> (N</w:t>
      </w:r>
      <w:r w:rsidR="00025311">
        <w:rPr>
          <w:rFonts w:cstheme="minorHAnsi"/>
          <w:sz w:val="20"/>
        </w:rPr>
        <w:t>ota Explicativa nº 30</w:t>
      </w:r>
      <w:r w:rsidR="009B3E66">
        <w:rPr>
          <w:rFonts w:cstheme="minorHAnsi"/>
          <w:sz w:val="20"/>
        </w:rPr>
        <w:t>)</w:t>
      </w:r>
      <w:r w:rsidR="00F769A9">
        <w:rPr>
          <w:rFonts w:cstheme="minorHAnsi"/>
          <w:sz w:val="20"/>
        </w:rPr>
        <w:t>, bem como para o pagamento de IRPJ e CSLL</w:t>
      </w:r>
      <w:r w:rsidR="009B3E66">
        <w:rPr>
          <w:rFonts w:cstheme="minorHAnsi"/>
          <w:sz w:val="20"/>
        </w:rPr>
        <w:t xml:space="preserve"> (Nota Explicativa nº 34).</w:t>
      </w:r>
    </w:p>
    <w:tbl>
      <w:tblPr>
        <w:tblW w:w="5000" w:type="pct"/>
        <w:tblCellMar>
          <w:left w:w="70" w:type="dxa"/>
          <w:right w:w="70" w:type="dxa"/>
        </w:tblCellMar>
        <w:tblLook w:val="04A0" w:firstRow="1" w:lastRow="0" w:firstColumn="1" w:lastColumn="0" w:noHBand="0" w:noVBand="1"/>
      </w:tblPr>
      <w:tblGrid>
        <w:gridCol w:w="7941"/>
        <w:gridCol w:w="1263"/>
        <w:gridCol w:w="1263"/>
      </w:tblGrid>
      <w:tr w:rsidR="00A92ED5" w:rsidRPr="000C30F5" w14:paraId="615E43FD" w14:textId="77777777" w:rsidTr="0015311D">
        <w:trPr>
          <w:trHeight w:hRule="exact" w:val="227"/>
        </w:trPr>
        <w:tc>
          <w:tcPr>
            <w:tcW w:w="7128" w:type="dxa"/>
            <w:tcBorders>
              <w:top w:val="nil"/>
              <w:left w:val="nil"/>
              <w:bottom w:val="single" w:sz="8" w:space="0" w:color="auto"/>
              <w:right w:val="nil"/>
            </w:tcBorders>
            <w:shd w:val="clear" w:color="000000" w:fill="DDEBF7"/>
            <w:vAlign w:val="center"/>
            <w:hideMark/>
          </w:tcPr>
          <w:p w14:paraId="1CC1ACD4" w14:textId="77777777" w:rsidR="00A92ED5" w:rsidRPr="000C30F5" w:rsidRDefault="00A92ED5"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 xml:space="preserve">REPASSE PARA CUSTEIO E PESSOAL </w:t>
            </w:r>
          </w:p>
        </w:tc>
        <w:tc>
          <w:tcPr>
            <w:tcW w:w="1134" w:type="dxa"/>
            <w:tcBorders>
              <w:top w:val="nil"/>
              <w:left w:val="nil"/>
              <w:bottom w:val="single" w:sz="8" w:space="0" w:color="auto"/>
              <w:right w:val="nil"/>
            </w:tcBorders>
            <w:shd w:val="clear" w:color="000000" w:fill="DDEBF7"/>
            <w:vAlign w:val="center"/>
            <w:hideMark/>
          </w:tcPr>
          <w:p w14:paraId="4D0FF2FE" w14:textId="55AE0481" w:rsidR="00A92ED5" w:rsidRPr="000C30F5" w:rsidRDefault="00A92ED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77E9DA07" w14:textId="77777777" w:rsidR="00A92ED5" w:rsidRPr="000C30F5" w:rsidRDefault="00A92ED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A92ED5" w:rsidRPr="000C30F5" w14:paraId="7C2B95A9" w14:textId="77777777" w:rsidTr="0015311D">
        <w:trPr>
          <w:trHeight w:hRule="exact" w:val="227"/>
        </w:trPr>
        <w:tc>
          <w:tcPr>
            <w:tcW w:w="7128" w:type="dxa"/>
            <w:tcBorders>
              <w:top w:val="nil"/>
              <w:left w:val="nil"/>
              <w:bottom w:val="nil"/>
              <w:right w:val="nil"/>
            </w:tcBorders>
            <w:shd w:val="clear" w:color="auto" w:fill="auto"/>
            <w:noWrap/>
            <w:vAlign w:val="center"/>
            <w:hideMark/>
          </w:tcPr>
          <w:p w14:paraId="78632E14" w14:textId="77777777" w:rsidR="00A92ED5" w:rsidRPr="000C30F5" w:rsidRDefault="00A92ED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Custeio</w:t>
            </w:r>
          </w:p>
        </w:tc>
        <w:tc>
          <w:tcPr>
            <w:tcW w:w="1134" w:type="dxa"/>
            <w:tcBorders>
              <w:top w:val="nil"/>
              <w:left w:val="nil"/>
              <w:bottom w:val="nil"/>
              <w:right w:val="nil"/>
            </w:tcBorders>
            <w:shd w:val="clear" w:color="auto" w:fill="auto"/>
            <w:vAlign w:val="center"/>
            <w:hideMark/>
          </w:tcPr>
          <w:p w14:paraId="0FEBA80F" w14:textId="1DD4269E" w:rsidR="00A92ED5" w:rsidRPr="000C30F5" w:rsidRDefault="00736CF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20.789.413</w:t>
            </w:r>
          </w:p>
        </w:tc>
        <w:tc>
          <w:tcPr>
            <w:tcW w:w="1134" w:type="dxa"/>
            <w:tcBorders>
              <w:top w:val="nil"/>
              <w:left w:val="nil"/>
              <w:bottom w:val="nil"/>
              <w:right w:val="nil"/>
            </w:tcBorders>
            <w:shd w:val="clear" w:color="auto" w:fill="auto"/>
            <w:vAlign w:val="center"/>
            <w:hideMark/>
          </w:tcPr>
          <w:p w14:paraId="5E9B056A" w14:textId="77777777" w:rsidR="00A92ED5" w:rsidRPr="000C30F5" w:rsidRDefault="00A92ED5"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9.514.777</w:t>
            </w:r>
          </w:p>
        </w:tc>
      </w:tr>
      <w:tr w:rsidR="00A92ED5" w:rsidRPr="000C30F5" w14:paraId="03654F36" w14:textId="77777777" w:rsidTr="0015311D">
        <w:trPr>
          <w:trHeight w:hRule="exact" w:val="227"/>
        </w:trPr>
        <w:tc>
          <w:tcPr>
            <w:tcW w:w="7128" w:type="dxa"/>
            <w:tcBorders>
              <w:top w:val="nil"/>
              <w:left w:val="nil"/>
              <w:bottom w:val="nil"/>
              <w:right w:val="nil"/>
            </w:tcBorders>
            <w:shd w:val="clear" w:color="auto" w:fill="auto"/>
            <w:noWrap/>
            <w:vAlign w:val="center"/>
            <w:hideMark/>
          </w:tcPr>
          <w:p w14:paraId="2F1972A6" w14:textId="77777777" w:rsidR="00A92ED5" w:rsidRPr="000C30F5" w:rsidRDefault="00A92ED5"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Pessoal</w:t>
            </w:r>
          </w:p>
        </w:tc>
        <w:tc>
          <w:tcPr>
            <w:tcW w:w="1134" w:type="dxa"/>
            <w:tcBorders>
              <w:top w:val="nil"/>
              <w:left w:val="nil"/>
              <w:bottom w:val="nil"/>
              <w:right w:val="nil"/>
            </w:tcBorders>
            <w:shd w:val="clear" w:color="auto" w:fill="auto"/>
            <w:vAlign w:val="center"/>
            <w:hideMark/>
          </w:tcPr>
          <w:p w14:paraId="7E5026B0" w14:textId="634D0C0C" w:rsidR="00A92ED5" w:rsidRPr="000C30F5" w:rsidRDefault="00736CF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37.383.568</w:t>
            </w:r>
            <w:r>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63E92CB7" w14:textId="77777777" w:rsidR="00A92ED5" w:rsidRPr="000C30F5" w:rsidRDefault="00A92ED5"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38.184.821</w:t>
            </w:r>
          </w:p>
        </w:tc>
      </w:tr>
      <w:tr w:rsidR="00A92ED5" w:rsidRPr="000C30F5" w14:paraId="3AFF251C" w14:textId="77777777" w:rsidTr="0015311D">
        <w:trPr>
          <w:trHeight w:hRule="exact" w:val="227"/>
        </w:trPr>
        <w:tc>
          <w:tcPr>
            <w:tcW w:w="7128" w:type="dxa"/>
            <w:tcBorders>
              <w:top w:val="single" w:sz="8" w:space="0" w:color="auto"/>
              <w:left w:val="nil"/>
              <w:bottom w:val="single" w:sz="8" w:space="0" w:color="auto"/>
              <w:right w:val="nil"/>
            </w:tcBorders>
            <w:shd w:val="clear" w:color="000000" w:fill="DDEBF7"/>
            <w:noWrap/>
            <w:vAlign w:val="center"/>
            <w:hideMark/>
          </w:tcPr>
          <w:p w14:paraId="609C7F37" w14:textId="77777777" w:rsidR="00A92ED5" w:rsidRPr="000C30F5" w:rsidRDefault="00A92ED5"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DEBF7"/>
            <w:noWrap/>
            <w:vAlign w:val="center"/>
            <w:hideMark/>
          </w:tcPr>
          <w:p w14:paraId="6EC94E73" w14:textId="77777777" w:rsidR="00A92ED5" w:rsidRPr="000C30F5" w:rsidRDefault="00A92ED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58.172.981</w:t>
            </w:r>
          </w:p>
        </w:tc>
        <w:tc>
          <w:tcPr>
            <w:tcW w:w="1134" w:type="dxa"/>
            <w:tcBorders>
              <w:top w:val="single" w:sz="8" w:space="0" w:color="auto"/>
              <w:left w:val="nil"/>
              <w:bottom w:val="single" w:sz="8" w:space="0" w:color="auto"/>
              <w:right w:val="nil"/>
            </w:tcBorders>
            <w:shd w:val="clear" w:color="000000" w:fill="DDEBF7"/>
            <w:noWrap/>
            <w:vAlign w:val="center"/>
            <w:hideMark/>
          </w:tcPr>
          <w:p w14:paraId="3BD37A14" w14:textId="77777777" w:rsidR="00A92ED5" w:rsidRPr="000C30F5" w:rsidRDefault="00A92ED5"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47.699.598</w:t>
            </w:r>
          </w:p>
        </w:tc>
      </w:tr>
    </w:tbl>
    <w:p w14:paraId="43BD97FE" w14:textId="77777777" w:rsidR="009B3E66" w:rsidRDefault="009B3E66" w:rsidP="009B3E66">
      <w:pPr>
        <w:spacing w:after="0"/>
      </w:pPr>
    </w:p>
    <w:p w14:paraId="3D3BF859" w14:textId="4EFE7EC8" w:rsidR="00F842F5" w:rsidRPr="000C30F5" w:rsidRDefault="00F842F5" w:rsidP="000C30F5">
      <w:pPr>
        <w:pStyle w:val="Ttulo1"/>
      </w:pPr>
      <w:bookmarkStart w:id="100" w:name="_Toc184926704"/>
      <w:r w:rsidRPr="000C30F5">
        <w:t>3</w:t>
      </w:r>
      <w:r w:rsidR="00454BFD">
        <w:t>5</w:t>
      </w:r>
      <w:r w:rsidRPr="000C30F5">
        <w:t xml:space="preserve"> – </w:t>
      </w:r>
      <w:r w:rsidR="001F39A5" w:rsidRPr="000C30F5">
        <w:t>Tributos Sobre o Lucro</w:t>
      </w:r>
      <w:bookmarkEnd w:id="100"/>
    </w:p>
    <w:p w14:paraId="40B3330B" w14:textId="7049C74E" w:rsidR="00F842F5" w:rsidRPr="000C30F5" w:rsidRDefault="00703C70" w:rsidP="000C30F5">
      <w:pPr>
        <w:spacing w:before="120"/>
        <w:jc w:val="both"/>
        <w:rPr>
          <w:rFonts w:cstheme="minorHAnsi"/>
          <w:sz w:val="20"/>
        </w:rPr>
      </w:pPr>
      <w:r w:rsidRPr="000C30F5">
        <w:rPr>
          <w:rFonts w:cstheme="minorHAnsi"/>
          <w:sz w:val="20"/>
        </w:rPr>
        <w:t xml:space="preserve">No </w:t>
      </w:r>
      <w:r w:rsidRPr="00291062">
        <w:rPr>
          <w:sz w:val="20"/>
          <w:szCs w:val="20"/>
        </w:rPr>
        <w:t>período</w:t>
      </w:r>
      <w:r>
        <w:rPr>
          <w:sz w:val="20"/>
          <w:szCs w:val="20"/>
        </w:rPr>
        <w:t xml:space="preserve"> </w:t>
      </w:r>
      <w:r w:rsidRPr="00291062">
        <w:rPr>
          <w:sz w:val="20"/>
          <w:szCs w:val="20"/>
        </w:rPr>
        <w:t xml:space="preserve">houve </w:t>
      </w:r>
      <w:r w:rsidR="00997554" w:rsidRPr="00291062">
        <w:rPr>
          <w:sz w:val="20"/>
          <w:szCs w:val="20"/>
        </w:rPr>
        <w:t xml:space="preserve">Lucro Fiscal </w:t>
      </w:r>
      <w:r w:rsidR="00894D0D">
        <w:rPr>
          <w:sz w:val="20"/>
          <w:szCs w:val="20"/>
        </w:rPr>
        <w:t>resultando na</w:t>
      </w:r>
      <w:r w:rsidR="00997554">
        <w:rPr>
          <w:sz w:val="20"/>
          <w:szCs w:val="20"/>
        </w:rPr>
        <w:t xml:space="preserve"> </w:t>
      </w:r>
      <w:r w:rsidR="00894D0D" w:rsidRPr="00291062">
        <w:rPr>
          <w:sz w:val="20"/>
          <w:szCs w:val="20"/>
        </w:rPr>
        <w:t xml:space="preserve">apuração de tributos relativos ao </w:t>
      </w:r>
      <w:r w:rsidR="00B93946" w:rsidRPr="00BF33AB">
        <w:rPr>
          <w:rFonts w:cstheme="minorHAnsi"/>
          <w:sz w:val="20"/>
          <w:shd w:val="clear" w:color="auto" w:fill="FFFFFF"/>
        </w:rPr>
        <w:t xml:space="preserve">Imposto de Renda Pessoa Jurídica – IRPJ e </w:t>
      </w:r>
      <w:r w:rsidR="00B93946">
        <w:rPr>
          <w:rFonts w:cstheme="minorHAnsi"/>
          <w:sz w:val="20"/>
          <w:shd w:val="clear" w:color="auto" w:fill="FFFFFF"/>
        </w:rPr>
        <w:t>à</w:t>
      </w:r>
      <w:r w:rsidR="00B93946" w:rsidRPr="00BF33AB">
        <w:rPr>
          <w:rFonts w:cstheme="minorHAnsi"/>
          <w:sz w:val="20"/>
          <w:shd w:val="clear" w:color="auto" w:fill="FFFFFF"/>
        </w:rPr>
        <w:t xml:space="preserve"> Contribuição Social sobre o Lucro Líquido – CSLL</w:t>
      </w:r>
      <w:r w:rsidR="00894D0D" w:rsidRPr="00291062">
        <w:rPr>
          <w:sz w:val="20"/>
          <w:szCs w:val="20"/>
        </w:rPr>
        <w:t>, calculados com base no Lucro Real Trimestral</w:t>
      </w:r>
      <w:r w:rsidR="00894D0D">
        <w:rPr>
          <w:sz w:val="20"/>
          <w:szCs w:val="20"/>
        </w:rPr>
        <w:t>, nos seguintes valores:</w:t>
      </w:r>
    </w:p>
    <w:tbl>
      <w:tblPr>
        <w:tblW w:w="5000" w:type="pct"/>
        <w:tblCellMar>
          <w:left w:w="70" w:type="dxa"/>
          <w:right w:w="70" w:type="dxa"/>
        </w:tblCellMar>
        <w:tblLook w:val="04A0" w:firstRow="1" w:lastRow="0" w:firstColumn="1" w:lastColumn="0" w:noHBand="0" w:noVBand="1"/>
      </w:tblPr>
      <w:tblGrid>
        <w:gridCol w:w="6379"/>
        <w:gridCol w:w="2835"/>
        <w:gridCol w:w="1253"/>
      </w:tblGrid>
      <w:tr w:rsidR="00E04863" w:rsidRPr="000C30F5" w14:paraId="07399021" w14:textId="77777777" w:rsidTr="00191171">
        <w:trPr>
          <w:trHeight w:val="227"/>
        </w:trPr>
        <w:tc>
          <w:tcPr>
            <w:tcW w:w="6379" w:type="dxa"/>
            <w:tcBorders>
              <w:top w:val="nil"/>
              <w:left w:val="nil"/>
              <w:bottom w:val="single" w:sz="8" w:space="0" w:color="auto"/>
              <w:right w:val="nil"/>
            </w:tcBorders>
            <w:shd w:val="clear" w:color="000000" w:fill="DEEAF6"/>
            <w:noWrap/>
            <w:vAlign w:val="center"/>
            <w:hideMark/>
          </w:tcPr>
          <w:p w14:paraId="305A9739" w14:textId="77777777" w:rsidR="00E04863" w:rsidRPr="000C30F5" w:rsidRDefault="00E04863"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TRIBUTOS SOBRE O LUCRO</w:t>
            </w:r>
          </w:p>
        </w:tc>
        <w:tc>
          <w:tcPr>
            <w:tcW w:w="2835" w:type="dxa"/>
            <w:tcBorders>
              <w:top w:val="nil"/>
              <w:left w:val="nil"/>
              <w:bottom w:val="single" w:sz="8" w:space="0" w:color="auto"/>
              <w:right w:val="nil"/>
            </w:tcBorders>
            <w:shd w:val="clear" w:color="000000" w:fill="DEEAF6"/>
            <w:noWrap/>
            <w:vAlign w:val="center"/>
            <w:hideMark/>
          </w:tcPr>
          <w:p w14:paraId="1E683F53" w14:textId="77777777" w:rsidR="00E04863" w:rsidRPr="000C30F5" w:rsidRDefault="00E04863"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253" w:type="dxa"/>
            <w:tcBorders>
              <w:top w:val="nil"/>
              <w:left w:val="nil"/>
              <w:bottom w:val="single" w:sz="8" w:space="0" w:color="auto"/>
              <w:right w:val="nil"/>
            </w:tcBorders>
            <w:shd w:val="clear" w:color="000000" w:fill="DEEAF6"/>
            <w:noWrap/>
            <w:vAlign w:val="center"/>
            <w:hideMark/>
          </w:tcPr>
          <w:p w14:paraId="20520FEC" w14:textId="77777777" w:rsidR="00E04863" w:rsidRPr="000C30F5" w:rsidRDefault="00E04863"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E04863" w:rsidRPr="000C30F5" w14:paraId="7A20BC73" w14:textId="77777777" w:rsidTr="00191171">
        <w:trPr>
          <w:trHeight w:val="227"/>
        </w:trPr>
        <w:tc>
          <w:tcPr>
            <w:tcW w:w="6379" w:type="dxa"/>
            <w:tcBorders>
              <w:top w:val="nil"/>
              <w:left w:val="nil"/>
              <w:bottom w:val="nil"/>
              <w:right w:val="nil"/>
            </w:tcBorders>
            <w:shd w:val="clear" w:color="auto" w:fill="auto"/>
            <w:noWrap/>
            <w:vAlign w:val="center"/>
            <w:hideMark/>
          </w:tcPr>
          <w:p w14:paraId="465AE8BA" w14:textId="77777777" w:rsidR="00E04863" w:rsidRPr="000C30F5" w:rsidRDefault="00E04863"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Imposto de Renda</w:t>
            </w:r>
          </w:p>
        </w:tc>
        <w:tc>
          <w:tcPr>
            <w:tcW w:w="2835" w:type="dxa"/>
            <w:tcBorders>
              <w:top w:val="nil"/>
              <w:left w:val="nil"/>
              <w:bottom w:val="nil"/>
              <w:right w:val="nil"/>
            </w:tcBorders>
            <w:shd w:val="clear" w:color="auto" w:fill="auto"/>
            <w:noWrap/>
            <w:vAlign w:val="center"/>
            <w:hideMark/>
          </w:tcPr>
          <w:p w14:paraId="289EFDE4" w14:textId="774F4AA5" w:rsidR="00E04863" w:rsidRPr="000C30F5" w:rsidRDefault="00E45D55" w:rsidP="000C30F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E45D55">
              <w:rPr>
                <w:rFonts w:ascii="Calibri" w:eastAsia="Times New Roman" w:hAnsi="Calibri" w:cs="Calibri"/>
                <w:color w:val="000000"/>
                <w:sz w:val="16"/>
                <w:szCs w:val="16"/>
              </w:rPr>
              <w:t>2</w:t>
            </w:r>
            <w:r>
              <w:rPr>
                <w:rFonts w:ascii="Calibri" w:eastAsia="Times New Roman" w:hAnsi="Calibri" w:cs="Calibri"/>
                <w:color w:val="000000"/>
                <w:sz w:val="16"/>
                <w:szCs w:val="16"/>
              </w:rPr>
              <w:t>.</w:t>
            </w:r>
            <w:r w:rsidRPr="00E45D55">
              <w:rPr>
                <w:rFonts w:ascii="Calibri" w:eastAsia="Times New Roman" w:hAnsi="Calibri" w:cs="Calibri"/>
                <w:color w:val="000000"/>
                <w:sz w:val="16"/>
                <w:szCs w:val="16"/>
              </w:rPr>
              <w:t>024</w:t>
            </w:r>
            <w:r>
              <w:rPr>
                <w:rFonts w:ascii="Calibri" w:eastAsia="Times New Roman" w:hAnsi="Calibri" w:cs="Calibri"/>
                <w:color w:val="000000"/>
                <w:sz w:val="16"/>
                <w:szCs w:val="16"/>
              </w:rPr>
              <w:t>.</w:t>
            </w:r>
            <w:r w:rsidRPr="00E45D55">
              <w:rPr>
                <w:rFonts w:ascii="Calibri" w:eastAsia="Times New Roman" w:hAnsi="Calibri" w:cs="Calibri"/>
                <w:color w:val="000000"/>
                <w:sz w:val="16"/>
                <w:szCs w:val="16"/>
              </w:rPr>
              <w:t>796</w:t>
            </w:r>
            <w:r>
              <w:rPr>
                <w:rFonts w:ascii="Calibri" w:eastAsia="Times New Roman" w:hAnsi="Calibri" w:cs="Calibri"/>
                <w:color w:val="000000"/>
                <w:sz w:val="16"/>
                <w:szCs w:val="16"/>
              </w:rPr>
              <w:t>)</w:t>
            </w:r>
          </w:p>
        </w:tc>
        <w:tc>
          <w:tcPr>
            <w:tcW w:w="1253" w:type="dxa"/>
            <w:tcBorders>
              <w:top w:val="nil"/>
              <w:left w:val="nil"/>
              <w:bottom w:val="nil"/>
              <w:right w:val="nil"/>
            </w:tcBorders>
            <w:shd w:val="clear" w:color="auto" w:fill="auto"/>
            <w:noWrap/>
            <w:vAlign w:val="center"/>
            <w:hideMark/>
          </w:tcPr>
          <w:p w14:paraId="767ED0E4" w14:textId="77777777" w:rsidR="00E04863" w:rsidRPr="000C30F5" w:rsidRDefault="00E04863"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p>
        </w:tc>
      </w:tr>
      <w:tr w:rsidR="00E04863" w:rsidRPr="000C30F5" w14:paraId="181C3E8A" w14:textId="77777777" w:rsidTr="00191171">
        <w:trPr>
          <w:trHeight w:val="227"/>
        </w:trPr>
        <w:tc>
          <w:tcPr>
            <w:tcW w:w="6379" w:type="dxa"/>
            <w:tcBorders>
              <w:top w:val="nil"/>
              <w:left w:val="nil"/>
              <w:bottom w:val="nil"/>
              <w:right w:val="nil"/>
            </w:tcBorders>
            <w:shd w:val="clear" w:color="auto" w:fill="auto"/>
            <w:noWrap/>
            <w:vAlign w:val="center"/>
            <w:hideMark/>
          </w:tcPr>
          <w:p w14:paraId="54EA9145" w14:textId="77777777" w:rsidR="00E04863" w:rsidRPr="000C30F5" w:rsidRDefault="00E04863"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Contribuição Social sobre o Lucro</w:t>
            </w:r>
          </w:p>
        </w:tc>
        <w:tc>
          <w:tcPr>
            <w:tcW w:w="2835" w:type="dxa"/>
            <w:tcBorders>
              <w:top w:val="nil"/>
              <w:left w:val="nil"/>
              <w:bottom w:val="nil"/>
              <w:right w:val="nil"/>
            </w:tcBorders>
            <w:shd w:val="clear" w:color="auto" w:fill="auto"/>
            <w:noWrap/>
            <w:vAlign w:val="center"/>
            <w:hideMark/>
          </w:tcPr>
          <w:p w14:paraId="45D3E9E5" w14:textId="2F5DB3AA" w:rsidR="00E04863" w:rsidRPr="000C30F5" w:rsidRDefault="00D22301" w:rsidP="000C30F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D22301">
              <w:rPr>
                <w:rFonts w:ascii="Calibri" w:eastAsia="Times New Roman" w:hAnsi="Calibri" w:cs="Calibri"/>
                <w:color w:val="000000"/>
                <w:sz w:val="16"/>
                <w:szCs w:val="16"/>
              </w:rPr>
              <w:t>731</w:t>
            </w:r>
            <w:r>
              <w:rPr>
                <w:rFonts w:ascii="Calibri" w:eastAsia="Times New Roman" w:hAnsi="Calibri" w:cs="Calibri"/>
                <w:color w:val="000000"/>
                <w:sz w:val="16"/>
                <w:szCs w:val="16"/>
              </w:rPr>
              <w:t>.</w:t>
            </w:r>
            <w:r w:rsidRPr="00D22301">
              <w:rPr>
                <w:rFonts w:ascii="Calibri" w:eastAsia="Times New Roman" w:hAnsi="Calibri" w:cs="Calibri"/>
                <w:color w:val="000000"/>
                <w:sz w:val="16"/>
                <w:szCs w:val="16"/>
              </w:rPr>
              <w:t>08</w:t>
            </w:r>
            <w:r>
              <w:rPr>
                <w:rFonts w:ascii="Calibri" w:eastAsia="Times New Roman" w:hAnsi="Calibri" w:cs="Calibri"/>
                <w:color w:val="000000"/>
                <w:sz w:val="16"/>
                <w:szCs w:val="16"/>
              </w:rPr>
              <w:t>7)</w:t>
            </w:r>
          </w:p>
        </w:tc>
        <w:tc>
          <w:tcPr>
            <w:tcW w:w="1253" w:type="dxa"/>
            <w:tcBorders>
              <w:top w:val="nil"/>
              <w:left w:val="nil"/>
              <w:bottom w:val="nil"/>
              <w:right w:val="nil"/>
            </w:tcBorders>
            <w:shd w:val="clear" w:color="auto" w:fill="auto"/>
            <w:noWrap/>
            <w:vAlign w:val="center"/>
            <w:hideMark/>
          </w:tcPr>
          <w:p w14:paraId="6DC0CA42" w14:textId="77777777" w:rsidR="00E04863" w:rsidRPr="000C30F5" w:rsidRDefault="00E04863"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p>
        </w:tc>
      </w:tr>
      <w:tr w:rsidR="00E04863" w:rsidRPr="000C30F5" w14:paraId="3B9C9CE5" w14:textId="77777777" w:rsidTr="00191171">
        <w:trPr>
          <w:trHeight w:val="227"/>
        </w:trPr>
        <w:tc>
          <w:tcPr>
            <w:tcW w:w="6379" w:type="dxa"/>
            <w:tcBorders>
              <w:top w:val="single" w:sz="8" w:space="0" w:color="auto"/>
              <w:left w:val="nil"/>
              <w:bottom w:val="single" w:sz="8" w:space="0" w:color="auto"/>
              <w:right w:val="nil"/>
            </w:tcBorders>
            <w:shd w:val="clear" w:color="000000" w:fill="DEEAF6"/>
            <w:noWrap/>
            <w:vAlign w:val="center"/>
            <w:hideMark/>
          </w:tcPr>
          <w:p w14:paraId="0E97F1A7" w14:textId="77777777" w:rsidR="00E04863" w:rsidRPr="000C30F5" w:rsidRDefault="00E04863"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 xml:space="preserve">TOTAL </w:t>
            </w:r>
          </w:p>
        </w:tc>
        <w:tc>
          <w:tcPr>
            <w:tcW w:w="2835" w:type="dxa"/>
            <w:tcBorders>
              <w:top w:val="single" w:sz="8" w:space="0" w:color="auto"/>
              <w:left w:val="nil"/>
              <w:bottom w:val="single" w:sz="8" w:space="0" w:color="auto"/>
              <w:right w:val="nil"/>
            </w:tcBorders>
            <w:shd w:val="clear" w:color="000000" w:fill="DEEAF6"/>
            <w:noWrap/>
            <w:vAlign w:val="center"/>
            <w:hideMark/>
          </w:tcPr>
          <w:p w14:paraId="761E4C03" w14:textId="492C37A9" w:rsidR="00E04863" w:rsidRPr="000C30F5" w:rsidRDefault="00D22301" w:rsidP="000C30F5">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D22301">
              <w:rPr>
                <w:rFonts w:ascii="Calibri" w:eastAsia="Times New Roman" w:hAnsi="Calibri" w:cs="Calibri"/>
                <w:b/>
                <w:bCs/>
                <w:color w:val="000000"/>
                <w:sz w:val="16"/>
                <w:szCs w:val="16"/>
              </w:rPr>
              <w:t>2</w:t>
            </w:r>
            <w:r>
              <w:rPr>
                <w:rFonts w:ascii="Calibri" w:eastAsia="Times New Roman" w:hAnsi="Calibri" w:cs="Calibri"/>
                <w:b/>
                <w:bCs/>
                <w:color w:val="000000"/>
                <w:sz w:val="16"/>
                <w:szCs w:val="16"/>
              </w:rPr>
              <w:t>.</w:t>
            </w:r>
            <w:r w:rsidRPr="00D22301">
              <w:rPr>
                <w:rFonts w:ascii="Calibri" w:eastAsia="Times New Roman" w:hAnsi="Calibri" w:cs="Calibri"/>
                <w:b/>
                <w:bCs/>
                <w:color w:val="000000"/>
                <w:sz w:val="16"/>
                <w:szCs w:val="16"/>
              </w:rPr>
              <w:t>755</w:t>
            </w:r>
            <w:r>
              <w:rPr>
                <w:rFonts w:ascii="Calibri" w:eastAsia="Times New Roman" w:hAnsi="Calibri" w:cs="Calibri"/>
                <w:b/>
                <w:bCs/>
                <w:color w:val="000000"/>
                <w:sz w:val="16"/>
                <w:szCs w:val="16"/>
              </w:rPr>
              <w:t>.</w:t>
            </w:r>
            <w:r w:rsidRPr="00D22301">
              <w:rPr>
                <w:rFonts w:ascii="Calibri" w:eastAsia="Times New Roman" w:hAnsi="Calibri" w:cs="Calibri"/>
                <w:b/>
                <w:bCs/>
                <w:color w:val="000000"/>
                <w:sz w:val="16"/>
                <w:szCs w:val="16"/>
              </w:rPr>
              <w:t>88</w:t>
            </w:r>
            <w:r w:rsidR="00487E98">
              <w:rPr>
                <w:rFonts w:ascii="Calibri" w:eastAsia="Times New Roman" w:hAnsi="Calibri" w:cs="Calibri"/>
                <w:b/>
                <w:bCs/>
                <w:color w:val="000000"/>
                <w:sz w:val="16"/>
                <w:szCs w:val="16"/>
              </w:rPr>
              <w:t>3)</w:t>
            </w:r>
          </w:p>
        </w:tc>
        <w:tc>
          <w:tcPr>
            <w:tcW w:w="1253" w:type="dxa"/>
            <w:tcBorders>
              <w:top w:val="single" w:sz="8" w:space="0" w:color="auto"/>
              <w:left w:val="nil"/>
              <w:bottom w:val="single" w:sz="8" w:space="0" w:color="auto"/>
              <w:right w:val="nil"/>
            </w:tcBorders>
            <w:shd w:val="clear" w:color="000000" w:fill="DEEAF6"/>
            <w:noWrap/>
            <w:vAlign w:val="center"/>
            <w:hideMark/>
          </w:tcPr>
          <w:p w14:paraId="0356FFB6" w14:textId="77777777" w:rsidR="00E04863" w:rsidRPr="000C30F5" w:rsidRDefault="00E04863"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w:t>
            </w:r>
          </w:p>
        </w:tc>
      </w:tr>
    </w:tbl>
    <w:p w14:paraId="178A2648" w14:textId="5E03712E" w:rsidR="004F3A2A" w:rsidRPr="000C30F5" w:rsidRDefault="00D77E97" w:rsidP="005F4FA0">
      <w:pPr>
        <w:spacing w:before="120" w:line="240" w:lineRule="auto"/>
        <w:ind w:right="-23"/>
        <w:jc w:val="both"/>
        <w:rPr>
          <w:rFonts w:cstheme="minorHAnsi"/>
          <w:sz w:val="20"/>
        </w:rPr>
      </w:pPr>
      <w:r>
        <w:rPr>
          <w:sz w:val="20"/>
          <w:szCs w:val="20"/>
        </w:rPr>
        <w:t xml:space="preserve"> </w:t>
      </w:r>
      <w:r w:rsidR="005F4FA0">
        <w:rPr>
          <w:sz w:val="20"/>
          <w:szCs w:val="20"/>
        </w:rPr>
        <w:t xml:space="preserve">Abaixo apresenta-se a </w:t>
      </w:r>
      <w:r w:rsidR="000766A3">
        <w:rPr>
          <w:sz w:val="20"/>
          <w:szCs w:val="20"/>
        </w:rPr>
        <w:t>apuração</w:t>
      </w:r>
      <w:r w:rsidR="005F4FA0">
        <w:rPr>
          <w:sz w:val="20"/>
          <w:szCs w:val="20"/>
        </w:rPr>
        <w:t xml:space="preserve"> de referidos tributos:</w:t>
      </w:r>
    </w:p>
    <w:tbl>
      <w:tblPr>
        <w:tblW w:w="5000" w:type="pct"/>
        <w:tblLayout w:type="fixed"/>
        <w:tblCellMar>
          <w:left w:w="70" w:type="dxa"/>
          <w:right w:w="70" w:type="dxa"/>
        </w:tblCellMar>
        <w:tblLook w:val="04A0" w:firstRow="1" w:lastRow="0" w:firstColumn="1" w:lastColumn="0" w:noHBand="0" w:noVBand="1"/>
      </w:tblPr>
      <w:tblGrid>
        <w:gridCol w:w="5355"/>
        <w:gridCol w:w="3860"/>
        <w:gridCol w:w="1252"/>
      </w:tblGrid>
      <w:tr w:rsidR="004F3A2A" w:rsidRPr="004F3A2A" w14:paraId="72508D23" w14:textId="77777777" w:rsidTr="0049127C">
        <w:trPr>
          <w:trHeight w:hRule="exact" w:val="227"/>
        </w:trPr>
        <w:tc>
          <w:tcPr>
            <w:tcW w:w="2558" w:type="pct"/>
            <w:tcBorders>
              <w:top w:val="nil"/>
              <w:left w:val="nil"/>
              <w:bottom w:val="single" w:sz="8" w:space="0" w:color="auto"/>
              <w:right w:val="nil"/>
            </w:tcBorders>
            <w:shd w:val="clear" w:color="000000" w:fill="DEEAF6"/>
            <w:noWrap/>
            <w:vAlign w:val="center"/>
            <w:hideMark/>
          </w:tcPr>
          <w:p w14:paraId="29EB6602" w14:textId="77777777" w:rsidR="004F3A2A" w:rsidRPr="004F3A2A" w:rsidRDefault="004F3A2A" w:rsidP="004F3A2A">
            <w:pPr>
              <w:spacing w:after="0" w:line="240" w:lineRule="auto"/>
              <w:rPr>
                <w:rFonts w:ascii="Calibri" w:eastAsia="Times New Roman" w:hAnsi="Calibri" w:cs="Calibri"/>
                <w:b/>
                <w:bCs/>
                <w:sz w:val="16"/>
                <w:szCs w:val="16"/>
              </w:rPr>
            </w:pPr>
            <w:r w:rsidRPr="004F3A2A">
              <w:rPr>
                <w:rFonts w:ascii="Calibri" w:eastAsia="Times New Roman" w:hAnsi="Calibri" w:cs="Calibri"/>
                <w:b/>
                <w:bCs/>
                <w:sz w:val="16"/>
                <w:szCs w:val="16"/>
              </w:rPr>
              <w:lastRenderedPageBreak/>
              <w:t> </w:t>
            </w:r>
          </w:p>
        </w:tc>
        <w:tc>
          <w:tcPr>
            <w:tcW w:w="1844" w:type="pct"/>
            <w:tcBorders>
              <w:top w:val="nil"/>
              <w:left w:val="nil"/>
              <w:bottom w:val="single" w:sz="8" w:space="0" w:color="auto"/>
              <w:right w:val="nil"/>
            </w:tcBorders>
            <w:shd w:val="clear" w:color="000000" w:fill="DEEAF6"/>
            <w:noWrap/>
            <w:vAlign w:val="center"/>
            <w:hideMark/>
          </w:tcPr>
          <w:p w14:paraId="46B52A00" w14:textId="77777777"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Apuração CSLL</w:t>
            </w:r>
          </w:p>
        </w:tc>
        <w:tc>
          <w:tcPr>
            <w:tcW w:w="599" w:type="pct"/>
            <w:tcBorders>
              <w:top w:val="nil"/>
              <w:left w:val="nil"/>
              <w:bottom w:val="single" w:sz="8" w:space="0" w:color="auto"/>
              <w:right w:val="nil"/>
            </w:tcBorders>
            <w:shd w:val="clear" w:color="000000" w:fill="DEEAF6"/>
            <w:noWrap/>
            <w:vAlign w:val="center"/>
            <w:hideMark/>
          </w:tcPr>
          <w:p w14:paraId="2F192295" w14:textId="77777777"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Apuração IRPJ</w:t>
            </w:r>
          </w:p>
        </w:tc>
      </w:tr>
      <w:tr w:rsidR="004F3A2A" w:rsidRPr="004F3A2A" w14:paraId="4D688E84" w14:textId="77777777" w:rsidTr="00A27576">
        <w:trPr>
          <w:trHeight w:hRule="exact" w:val="227"/>
        </w:trPr>
        <w:tc>
          <w:tcPr>
            <w:tcW w:w="2558" w:type="pct"/>
            <w:tcBorders>
              <w:top w:val="single" w:sz="8" w:space="0" w:color="auto"/>
              <w:left w:val="nil"/>
              <w:bottom w:val="single" w:sz="4" w:space="0" w:color="BFBFBF" w:themeColor="background1" w:themeShade="BF"/>
              <w:right w:val="nil"/>
            </w:tcBorders>
            <w:shd w:val="clear" w:color="auto" w:fill="auto"/>
            <w:noWrap/>
            <w:vAlign w:val="center"/>
            <w:hideMark/>
          </w:tcPr>
          <w:p w14:paraId="17435DD8" w14:textId="77777777" w:rsidR="004F3A2A" w:rsidRPr="009D5C47" w:rsidRDefault="004F3A2A" w:rsidP="004F3A2A">
            <w:pPr>
              <w:spacing w:after="0" w:line="240" w:lineRule="auto"/>
              <w:rPr>
                <w:rFonts w:ascii="Calibri" w:eastAsia="Times New Roman" w:hAnsi="Calibri" w:cs="Calibri"/>
                <w:sz w:val="16"/>
                <w:szCs w:val="16"/>
              </w:rPr>
            </w:pPr>
            <w:r w:rsidRPr="009D5C47">
              <w:rPr>
                <w:rFonts w:ascii="Calibri" w:eastAsia="Times New Roman" w:hAnsi="Calibri" w:cs="Calibri"/>
                <w:sz w:val="16"/>
                <w:szCs w:val="16"/>
              </w:rPr>
              <w:t>Lucro Líquido Antes da CSLL</w:t>
            </w:r>
          </w:p>
        </w:tc>
        <w:tc>
          <w:tcPr>
            <w:tcW w:w="1844" w:type="pct"/>
            <w:tcBorders>
              <w:top w:val="single" w:sz="8" w:space="0" w:color="auto"/>
              <w:left w:val="nil"/>
              <w:bottom w:val="single" w:sz="4" w:space="0" w:color="BFBFBF" w:themeColor="background1" w:themeShade="BF"/>
              <w:right w:val="nil"/>
            </w:tcBorders>
            <w:shd w:val="clear" w:color="auto" w:fill="auto"/>
            <w:noWrap/>
            <w:vAlign w:val="center"/>
            <w:hideMark/>
          </w:tcPr>
          <w:p w14:paraId="0E73F120" w14:textId="0A65F672" w:rsidR="004F3A2A" w:rsidRPr="009D5C47" w:rsidRDefault="004F3A2A" w:rsidP="004F3A2A">
            <w:pPr>
              <w:spacing w:after="0" w:line="240" w:lineRule="auto"/>
              <w:jc w:val="right"/>
              <w:rPr>
                <w:rFonts w:ascii="Calibri" w:eastAsia="Times New Roman" w:hAnsi="Calibri" w:cs="Calibri"/>
                <w:sz w:val="16"/>
                <w:szCs w:val="16"/>
              </w:rPr>
            </w:pPr>
            <w:r w:rsidRPr="009D5C47">
              <w:rPr>
                <w:rFonts w:ascii="Calibri" w:eastAsia="Times New Roman" w:hAnsi="Calibri" w:cs="Calibri"/>
                <w:sz w:val="16"/>
                <w:szCs w:val="16"/>
              </w:rPr>
              <w:t xml:space="preserve">33.968.020 </w:t>
            </w:r>
          </w:p>
        </w:tc>
        <w:tc>
          <w:tcPr>
            <w:tcW w:w="599" w:type="pct"/>
            <w:tcBorders>
              <w:top w:val="single" w:sz="8" w:space="0" w:color="auto"/>
              <w:left w:val="nil"/>
              <w:bottom w:val="single" w:sz="4" w:space="0" w:color="BFBFBF" w:themeColor="background1" w:themeShade="BF"/>
              <w:right w:val="nil"/>
            </w:tcBorders>
            <w:shd w:val="clear" w:color="auto" w:fill="auto"/>
            <w:vAlign w:val="center"/>
            <w:hideMark/>
          </w:tcPr>
          <w:p w14:paraId="10F6214F" w14:textId="77777777" w:rsidR="004F3A2A" w:rsidRPr="009D5C47" w:rsidRDefault="004F3A2A" w:rsidP="004F3A2A">
            <w:pPr>
              <w:spacing w:after="0" w:line="240" w:lineRule="auto"/>
              <w:jc w:val="right"/>
              <w:rPr>
                <w:rFonts w:ascii="Calibri" w:eastAsia="Times New Roman" w:hAnsi="Calibri" w:cs="Calibri"/>
                <w:sz w:val="16"/>
                <w:szCs w:val="16"/>
              </w:rPr>
            </w:pPr>
            <w:r w:rsidRPr="009D5C47">
              <w:rPr>
                <w:rFonts w:ascii="Calibri" w:eastAsia="Times New Roman" w:hAnsi="Calibri" w:cs="Calibri"/>
                <w:sz w:val="16"/>
                <w:szCs w:val="16"/>
              </w:rPr>
              <w:t> </w:t>
            </w:r>
          </w:p>
        </w:tc>
      </w:tr>
      <w:tr w:rsidR="004F3A2A" w:rsidRPr="004F3A2A" w14:paraId="1EC0379A" w14:textId="77777777" w:rsidTr="009D5C47">
        <w:trPr>
          <w:trHeight w:hRule="exact" w:val="227"/>
        </w:trPr>
        <w:tc>
          <w:tcPr>
            <w:tcW w:w="2558" w:type="pct"/>
            <w:tcBorders>
              <w:top w:val="single" w:sz="4" w:space="0" w:color="BFBFBF" w:themeColor="background1" w:themeShade="BF"/>
              <w:left w:val="nil"/>
              <w:bottom w:val="single" w:sz="8" w:space="0" w:color="auto"/>
              <w:right w:val="nil"/>
            </w:tcBorders>
            <w:shd w:val="clear" w:color="auto" w:fill="auto"/>
            <w:noWrap/>
            <w:vAlign w:val="center"/>
            <w:hideMark/>
          </w:tcPr>
          <w:p w14:paraId="3F304E59" w14:textId="77777777" w:rsidR="004F3A2A" w:rsidRPr="009D5C47" w:rsidRDefault="004F3A2A" w:rsidP="004F3A2A">
            <w:pPr>
              <w:spacing w:after="0" w:line="240" w:lineRule="auto"/>
              <w:rPr>
                <w:rFonts w:ascii="Calibri" w:eastAsia="Times New Roman" w:hAnsi="Calibri" w:cs="Calibri"/>
                <w:sz w:val="16"/>
                <w:szCs w:val="16"/>
              </w:rPr>
            </w:pPr>
            <w:r w:rsidRPr="009D5C47">
              <w:rPr>
                <w:rFonts w:ascii="Calibri" w:eastAsia="Times New Roman" w:hAnsi="Calibri" w:cs="Calibri"/>
                <w:sz w:val="16"/>
                <w:szCs w:val="16"/>
              </w:rPr>
              <w:t>Lucro Líquido Antes do IRPJ</w:t>
            </w:r>
          </w:p>
        </w:tc>
        <w:tc>
          <w:tcPr>
            <w:tcW w:w="1844" w:type="pct"/>
            <w:tcBorders>
              <w:top w:val="single" w:sz="4" w:space="0" w:color="BFBFBF" w:themeColor="background1" w:themeShade="BF"/>
              <w:left w:val="nil"/>
              <w:bottom w:val="single" w:sz="8" w:space="0" w:color="auto"/>
              <w:right w:val="nil"/>
            </w:tcBorders>
            <w:shd w:val="clear" w:color="auto" w:fill="auto"/>
            <w:noWrap/>
            <w:vAlign w:val="center"/>
            <w:hideMark/>
          </w:tcPr>
          <w:p w14:paraId="3B3A717E" w14:textId="77777777" w:rsidR="004F3A2A" w:rsidRPr="009D5C47" w:rsidRDefault="004F3A2A" w:rsidP="004F3A2A">
            <w:pPr>
              <w:spacing w:after="0" w:line="240" w:lineRule="auto"/>
              <w:jc w:val="right"/>
              <w:rPr>
                <w:rFonts w:ascii="Calibri" w:eastAsia="Times New Roman" w:hAnsi="Calibri" w:cs="Calibri"/>
                <w:sz w:val="16"/>
                <w:szCs w:val="16"/>
              </w:rPr>
            </w:pPr>
            <w:r w:rsidRPr="009D5C47">
              <w:rPr>
                <w:rFonts w:ascii="Calibri" w:eastAsia="Times New Roman" w:hAnsi="Calibri" w:cs="Calibri"/>
                <w:sz w:val="16"/>
                <w:szCs w:val="16"/>
              </w:rPr>
              <w:t> </w:t>
            </w:r>
          </w:p>
        </w:tc>
        <w:tc>
          <w:tcPr>
            <w:tcW w:w="599" w:type="pct"/>
            <w:tcBorders>
              <w:top w:val="single" w:sz="4" w:space="0" w:color="BFBFBF" w:themeColor="background1" w:themeShade="BF"/>
              <w:left w:val="nil"/>
              <w:bottom w:val="single" w:sz="8" w:space="0" w:color="auto"/>
              <w:right w:val="nil"/>
            </w:tcBorders>
            <w:shd w:val="clear" w:color="auto" w:fill="auto"/>
            <w:noWrap/>
            <w:vAlign w:val="center"/>
            <w:hideMark/>
          </w:tcPr>
          <w:p w14:paraId="4C20BB5A" w14:textId="5A81454E" w:rsidR="004F3A2A" w:rsidRPr="009D5C47" w:rsidRDefault="004F3A2A" w:rsidP="004F3A2A">
            <w:pPr>
              <w:spacing w:after="0" w:line="240" w:lineRule="auto"/>
              <w:jc w:val="right"/>
              <w:rPr>
                <w:rFonts w:ascii="Calibri" w:eastAsia="Times New Roman" w:hAnsi="Calibri" w:cs="Calibri"/>
                <w:sz w:val="16"/>
                <w:szCs w:val="16"/>
              </w:rPr>
            </w:pPr>
            <w:r w:rsidRPr="009D5C47">
              <w:rPr>
                <w:rFonts w:ascii="Calibri" w:eastAsia="Times New Roman" w:hAnsi="Calibri" w:cs="Calibri"/>
                <w:sz w:val="16"/>
                <w:szCs w:val="16"/>
              </w:rPr>
              <w:t xml:space="preserve">33.236.933 </w:t>
            </w:r>
          </w:p>
        </w:tc>
      </w:tr>
      <w:tr w:rsidR="004F3A2A" w:rsidRPr="004F3A2A" w14:paraId="140AB7EA" w14:textId="77777777" w:rsidTr="009D5C47">
        <w:trPr>
          <w:trHeight w:hRule="exact" w:val="227"/>
        </w:trPr>
        <w:tc>
          <w:tcPr>
            <w:tcW w:w="2558" w:type="pct"/>
            <w:tcBorders>
              <w:top w:val="single" w:sz="8" w:space="0" w:color="auto"/>
              <w:left w:val="nil"/>
              <w:bottom w:val="single" w:sz="6" w:space="0" w:color="BFBFBF" w:themeColor="background1" w:themeShade="BF"/>
              <w:right w:val="nil"/>
            </w:tcBorders>
            <w:shd w:val="clear" w:color="000000" w:fill="DEEAF6"/>
            <w:noWrap/>
            <w:vAlign w:val="center"/>
            <w:hideMark/>
          </w:tcPr>
          <w:p w14:paraId="4F21C27F" w14:textId="77777777" w:rsidR="004F3A2A" w:rsidRPr="009D5C47" w:rsidRDefault="004F3A2A" w:rsidP="004F3A2A">
            <w:pPr>
              <w:spacing w:after="0" w:line="240" w:lineRule="auto"/>
              <w:rPr>
                <w:rFonts w:ascii="Calibri" w:eastAsia="Times New Roman" w:hAnsi="Calibri" w:cs="Calibri"/>
                <w:b/>
                <w:bCs/>
                <w:color w:val="000000"/>
                <w:sz w:val="16"/>
                <w:szCs w:val="16"/>
              </w:rPr>
            </w:pPr>
            <w:r w:rsidRPr="009D5C47">
              <w:rPr>
                <w:rFonts w:ascii="Calibri" w:eastAsia="Times New Roman" w:hAnsi="Calibri" w:cs="Calibri"/>
                <w:b/>
                <w:bCs/>
                <w:color w:val="000000"/>
                <w:sz w:val="16"/>
                <w:szCs w:val="16"/>
              </w:rPr>
              <w:t>TOTAL DAS ADIÇÕES</w:t>
            </w:r>
          </w:p>
        </w:tc>
        <w:tc>
          <w:tcPr>
            <w:tcW w:w="1844" w:type="pct"/>
            <w:tcBorders>
              <w:top w:val="single" w:sz="8" w:space="0" w:color="auto"/>
              <w:left w:val="nil"/>
              <w:bottom w:val="single" w:sz="6" w:space="0" w:color="BFBFBF" w:themeColor="background1" w:themeShade="BF"/>
              <w:right w:val="nil"/>
            </w:tcBorders>
            <w:shd w:val="clear" w:color="000000" w:fill="DEEAF6"/>
            <w:noWrap/>
            <w:vAlign w:val="center"/>
            <w:hideMark/>
          </w:tcPr>
          <w:p w14:paraId="5D2F5AC7" w14:textId="7CA875B2" w:rsidR="004F3A2A" w:rsidRPr="009D5C47" w:rsidRDefault="004F3A2A" w:rsidP="004F3A2A">
            <w:pPr>
              <w:spacing w:after="0" w:line="240" w:lineRule="auto"/>
              <w:jc w:val="right"/>
              <w:rPr>
                <w:rFonts w:ascii="Calibri" w:eastAsia="Times New Roman" w:hAnsi="Calibri" w:cs="Calibri"/>
                <w:b/>
                <w:bCs/>
                <w:color w:val="000000"/>
                <w:sz w:val="16"/>
                <w:szCs w:val="16"/>
              </w:rPr>
            </w:pPr>
            <w:r w:rsidRPr="009D5C47">
              <w:rPr>
                <w:rFonts w:ascii="Calibri" w:eastAsia="Times New Roman" w:hAnsi="Calibri" w:cs="Calibri"/>
                <w:b/>
                <w:bCs/>
                <w:color w:val="000000"/>
                <w:sz w:val="16"/>
                <w:szCs w:val="16"/>
              </w:rPr>
              <w:t xml:space="preserve"> 9.099.73</w:t>
            </w:r>
            <w:r w:rsidR="00226456" w:rsidRPr="009D5C47">
              <w:rPr>
                <w:rFonts w:ascii="Calibri" w:eastAsia="Times New Roman" w:hAnsi="Calibri" w:cs="Calibri"/>
                <w:b/>
                <w:bCs/>
                <w:color w:val="000000"/>
                <w:sz w:val="16"/>
                <w:szCs w:val="16"/>
              </w:rPr>
              <w:t>6</w:t>
            </w:r>
            <w:r w:rsidRPr="009D5C47">
              <w:rPr>
                <w:rFonts w:ascii="Calibri" w:eastAsia="Times New Roman" w:hAnsi="Calibri" w:cs="Calibri"/>
                <w:b/>
                <w:bCs/>
                <w:color w:val="000000"/>
                <w:sz w:val="16"/>
                <w:szCs w:val="16"/>
              </w:rPr>
              <w:t xml:space="preserve"> </w:t>
            </w:r>
          </w:p>
        </w:tc>
        <w:tc>
          <w:tcPr>
            <w:tcW w:w="599" w:type="pct"/>
            <w:tcBorders>
              <w:top w:val="single" w:sz="8" w:space="0" w:color="auto"/>
              <w:left w:val="nil"/>
              <w:bottom w:val="single" w:sz="6" w:space="0" w:color="BFBFBF" w:themeColor="background1" w:themeShade="BF"/>
              <w:right w:val="nil"/>
            </w:tcBorders>
            <w:shd w:val="clear" w:color="000000" w:fill="DEEAF6"/>
            <w:noWrap/>
            <w:vAlign w:val="center"/>
            <w:hideMark/>
          </w:tcPr>
          <w:p w14:paraId="7CBA598F" w14:textId="0BB8A3E5" w:rsidR="004F3A2A" w:rsidRPr="009D5C47" w:rsidRDefault="004F3A2A" w:rsidP="004F3A2A">
            <w:pPr>
              <w:spacing w:after="0" w:line="240" w:lineRule="auto"/>
              <w:jc w:val="right"/>
              <w:rPr>
                <w:rFonts w:ascii="Calibri" w:eastAsia="Times New Roman" w:hAnsi="Calibri" w:cs="Calibri"/>
                <w:b/>
                <w:bCs/>
                <w:color w:val="000000"/>
                <w:sz w:val="16"/>
                <w:szCs w:val="16"/>
              </w:rPr>
            </w:pPr>
            <w:r w:rsidRPr="009D5C47">
              <w:rPr>
                <w:rFonts w:ascii="Calibri" w:eastAsia="Times New Roman" w:hAnsi="Calibri" w:cs="Calibri"/>
                <w:b/>
                <w:bCs/>
                <w:color w:val="000000"/>
                <w:sz w:val="16"/>
                <w:szCs w:val="16"/>
              </w:rPr>
              <w:t xml:space="preserve"> 9.830.82</w:t>
            </w:r>
            <w:r w:rsidR="0049127C" w:rsidRPr="009D5C47">
              <w:rPr>
                <w:rFonts w:ascii="Calibri" w:eastAsia="Times New Roman" w:hAnsi="Calibri" w:cs="Calibri"/>
                <w:b/>
                <w:bCs/>
                <w:color w:val="000000"/>
                <w:sz w:val="16"/>
                <w:szCs w:val="16"/>
              </w:rPr>
              <w:t>3</w:t>
            </w:r>
            <w:r w:rsidRPr="009D5C47">
              <w:rPr>
                <w:rFonts w:ascii="Calibri" w:eastAsia="Times New Roman" w:hAnsi="Calibri" w:cs="Calibri"/>
                <w:b/>
                <w:bCs/>
                <w:color w:val="000000"/>
                <w:sz w:val="16"/>
                <w:szCs w:val="16"/>
              </w:rPr>
              <w:t xml:space="preserve"> </w:t>
            </w:r>
          </w:p>
        </w:tc>
      </w:tr>
      <w:tr w:rsidR="004F3A2A" w:rsidRPr="004F3A2A" w14:paraId="13107165" w14:textId="77777777" w:rsidTr="009D5C47">
        <w:trPr>
          <w:trHeight w:hRule="exact" w:val="227"/>
        </w:trPr>
        <w:tc>
          <w:tcPr>
            <w:tcW w:w="2558" w:type="pct"/>
            <w:tcBorders>
              <w:top w:val="single" w:sz="6" w:space="0" w:color="BFBFBF" w:themeColor="background1" w:themeShade="BF"/>
              <w:left w:val="nil"/>
              <w:bottom w:val="nil"/>
              <w:right w:val="nil"/>
            </w:tcBorders>
            <w:shd w:val="clear" w:color="auto" w:fill="auto"/>
            <w:noWrap/>
            <w:vAlign w:val="center"/>
            <w:hideMark/>
          </w:tcPr>
          <w:p w14:paraId="7A3E544F" w14:textId="1034B2E5"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CSLL Apurad</w:t>
            </w:r>
            <w:r w:rsidR="00355201">
              <w:rPr>
                <w:rFonts w:ascii="Calibri" w:eastAsia="Times New Roman" w:hAnsi="Calibri" w:cs="Calibri"/>
                <w:sz w:val="16"/>
                <w:szCs w:val="16"/>
              </w:rPr>
              <w:t>a</w:t>
            </w:r>
          </w:p>
        </w:tc>
        <w:tc>
          <w:tcPr>
            <w:tcW w:w="1844" w:type="pct"/>
            <w:tcBorders>
              <w:top w:val="single" w:sz="6" w:space="0" w:color="BFBFBF" w:themeColor="background1" w:themeShade="BF"/>
              <w:left w:val="nil"/>
              <w:bottom w:val="nil"/>
              <w:right w:val="nil"/>
            </w:tcBorders>
            <w:shd w:val="clear" w:color="auto" w:fill="auto"/>
            <w:noWrap/>
            <w:vAlign w:val="center"/>
            <w:hideMark/>
          </w:tcPr>
          <w:p w14:paraId="443565C4" w14:textId="4903B79D"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w:t>
            </w:r>
          </w:p>
        </w:tc>
        <w:tc>
          <w:tcPr>
            <w:tcW w:w="599" w:type="pct"/>
            <w:tcBorders>
              <w:top w:val="single" w:sz="6" w:space="0" w:color="BFBFBF" w:themeColor="background1" w:themeShade="BF"/>
              <w:left w:val="nil"/>
              <w:bottom w:val="nil"/>
              <w:right w:val="nil"/>
            </w:tcBorders>
            <w:shd w:val="clear" w:color="auto" w:fill="auto"/>
            <w:noWrap/>
            <w:vAlign w:val="center"/>
            <w:hideMark/>
          </w:tcPr>
          <w:p w14:paraId="4F8DEED6" w14:textId="147EF078"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731.087 </w:t>
            </w:r>
          </w:p>
        </w:tc>
      </w:tr>
      <w:tr w:rsidR="004F3A2A" w:rsidRPr="004F3A2A" w14:paraId="33A86F34" w14:textId="77777777" w:rsidTr="00191171">
        <w:trPr>
          <w:trHeight w:hRule="exact" w:val="227"/>
        </w:trPr>
        <w:tc>
          <w:tcPr>
            <w:tcW w:w="2558" w:type="pct"/>
            <w:tcBorders>
              <w:top w:val="nil"/>
              <w:left w:val="nil"/>
              <w:bottom w:val="nil"/>
              <w:right w:val="nil"/>
            </w:tcBorders>
            <w:shd w:val="clear" w:color="auto" w:fill="auto"/>
            <w:noWrap/>
            <w:vAlign w:val="center"/>
            <w:hideMark/>
          </w:tcPr>
          <w:p w14:paraId="78DAE783"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Provisões para Contingências</w:t>
            </w:r>
          </w:p>
        </w:tc>
        <w:tc>
          <w:tcPr>
            <w:tcW w:w="1844" w:type="pct"/>
            <w:tcBorders>
              <w:top w:val="nil"/>
              <w:left w:val="nil"/>
              <w:bottom w:val="nil"/>
              <w:right w:val="nil"/>
            </w:tcBorders>
            <w:shd w:val="clear" w:color="auto" w:fill="auto"/>
            <w:noWrap/>
            <w:vAlign w:val="center"/>
            <w:hideMark/>
          </w:tcPr>
          <w:p w14:paraId="00F072CC" w14:textId="3E216FA9"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1.358.831 </w:t>
            </w:r>
          </w:p>
        </w:tc>
        <w:tc>
          <w:tcPr>
            <w:tcW w:w="599" w:type="pct"/>
            <w:tcBorders>
              <w:top w:val="nil"/>
              <w:left w:val="nil"/>
              <w:bottom w:val="nil"/>
              <w:right w:val="nil"/>
            </w:tcBorders>
            <w:shd w:val="clear" w:color="auto" w:fill="auto"/>
            <w:noWrap/>
            <w:vAlign w:val="center"/>
            <w:hideMark/>
          </w:tcPr>
          <w:p w14:paraId="2370A64C" w14:textId="23ECCD6E"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1.358.831 </w:t>
            </w:r>
          </w:p>
        </w:tc>
      </w:tr>
      <w:tr w:rsidR="004F3A2A" w:rsidRPr="004F3A2A" w14:paraId="044CE9AB" w14:textId="77777777" w:rsidTr="00191171">
        <w:trPr>
          <w:trHeight w:hRule="exact" w:val="227"/>
        </w:trPr>
        <w:tc>
          <w:tcPr>
            <w:tcW w:w="2558" w:type="pct"/>
            <w:tcBorders>
              <w:top w:val="nil"/>
              <w:left w:val="nil"/>
              <w:bottom w:val="nil"/>
              <w:right w:val="nil"/>
            </w:tcBorders>
            <w:shd w:val="clear" w:color="auto" w:fill="auto"/>
            <w:noWrap/>
            <w:vAlign w:val="center"/>
            <w:hideMark/>
          </w:tcPr>
          <w:p w14:paraId="5FBEE8B4"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Resultado Negativo de Equivalência Patrimonial</w:t>
            </w:r>
          </w:p>
        </w:tc>
        <w:tc>
          <w:tcPr>
            <w:tcW w:w="1844" w:type="pct"/>
            <w:tcBorders>
              <w:top w:val="nil"/>
              <w:left w:val="nil"/>
              <w:bottom w:val="nil"/>
              <w:right w:val="nil"/>
            </w:tcBorders>
            <w:shd w:val="clear" w:color="auto" w:fill="auto"/>
            <w:noWrap/>
            <w:vAlign w:val="center"/>
            <w:hideMark/>
          </w:tcPr>
          <w:p w14:paraId="39F23C89" w14:textId="7CBAD392"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5.044.895 </w:t>
            </w:r>
          </w:p>
        </w:tc>
        <w:tc>
          <w:tcPr>
            <w:tcW w:w="599" w:type="pct"/>
            <w:tcBorders>
              <w:top w:val="nil"/>
              <w:left w:val="nil"/>
              <w:bottom w:val="nil"/>
              <w:right w:val="nil"/>
            </w:tcBorders>
            <w:shd w:val="clear" w:color="auto" w:fill="auto"/>
            <w:noWrap/>
            <w:vAlign w:val="center"/>
            <w:hideMark/>
          </w:tcPr>
          <w:p w14:paraId="1D092E96" w14:textId="5C681DF3"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5.044.895 </w:t>
            </w:r>
          </w:p>
        </w:tc>
      </w:tr>
      <w:tr w:rsidR="004F3A2A" w:rsidRPr="004F3A2A" w14:paraId="45932436" w14:textId="77777777" w:rsidTr="00191171">
        <w:trPr>
          <w:trHeight w:hRule="exact" w:val="227"/>
        </w:trPr>
        <w:tc>
          <w:tcPr>
            <w:tcW w:w="2558" w:type="pct"/>
            <w:tcBorders>
              <w:top w:val="nil"/>
              <w:left w:val="nil"/>
              <w:bottom w:val="nil"/>
              <w:right w:val="nil"/>
            </w:tcBorders>
            <w:shd w:val="clear" w:color="auto" w:fill="auto"/>
            <w:noWrap/>
            <w:vAlign w:val="center"/>
            <w:hideMark/>
          </w:tcPr>
          <w:p w14:paraId="15ACE8F1"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Despesas Depreciação de Direito de Uso</w:t>
            </w:r>
          </w:p>
        </w:tc>
        <w:tc>
          <w:tcPr>
            <w:tcW w:w="1844" w:type="pct"/>
            <w:tcBorders>
              <w:top w:val="nil"/>
              <w:left w:val="nil"/>
              <w:bottom w:val="nil"/>
              <w:right w:val="nil"/>
            </w:tcBorders>
            <w:shd w:val="clear" w:color="auto" w:fill="auto"/>
            <w:noWrap/>
            <w:vAlign w:val="center"/>
            <w:hideMark/>
          </w:tcPr>
          <w:p w14:paraId="25711249" w14:textId="1C7D179D"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1.026.817 </w:t>
            </w:r>
          </w:p>
        </w:tc>
        <w:tc>
          <w:tcPr>
            <w:tcW w:w="599" w:type="pct"/>
            <w:tcBorders>
              <w:top w:val="nil"/>
              <w:left w:val="nil"/>
              <w:bottom w:val="nil"/>
              <w:right w:val="nil"/>
            </w:tcBorders>
            <w:shd w:val="clear" w:color="auto" w:fill="auto"/>
            <w:noWrap/>
            <w:vAlign w:val="center"/>
            <w:hideMark/>
          </w:tcPr>
          <w:p w14:paraId="7DD73EDA" w14:textId="10716A55" w:rsidR="004F3A2A" w:rsidRPr="004F3A2A" w:rsidRDefault="004F3A2A" w:rsidP="004F3A2A">
            <w:pPr>
              <w:spacing w:after="0" w:line="240" w:lineRule="auto"/>
              <w:jc w:val="right"/>
              <w:rPr>
                <w:rFonts w:ascii="Aptos Narrow" w:eastAsia="Times New Roman" w:hAnsi="Aptos Narrow" w:cs="Times New Roman"/>
                <w:sz w:val="16"/>
                <w:szCs w:val="16"/>
              </w:rPr>
            </w:pPr>
            <w:r w:rsidRPr="004F3A2A">
              <w:rPr>
                <w:rFonts w:ascii="Aptos Narrow" w:eastAsia="Times New Roman" w:hAnsi="Aptos Narrow" w:cs="Times New Roman"/>
                <w:sz w:val="16"/>
                <w:szCs w:val="16"/>
              </w:rPr>
              <w:t xml:space="preserve"> 1.026.817 </w:t>
            </w:r>
          </w:p>
        </w:tc>
      </w:tr>
      <w:tr w:rsidR="004F3A2A" w:rsidRPr="004F3A2A" w14:paraId="0AD7EC3C" w14:textId="77777777" w:rsidTr="00191171">
        <w:trPr>
          <w:trHeight w:hRule="exact" w:val="227"/>
        </w:trPr>
        <w:tc>
          <w:tcPr>
            <w:tcW w:w="2558" w:type="pct"/>
            <w:tcBorders>
              <w:top w:val="nil"/>
              <w:left w:val="nil"/>
              <w:bottom w:val="nil"/>
              <w:right w:val="nil"/>
            </w:tcBorders>
            <w:shd w:val="clear" w:color="auto" w:fill="auto"/>
            <w:noWrap/>
            <w:vAlign w:val="center"/>
            <w:hideMark/>
          </w:tcPr>
          <w:p w14:paraId="38E0FE90"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Recebimentos de Contratos de Permissão de Uso de Pátios</w:t>
            </w:r>
          </w:p>
        </w:tc>
        <w:tc>
          <w:tcPr>
            <w:tcW w:w="1844" w:type="pct"/>
            <w:tcBorders>
              <w:top w:val="nil"/>
              <w:left w:val="nil"/>
              <w:bottom w:val="nil"/>
              <w:right w:val="nil"/>
            </w:tcBorders>
            <w:shd w:val="clear" w:color="auto" w:fill="auto"/>
            <w:noWrap/>
            <w:vAlign w:val="center"/>
            <w:hideMark/>
          </w:tcPr>
          <w:p w14:paraId="2A92B713" w14:textId="5644441A"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 1.364.331 </w:t>
            </w:r>
          </w:p>
        </w:tc>
        <w:tc>
          <w:tcPr>
            <w:tcW w:w="599" w:type="pct"/>
            <w:tcBorders>
              <w:top w:val="nil"/>
              <w:left w:val="nil"/>
              <w:bottom w:val="nil"/>
              <w:right w:val="nil"/>
            </w:tcBorders>
            <w:shd w:val="clear" w:color="auto" w:fill="auto"/>
            <w:noWrap/>
            <w:vAlign w:val="center"/>
            <w:hideMark/>
          </w:tcPr>
          <w:p w14:paraId="598628CB" w14:textId="36577413"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 1.364.331 </w:t>
            </w:r>
          </w:p>
        </w:tc>
      </w:tr>
      <w:tr w:rsidR="004F3A2A" w:rsidRPr="004F3A2A" w14:paraId="72F29613" w14:textId="77777777" w:rsidTr="009D5C47">
        <w:trPr>
          <w:trHeight w:hRule="exact" w:val="227"/>
        </w:trPr>
        <w:tc>
          <w:tcPr>
            <w:tcW w:w="2558" w:type="pct"/>
            <w:tcBorders>
              <w:top w:val="nil"/>
              <w:left w:val="nil"/>
              <w:bottom w:val="single" w:sz="8" w:space="0" w:color="auto"/>
              <w:right w:val="nil"/>
            </w:tcBorders>
            <w:shd w:val="clear" w:color="auto" w:fill="auto"/>
            <w:noWrap/>
            <w:vAlign w:val="center"/>
            <w:hideMark/>
          </w:tcPr>
          <w:p w14:paraId="188E7046"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Demais Adições</w:t>
            </w:r>
          </w:p>
        </w:tc>
        <w:tc>
          <w:tcPr>
            <w:tcW w:w="1844" w:type="pct"/>
            <w:tcBorders>
              <w:top w:val="nil"/>
              <w:left w:val="nil"/>
              <w:bottom w:val="single" w:sz="8" w:space="0" w:color="auto"/>
              <w:right w:val="nil"/>
            </w:tcBorders>
            <w:shd w:val="clear" w:color="auto" w:fill="auto"/>
            <w:noWrap/>
            <w:vAlign w:val="center"/>
            <w:hideMark/>
          </w:tcPr>
          <w:p w14:paraId="2B75E2EE" w14:textId="22F9EB12"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304.862 </w:t>
            </w:r>
          </w:p>
        </w:tc>
        <w:tc>
          <w:tcPr>
            <w:tcW w:w="599" w:type="pct"/>
            <w:tcBorders>
              <w:top w:val="nil"/>
              <w:left w:val="nil"/>
              <w:bottom w:val="single" w:sz="8" w:space="0" w:color="auto"/>
              <w:right w:val="nil"/>
            </w:tcBorders>
            <w:shd w:val="clear" w:color="auto" w:fill="auto"/>
            <w:noWrap/>
            <w:vAlign w:val="center"/>
            <w:hideMark/>
          </w:tcPr>
          <w:p w14:paraId="648F9276" w14:textId="505DA2B1"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304.862 </w:t>
            </w:r>
          </w:p>
        </w:tc>
      </w:tr>
      <w:tr w:rsidR="004F3A2A" w:rsidRPr="004F3A2A" w14:paraId="53112CF6" w14:textId="77777777" w:rsidTr="009D5C47">
        <w:trPr>
          <w:trHeight w:hRule="exact" w:val="227"/>
        </w:trPr>
        <w:tc>
          <w:tcPr>
            <w:tcW w:w="2558" w:type="pct"/>
            <w:tcBorders>
              <w:top w:val="single" w:sz="8" w:space="0" w:color="auto"/>
              <w:left w:val="nil"/>
              <w:bottom w:val="single" w:sz="6" w:space="0" w:color="BFBFBF" w:themeColor="background1" w:themeShade="BF"/>
              <w:right w:val="nil"/>
            </w:tcBorders>
            <w:shd w:val="clear" w:color="000000" w:fill="DEEAF6"/>
            <w:noWrap/>
            <w:vAlign w:val="center"/>
            <w:hideMark/>
          </w:tcPr>
          <w:p w14:paraId="5F74559B" w14:textId="77777777" w:rsidR="004F3A2A" w:rsidRPr="004F3A2A" w:rsidRDefault="004F3A2A" w:rsidP="004F3A2A">
            <w:pPr>
              <w:spacing w:after="0" w:line="240" w:lineRule="auto"/>
              <w:rPr>
                <w:rFonts w:ascii="Calibri" w:eastAsia="Times New Roman" w:hAnsi="Calibri" w:cs="Calibri"/>
                <w:b/>
                <w:bCs/>
                <w:sz w:val="16"/>
                <w:szCs w:val="16"/>
              </w:rPr>
            </w:pPr>
            <w:r w:rsidRPr="004F3A2A">
              <w:rPr>
                <w:rFonts w:ascii="Calibri" w:eastAsia="Times New Roman" w:hAnsi="Calibri" w:cs="Calibri"/>
                <w:b/>
                <w:bCs/>
                <w:sz w:val="16"/>
                <w:szCs w:val="16"/>
              </w:rPr>
              <w:t>TOTAL DAS EXCLUSÕES</w:t>
            </w:r>
          </w:p>
        </w:tc>
        <w:tc>
          <w:tcPr>
            <w:tcW w:w="1844" w:type="pct"/>
            <w:tcBorders>
              <w:top w:val="single" w:sz="8" w:space="0" w:color="auto"/>
              <w:left w:val="nil"/>
              <w:bottom w:val="single" w:sz="6" w:space="0" w:color="BFBFBF" w:themeColor="background1" w:themeShade="BF"/>
              <w:right w:val="nil"/>
            </w:tcBorders>
            <w:shd w:val="clear" w:color="000000" w:fill="DEEAF6"/>
            <w:noWrap/>
            <w:vAlign w:val="center"/>
            <w:hideMark/>
          </w:tcPr>
          <w:p w14:paraId="0D04FB25" w14:textId="34A422C9"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(31.463.205)</w:t>
            </w:r>
          </w:p>
        </w:tc>
        <w:tc>
          <w:tcPr>
            <w:tcW w:w="599" w:type="pct"/>
            <w:tcBorders>
              <w:top w:val="single" w:sz="8" w:space="0" w:color="auto"/>
              <w:left w:val="nil"/>
              <w:bottom w:val="single" w:sz="6" w:space="0" w:color="BFBFBF" w:themeColor="background1" w:themeShade="BF"/>
              <w:right w:val="nil"/>
            </w:tcBorders>
            <w:shd w:val="clear" w:color="000000" w:fill="DEEAF6"/>
            <w:noWrap/>
            <w:vAlign w:val="center"/>
            <w:hideMark/>
          </w:tcPr>
          <w:p w14:paraId="13237A22" w14:textId="5EFB4521"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(31.463.205)</w:t>
            </w:r>
          </w:p>
        </w:tc>
      </w:tr>
      <w:tr w:rsidR="004F3A2A" w:rsidRPr="004F3A2A" w14:paraId="13B7E551" w14:textId="77777777" w:rsidTr="009D5C47">
        <w:trPr>
          <w:trHeight w:hRule="exact" w:val="227"/>
        </w:trPr>
        <w:tc>
          <w:tcPr>
            <w:tcW w:w="2558" w:type="pct"/>
            <w:tcBorders>
              <w:top w:val="single" w:sz="6" w:space="0" w:color="BFBFBF" w:themeColor="background1" w:themeShade="BF"/>
              <w:left w:val="nil"/>
              <w:bottom w:val="nil"/>
              <w:right w:val="nil"/>
            </w:tcBorders>
            <w:shd w:val="clear" w:color="auto" w:fill="auto"/>
            <w:noWrap/>
            <w:vAlign w:val="center"/>
            <w:hideMark/>
          </w:tcPr>
          <w:p w14:paraId="54F6C590"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Reversão de Provisões</w:t>
            </w:r>
          </w:p>
        </w:tc>
        <w:tc>
          <w:tcPr>
            <w:tcW w:w="1844" w:type="pct"/>
            <w:tcBorders>
              <w:top w:val="single" w:sz="6" w:space="0" w:color="BFBFBF" w:themeColor="background1" w:themeShade="BF"/>
              <w:left w:val="nil"/>
              <w:bottom w:val="nil"/>
              <w:right w:val="nil"/>
            </w:tcBorders>
            <w:shd w:val="clear" w:color="auto" w:fill="auto"/>
            <w:noWrap/>
            <w:vAlign w:val="center"/>
            <w:hideMark/>
          </w:tcPr>
          <w:p w14:paraId="1A060A3E" w14:textId="79850D86"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(27.724.192)</w:t>
            </w:r>
          </w:p>
        </w:tc>
        <w:tc>
          <w:tcPr>
            <w:tcW w:w="599" w:type="pct"/>
            <w:tcBorders>
              <w:top w:val="single" w:sz="6" w:space="0" w:color="BFBFBF" w:themeColor="background1" w:themeShade="BF"/>
              <w:left w:val="nil"/>
              <w:bottom w:val="nil"/>
              <w:right w:val="nil"/>
            </w:tcBorders>
            <w:shd w:val="clear" w:color="auto" w:fill="auto"/>
            <w:noWrap/>
            <w:vAlign w:val="center"/>
            <w:hideMark/>
          </w:tcPr>
          <w:p w14:paraId="74C3B9B2" w14:textId="74616B19"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(27.724.192)</w:t>
            </w:r>
          </w:p>
        </w:tc>
      </w:tr>
      <w:tr w:rsidR="004F3A2A" w:rsidRPr="004F3A2A" w14:paraId="64470A1D" w14:textId="77777777" w:rsidTr="00191171">
        <w:trPr>
          <w:trHeight w:hRule="exact" w:val="227"/>
        </w:trPr>
        <w:tc>
          <w:tcPr>
            <w:tcW w:w="2558" w:type="pct"/>
            <w:tcBorders>
              <w:top w:val="nil"/>
              <w:left w:val="nil"/>
              <w:bottom w:val="nil"/>
              <w:right w:val="nil"/>
            </w:tcBorders>
            <w:shd w:val="clear" w:color="auto" w:fill="auto"/>
            <w:noWrap/>
            <w:vAlign w:val="center"/>
            <w:hideMark/>
          </w:tcPr>
          <w:p w14:paraId="10E50D73"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Receitas Diferidas - Contratos de Permissão de Uso de Pátios</w:t>
            </w:r>
          </w:p>
        </w:tc>
        <w:tc>
          <w:tcPr>
            <w:tcW w:w="1844" w:type="pct"/>
            <w:tcBorders>
              <w:top w:val="nil"/>
              <w:left w:val="nil"/>
              <w:bottom w:val="nil"/>
              <w:right w:val="nil"/>
            </w:tcBorders>
            <w:shd w:val="clear" w:color="auto" w:fill="auto"/>
            <w:noWrap/>
            <w:vAlign w:val="center"/>
            <w:hideMark/>
          </w:tcPr>
          <w:p w14:paraId="3E41B105" w14:textId="34C1C8FC"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 (1.775.879)</w:t>
            </w:r>
          </w:p>
        </w:tc>
        <w:tc>
          <w:tcPr>
            <w:tcW w:w="599" w:type="pct"/>
            <w:tcBorders>
              <w:top w:val="nil"/>
              <w:left w:val="nil"/>
              <w:bottom w:val="nil"/>
              <w:right w:val="nil"/>
            </w:tcBorders>
            <w:shd w:val="clear" w:color="auto" w:fill="auto"/>
            <w:noWrap/>
            <w:vAlign w:val="center"/>
            <w:hideMark/>
          </w:tcPr>
          <w:p w14:paraId="7930E827" w14:textId="3BC1F622"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 xml:space="preserve"> (1.775.879)</w:t>
            </w:r>
          </w:p>
        </w:tc>
      </w:tr>
      <w:tr w:rsidR="004F3A2A" w:rsidRPr="004F3A2A" w14:paraId="15CAB913" w14:textId="77777777" w:rsidTr="00191171">
        <w:trPr>
          <w:trHeight w:hRule="exact" w:val="227"/>
        </w:trPr>
        <w:tc>
          <w:tcPr>
            <w:tcW w:w="2558" w:type="pct"/>
            <w:tcBorders>
              <w:top w:val="nil"/>
              <w:left w:val="nil"/>
              <w:bottom w:val="nil"/>
              <w:right w:val="nil"/>
            </w:tcBorders>
            <w:shd w:val="clear" w:color="auto" w:fill="auto"/>
            <w:noWrap/>
            <w:vAlign w:val="center"/>
            <w:hideMark/>
          </w:tcPr>
          <w:p w14:paraId="145BF4BF"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Arrendamento Mercantil - Pagamento de Aluguel</w:t>
            </w:r>
          </w:p>
        </w:tc>
        <w:tc>
          <w:tcPr>
            <w:tcW w:w="1844" w:type="pct"/>
            <w:tcBorders>
              <w:top w:val="nil"/>
              <w:left w:val="nil"/>
              <w:bottom w:val="nil"/>
              <w:right w:val="nil"/>
            </w:tcBorders>
            <w:shd w:val="clear" w:color="auto" w:fill="auto"/>
            <w:noWrap/>
            <w:vAlign w:val="center"/>
            <w:hideMark/>
          </w:tcPr>
          <w:p w14:paraId="26C900AE" w14:textId="428B81CE"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(966.344)</w:t>
            </w:r>
          </w:p>
        </w:tc>
        <w:tc>
          <w:tcPr>
            <w:tcW w:w="599" w:type="pct"/>
            <w:tcBorders>
              <w:top w:val="nil"/>
              <w:left w:val="nil"/>
              <w:bottom w:val="nil"/>
              <w:right w:val="nil"/>
            </w:tcBorders>
            <w:shd w:val="clear" w:color="auto" w:fill="auto"/>
            <w:noWrap/>
            <w:vAlign w:val="center"/>
            <w:hideMark/>
          </w:tcPr>
          <w:p w14:paraId="082BDD05" w14:textId="2C7D931E"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(966.344)</w:t>
            </w:r>
          </w:p>
        </w:tc>
      </w:tr>
      <w:tr w:rsidR="004F3A2A" w:rsidRPr="004F3A2A" w14:paraId="16760810" w14:textId="77777777" w:rsidTr="00191171">
        <w:trPr>
          <w:trHeight w:hRule="exact" w:val="227"/>
        </w:trPr>
        <w:tc>
          <w:tcPr>
            <w:tcW w:w="2558" w:type="pct"/>
            <w:tcBorders>
              <w:top w:val="nil"/>
              <w:left w:val="nil"/>
              <w:bottom w:val="nil"/>
              <w:right w:val="nil"/>
            </w:tcBorders>
            <w:shd w:val="clear" w:color="auto" w:fill="auto"/>
            <w:noWrap/>
            <w:vAlign w:val="center"/>
            <w:hideMark/>
          </w:tcPr>
          <w:p w14:paraId="1D2AC07B"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Atualização Monetária de Contratos de Permissão de Uso de Pátios</w:t>
            </w:r>
          </w:p>
        </w:tc>
        <w:tc>
          <w:tcPr>
            <w:tcW w:w="1844" w:type="pct"/>
            <w:tcBorders>
              <w:top w:val="nil"/>
              <w:left w:val="nil"/>
              <w:bottom w:val="nil"/>
              <w:right w:val="nil"/>
            </w:tcBorders>
            <w:shd w:val="clear" w:color="auto" w:fill="auto"/>
            <w:noWrap/>
            <w:vAlign w:val="center"/>
            <w:hideMark/>
          </w:tcPr>
          <w:p w14:paraId="0C26F977" w14:textId="0A0A9EEB"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(991.994)</w:t>
            </w:r>
          </w:p>
        </w:tc>
        <w:tc>
          <w:tcPr>
            <w:tcW w:w="599" w:type="pct"/>
            <w:tcBorders>
              <w:top w:val="nil"/>
              <w:left w:val="nil"/>
              <w:bottom w:val="nil"/>
              <w:right w:val="nil"/>
            </w:tcBorders>
            <w:shd w:val="clear" w:color="auto" w:fill="auto"/>
            <w:noWrap/>
            <w:vAlign w:val="center"/>
            <w:hideMark/>
          </w:tcPr>
          <w:p w14:paraId="4E3D0858" w14:textId="2F036266"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(991.994)</w:t>
            </w:r>
          </w:p>
        </w:tc>
      </w:tr>
      <w:tr w:rsidR="004F3A2A" w:rsidRPr="004F3A2A" w14:paraId="24E2DE5D" w14:textId="77777777" w:rsidTr="00F47F4D">
        <w:trPr>
          <w:trHeight w:hRule="exact" w:val="227"/>
        </w:trPr>
        <w:tc>
          <w:tcPr>
            <w:tcW w:w="2558" w:type="pct"/>
            <w:tcBorders>
              <w:top w:val="nil"/>
              <w:left w:val="nil"/>
              <w:bottom w:val="single" w:sz="8" w:space="0" w:color="auto"/>
              <w:right w:val="nil"/>
            </w:tcBorders>
            <w:shd w:val="clear" w:color="auto" w:fill="auto"/>
            <w:noWrap/>
            <w:vAlign w:val="center"/>
            <w:hideMark/>
          </w:tcPr>
          <w:p w14:paraId="49201D76"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Demais Exclusões</w:t>
            </w:r>
          </w:p>
        </w:tc>
        <w:tc>
          <w:tcPr>
            <w:tcW w:w="1844" w:type="pct"/>
            <w:tcBorders>
              <w:top w:val="nil"/>
              <w:left w:val="nil"/>
              <w:bottom w:val="single" w:sz="8" w:space="0" w:color="auto"/>
              <w:right w:val="nil"/>
            </w:tcBorders>
            <w:shd w:val="clear" w:color="auto" w:fill="auto"/>
            <w:noWrap/>
            <w:vAlign w:val="center"/>
            <w:hideMark/>
          </w:tcPr>
          <w:p w14:paraId="701714ED" w14:textId="02219D51"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(4.796)</w:t>
            </w:r>
          </w:p>
        </w:tc>
        <w:tc>
          <w:tcPr>
            <w:tcW w:w="599" w:type="pct"/>
            <w:tcBorders>
              <w:top w:val="nil"/>
              <w:left w:val="nil"/>
              <w:bottom w:val="single" w:sz="8" w:space="0" w:color="auto"/>
              <w:right w:val="nil"/>
            </w:tcBorders>
            <w:shd w:val="clear" w:color="auto" w:fill="auto"/>
            <w:noWrap/>
            <w:vAlign w:val="center"/>
            <w:hideMark/>
          </w:tcPr>
          <w:p w14:paraId="408AB8DD" w14:textId="1136A0B1" w:rsidR="004F3A2A" w:rsidRPr="004F3A2A" w:rsidRDefault="004F3A2A" w:rsidP="004F3A2A">
            <w:pPr>
              <w:spacing w:after="0" w:line="240" w:lineRule="auto"/>
              <w:jc w:val="right"/>
              <w:rPr>
                <w:rFonts w:ascii="Calibri" w:eastAsia="Times New Roman" w:hAnsi="Calibri" w:cs="Calibri"/>
                <w:sz w:val="16"/>
                <w:szCs w:val="16"/>
              </w:rPr>
            </w:pPr>
            <w:r w:rsidRPr="004F3A2A">
              <w:rPr>
                <w:rFonts w:ascii="Calibri" w:eastAsia="Times New Roman" w:hAnsi="Calibri" w:cs="Calibri"/>
                <w:sz w:val="16"/>
                <w:szCs w:val="16"/>
              </w:rPr>
              <w:t>(4.796)</w:t>
            </w:r>
          </w:p>
        </w:tc>
      </w:tr>
      <w:tr w:rsidR="004F3A2A" w:rsidRPr="004F3A2A" w14:paraId="7E9CF114" w14:textId="77777777" w:rsidTr="00F47F4D">
        <w:trPr>
          <w:trHeight w:hRule="exact" w:val="227"/>
        </w:trPr>
        <w:tc>
          <w:tcPr>
            <w:tcW w:w="2558" w:type="pct"/>
            <w:tcBorders>
              <w:top w:val="single" w:sz="8" w:space="0" w:color="auto"/>
              <w:left w:val="nil"/>
              <w:bottom w:val="single" w:sz="6" w:space="0" w:color="BFBFBF" w:themeColor="background1" w:themeShade="BF"/>
              <w:right w:val="nil"/>
            </w:tcBorders>
            <w:shd w:val="clear" w:color="000000" w:fill="DEEAF6"/>
            <w:noWrap/>
            <w:vAlign w:val="center"/>
            <w:hideMark/>
          </w:tcPr>
          <w:p w14:paraId="2E7954BA" w14:textId="77777777" w:rsidR="004F3A2A" w:rsidRPr="004F3A2A" w:rsidRDefault="004F3A2A" w:rsidP="004F3A2A">
            <w:pPr>
              <w:spacing w:after="0" w:line="240" w:lineRule="auto"/>
              <w:rPr>
                <w:rFonts w:ascii="Calibri" w:eastAsia="Times New Roman" w:hAnsi="Calibri" w:cs="Calibri"/>
                <w:b/>
                <w:bCs/>
                <w:sz w:val="16"/>
                <w:szCs w:val="16"/>
              </w:rPr>
            </w:pPr>
            <w:r w:rsidRPr="004F3A2A">
              <w:rPr>
                <w:rFonts w:ascii="Calibri" w:eastAsia="Times New Roman" w:hAnsi="Calibri" w:cs="Calibri"/>
                <w:b/>
                <w:bCs/>
                <w:sz w:val="16"/>
                <w:szCs w:val="16"/>
              </w:rPr>
              <w:t>LUCRO AJUSTADO</w:t>
            </w:r>
          </w:p>
        </w:tc>
        <w:tc>
          <w:tcPr>
            <w:tcW w:w="1844" w:type="pct"/>
            <w:tcBorders>
              <w:top w:val="single" w:sz="8" w:space="0" w:color="auto"/>
              <w:left w:val="nil"/>
              <w:bottom w:val="single" w:sz="6" w:space="0" w:color="BFBFBF" w:themeColor="background1" w:themeShade="BF"/>
              <w:right w:val="nil"/>
            </w:tcBorders>
            <w:shd w:val="clear" w:color="000000" w:fill="DEEAF6"/>
            <w:noWrap/>
            <w:vAlign w:val="center"/>
            <w:hideMark/>
          </w:tcPr>
          <w:p w14:paraId="7FB42D39" w14:textId="6562B3CA"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11.604.55</w:t>
            </w:r>
            <w:r w:rsidR="00226456">
              <w:rPr>
                <w:rFonts w:ascii="Calibri" w:eastAsia="Times New Roman" w:hAnsi="Calibri" w:cs="Calibri"/>
                <w:b/>
                <w:bCs/>
                <w:sz w:val="16"/>
                <w:szCs w:val="16"/>
              </w:rPr>
              <w:t>1</w:t>
            </w:r>
            <w:r w:rsidRPr="004F3A2A">
              <w:rPr>
                <w:rFonts w:ascii="Calibri" w:eastAsia="Times New Roman" w:hAnsi="Calibri" w:cs="Calibri"/>
                <w:b/>
                <w:bCs/>
                <w:sz w:val="16"/>
                <w:szCs w:val="16"/>
              </w:rPr>
              <w:t xml:space="preserve"> </w:t>
            </w:r>
          </w:p>
        </w:tc>
        <w:tc>
          <w:tcPr>
            <w:tcW w:w="599" w:type="pct"/>
            <w:tcBorders>
              <w:top w:val="single" w:sz="8" w:space="0" w:color="auto"/>
              <w:left w:val="nil"/>
              <w:bottom w:val="single" w:sz="6" w:space="0" w:color="BFBFBF" w:themeColor="background1" w:themeShade="BF"/>
              <w:right w:val="nil"/>
            </w:tcBorders>
            <w:shd w:val="clear" w:color="000000" w:fill="DEEAF6"/>
            <w:noWrap/>
            <w:vAlign w:val="center"/>
            <w:hideMark/>
          </w:tcPr>
          <w:p w14:paraId="3E37D2C0" w14:textId="1624EC2D"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11.604.55</w:t>
            </w:r>
            <w:r w:rsidR="0049127C">
              <w:rPr>
                <w:rFonts w:ascii="Calibri" w:eastAsia="Times New Roman" w:hAnsi="Calibri" w:cs="Calibri"/>
                <w:b/>
                <w:bCs/>
                <w:sz w:val="16"/>
                <w:szCs w:val="16"/>
              </w:rPr>
              <w:t>1</w:t>
            </w:r>
            <w:r w:rsidRPr="004F3A2A">
              <w:rPr>
                <w:rFonts w:ascii="Calibri" w:eastAsia="Times New Roman" w:hAnsi="Calibri" w:cs="Calibri"/>
                <w:b/>
                <w:bCs/>
                <w:sz w:val="16"/>
                <w:szCs w:val="16"/>
              </w:rPr>
              <w:t xml:space="preserve"> </w:t>
            </w:r>
          </w:p>
        </w:tc>
      </w:tr>
      <w:tr w:rsidR="004F3A2A" w:rsidRPr="004F3A2A" w14:paraId="3A2BB8A8" w14:textId="77777777" w:rsidTr="00F47F4D">
        <w:trPr>
          <w:trHeight w:hRule="exact" w:val="227"/>
        </w:trPr>
        <w:tc>
          <w:tcPr>
            <w:tcW w:w="2558" w:type="pct"/>
            <w:tcBorders>
              <w:top w:val="single" w:sz="6" w:space="0" w:color="BFBFBF" w:themeColor="background1" w:themeShade="BF"/>
              <w:left w:val="nil"/>
              <w:bottom w:val="single" w:sz="6" w:space="0" w:color="BFBFBF" w:themeColor="background1" w:themeShade="BF"/>
              <w:right w:val="nil"/>
            </w:tcBorders>
            <w:shd w:val="clear" w:color="auto" w:fill="auto"/>
            <w:noWrap/>
            <w:vAlign w:val="center"/>
            <w:hideMark/>
          </w:tcPr>
          <w:p w14:paraId="65D98A98" w14:textId="77777777" w:rsidR="004F3A2A" w:rsidRPr="004F3A2A" w:rsidRDefault="004F3A2A" w:rsidP="004F3A2A">
            <w:pPr>
              <w:spacing w:after="0" w:line="240" w:lineRule="auto"/>
              <w:rPr>
                <w:rFonts w:ascii="Calibri" w:eastAsia="Times New Roman" w:hAnsi="Calibri" w:cs="Calibri"/>
                <w:sz w:val="16"/>
                <w:szCs w:val="16"/>
              </w:rPr>
            </w:pPr>
            <w:r w:rsidRPr="004F3A2A">
              <w:rPr>
                <w:rFonts w:ascii="Calibri" w:eastAsia="Times New Roman" w:hAnsi="Calibri" w:cs="Calibri"/>
                <w:sz w:val="16"/>
                <w:szCs w:val="16"/>
              </w:rPr>
              <w:t>Compensação BC negativa / Prejuízo Fiscal</w:t>
            </w:r>
          </w:p>
        </w:tc>
        <w:tc>
          <w:tcPr>
            <w:tcW w:w="1844" w:type="pct"/>
            <w:tcBorders>
              <w:top w:val="single" w:sz="6" w:space="0" w:color="BFBFBF" w:themeColor="background1" w:themeShade="BF"/>
              <w:left w:val="nil"/>
              <w:bottom w:val="single" w:sz="6" w:space="0" w:color="BFBFBF" w:themeColor="background1" w:themeShade="BF"/>
              <w:right w:val="nil"/>
            </w:tcBorders>
            <w:shd w:val="clear" w:color="auto" w:fill="auto"/>
            <w:noWrap/>
            <w:vAlign w:val="center"/>
            <w:hideMark/>
          </w:tcPr>
          <w:p w14:paraId="65A6CCA6" w14:textId="5E5E0D1F" w:rsidR="004F3A2A" w:rsidRPr="007306BE" w:rsidRDefault="004F3A2A" w:rsidP="004F3A2A">
            <w:pPr>
              <w:spacing w:after="0" w:line="240" w:lineRule="auto"/>
              <w:jc w:val="right"/>
              <w:rPr>
                <w:rFonts w:ascii="Calibri" w:eastAsia="Times New Roman" w:hAnsi="Calibri" w:cs="Calibri"/>
                <w:sz w:val="16"/>
                <w:szCs w:val="16"/>
              </w:rPr>
            </w:pPr>
            <w:r w:rsidRPr="007306BE">
              <w:rPr>
                <w:rFonts w:ascii="Calibri" w:eastAsia="Times New Roman" w:hAnsi="Calibri" w:cs="Calibri"/>
                <w:sz w:val="16"/>
                <w:szCs w:val="16"/>
              </w:rPr>
              <w:t xml:space="preserve"> (3.481.365)</w:t>
            </w:r>
          </w:p>
        </w:tc>
        <w:tc>
          <w:tcPr>
            <w:tcW w:w="599" w:type="pct"/>
            <w:tcBorders>
              <w:top w:val="single" w:sz="6" w:space="0" w:color="BFBFBF" w:themeColor="background1" w:themeShade="BF"/>
              <w:left w:val="nil"/>
              <w:bottom w:val="single" w:sz="6" w:space="0" w:color="BFBFBF" w:themeColor="background1" w:themeShade="BF"/>
              <w:right w:val="nil"/>
            </w:tcBorders>
            <w:shd w:val="clear" w:color="auto" w:fill="auto"/>
            <w:noWrap/>
            <w:vAlign w:val="center"/>
            <w:hideMark/>
          </w:tcPr>
          <w:p w14:paraId="4B05D791" w14:textId="3AAA04E6" w:rsidR="004F3A2A" w:rsidRPr="007306BE" w:rsidRDefault="004F3A2A" w:rsidP="004F3A2A">
            <w:pPr>
              <w:spacing w:after="0" w:line="240" w:lineRule="auto"/>
              <w:jc w:val="right"/>
              <w:rPr>
                <w:rFonts w:ascii="Calibri" w:eastAsia="Times New Roman" w:hAnsi="Calibri" w:cs="Calibri"/>
                <w:sz w:val="16"/>
                <w:szCs w:val="16"/>
              </w:rPr>
            </w:pPr>
            <w:r w:rsidRPr="007306BE">
              <w:rPr>
                <w:rFonts w:ascii="Calibri" w:eastAsia="Times New Roman" w:hAnsi="Calibri" w:cs="Calibri"/>
                <w:sz w:val="16"/>
                <w:szCs w:val="16"/>
              </w:rPr>
              <w:t xml:space="preserve"> (3.481.365)</w:t>
            </w:r>
          </w:p>
        </w:tc>
      </w:tr>
      <w:tr w:rsidR="004F3A2A" w:rsidRPr="004F3A2A" w14:paraId="6CC3587A" w14:textId="77777777" w:rsidTr="00F47F4D">
        <w:trPr>
          <w:trHeight w:hRule="exact" w:val="227"/>
        </w:trPr>
        <w:tc>
          <w:tcPr>
            <w:tcW w:w="2558" w:type="pct"/>
            <w:tcBorders>
              <w:top w:val="single" w:sz="6" w:space="0" w:color="BFBFBF" w:themeColor="background1" w:themeShade="BF"/>
              <w:left w:val="nil"/>
              <w:bottom w:val="single" w:sz="8" w:space="0" w:color="auto"/>
              <w:right w:val="nil"/>
            </w:tcBorders>
            <w:shd w:val="clear" w:color="auto" w:fill="auto"/>
            <w:vAlign w:val="center"/>
            <w:hideMark/>
          </w:tcPr>
          <w:p w14:paraId="3A57DCD9" w14:textId="4B46EDD1" w:rsidR="004F3A2A" w:rsidRPr="004F3A2A" w:rsidRDefault="004F3A2A" w:rsidP="004F3A2A">
            <w:pPr>
              <w:spacing w:after="0" w:line="240" w:lineRule="auto"/>
              <w:rPr>
                <w:rFonts w:ascii="Calibri" w:eastAsia="Times New Roman" w:hAnsi="Calibri" w:cs="Calibri"/>
                <w:b/>
                <w:bCs/>
                <w:sz w:val="16"/>
                <w:szCs w:val="16"/>
              </w:rPr>
            </w:pPr>
            <w:r w:rsidRPr="004F3A2A">
              <w:rPr>
                <w:rFonts w:ascii="Calibri" w:eastAsia="Times New Roman" w:hAnsi="Calibri" w:cs="Calibri"/>
                <w:b/>
                <w:bCs/>
                <w:sz w:val="16"/>
                <w:szCs w:val="16"/>
              </w:rPr>
              <w:t>Base de Cálculo da CSLL</w:t>
            </w:r>
            <w:r w:rsidR="007306BE">
              <w:rPr>
                <w:rFonts w:ascii="Calibri" w:eastAsia="Times New Roman" w:hAnsi="Calibri" w:cs="Calibri"/>
                <w:b/>
                <w:bCs/>
                <w:sz w:val="16"/>
                <w:szCs w:val="16"/>
              </w:rPr>
              <w:t xml:space="preserve"> / Lucro Real</w:t>
            </w:r>
            <w:r w:rsidRPr="004F3A2A">
              <w:rPr>
                <w:rFonts w:ascii="Calibri" w:eastAsia="Times New Roman" w:hAnsi="Calibri" w:cs="Calibri"/>
                <w:b/>
                <w:bCs/>
                <w:sz w:val="16"/>
                <w:szCs w:val="16"/>
              </w:rPr>
              <w:br/>
              <w:t xml:space="preserve">Lucro Real </w:t>
            </w:r>
          </w:p>
        </w:tc>
        <w:tc>
          <w:tcPr>
            <w:tcW w:w="1844" w:type="pct"/>
            <w:tcBorders>
              <w:top w:val="single" w:sz="6" w:space="0" w:color="BFBFBF" w:themeColor="background1" w:themeShade="BF"/>
              <w:left w:val="nil"/>
              <w:bottom w:val="single" w:sz="8" w:space="0" w:color="auto"/>
              <w:right w:val="nil"/>
            </w:tcBorders>
            <w:shd w:val="clear" w:color="auto" w:fill="auto"/>
            <w:noWrap/>
            <w:vAlign w:val="center"/>
            <w:hideMark/>
          </w:tcPr>
          <w:p w14:paraId="57C0462D" w14:textId="05D201C5"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 xml:space="preserve"> 8.123.185 </w:t>
            </w:r>
          </w:p>
        </w:tc>
        <w:tc>
          <w:tcPr>
            <w:tcW w:w="599" w:type="pct"/>
            <w:tcBorders>
              <w:top w:val="single" w:sz="6" w:space="0" w:color="BFBFBF" w:themeColor="background1" w:themeShade="BF"/>
              <w:left w:val="nil"/>
              <w:bottom w:val="single" w:sz="8" w:space="0" w:color="auto"/>
              <w:right w:val="nil"/>
            </w:tcBorders>
            <w:shd w:val="clear" w:color="auto" w:fill="auto"/>
            <w:noWrap/>
            <w:vAlign w:val="center"/>
            <w:hideMark/>
          </w:tcPr>
          <w:p w14:paraId="065101EB" w14:textId="6A984170"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 xml:space="preserve"> 8.123.185 </w:t>
            </w:r>
          </w:p>
        </w:tc>
      </w:tr>
      <w:tr w:rsidR="004F3A2A" w:rsidRPr="004F3A2A" w14:paraId="7CC509C6" w14:textId="77777777" w:rsidTr="00F47F4D">
        <w:trPr>
          <w:trHeight w:hRule="exact" w:val="227"/>
        </w:trPr>
        <w:tc>
          <w:tcPr>
            <w:tcW w:w="2558" w:type="pct"/>
            <w:tcBorders>
              <w:top w:val="single" w:sz="8" w:space="0" w:color="auto"/>
              <w:left w:val="nil"/>
              <w:bottom w:val="single" w:sz="6" w:space="0" w:color="BFBFBF" w:themeColor="background1" w:themeShade="BF"/>
              <w:right w:val="nil"/>
            </w:tcBorders>
            <w:shd w:val="clear" w:color="000000" w:fill="DEEAF6"/>
            <w:noWrap/>
            <w:vAlign w:val="center"/>
            <w:hideMark/>
          </w:tcPr>
          <w:p w14:paraId="1D2644CC" w14:textId="2BF89101" w:rsidR="004F3A2A" w:rsidRPr="004F3A2A" w:rsidRDefault="004F3A2A" w:rsidP="004F3A2A">
            <w:pPr>
              <w:spacing w:after="0" w:line="240" w:lineRule="auto"/>
              <w:rPr>
                <w:rFonts w:ascii="Calibri" w:eastAsia="Times New Roman" w:hAnsi="Calibri" w:cs="Calibri"/>
                <w:b/>
                <w:bCs/>
                <w:sz w:val="16"/>
                <w:szCs w:val="16"/>
              </w:rPr>
            </w:pPr>
            <w:r w:rsidRPr="004F3A2A">
              <w:rPr>
                <w:rFonts w:ascii="Calibri" w:eastAsia="Times New Roman" w:hAnsi="Calibri" w:cs="Calibri"/>
                <w:b/>
                <w:bCs/>
                <w:sz w:val="16"/>
                <w:szCs w:val="16"/>
              </w:rPr>
              <w:t>CSLL</w:t>
            </w:r>
            <w:r w:rsidR="007306BE">
              <w:rPr>
                <w:rFonts w:ascii="Calibri" w:eastAsia="Times New Roman" w:hAnsi="Calibri" w:cs="Calibri"/>
                <w:b/>
                <w:bCs/>
                <w:sz w:val="16"/>
                <w:szCs w:val="16"/>
              </w:rPr>
              <w:t xml:space="preserve"> </w:t>
            </w:r>
            <w:r w:rsidRPr="004F3A2A">
              <w:rPr>
                <w:rFonts w:ascii="Calibri" w:eastAsia="Times New Roman" w:hAnsi="Calibri" w:cs="Calibri"/>
                <w:b/>
                <w:bCs/>
                <w:sz w:val="16"/>
                <w:szCs w:val="16"/>
              </w:rPr>
              <w:t xml:space="preserve">/ IRPJ </w:t>
            </w:r>
            <w:r w:rsidR="007306BE">
              <w:rPr>
                <w:rFonts w:ascii="Calibri" w:eastAsia="Times New Roman" w:hAnsi="Calibri" w:cs="Calibri"/>
                <w:b/>
                <w:bCs/>
                <w:sz w:val="16"/>
                <w:szCs w:val="16"/>
              </w:rPr>
              <w:t>do período</w:t>
            </w:r>
          </w:p>
        </w:tc>
        <w:tc>
          <w:tcPr>
            <w:tcW w:w="1844" w:type="pct"/>
            <w:tcBorders>
              <w:top w:val="single" w:sz="8" w:space="0" w:color="auto"/>
              <w:left w:val="nil"/>
              <w:bottom w:val="single" w:sz="6" w:space="0" w:color="BFBFBF" w:themeColor="background1" w:themeShade="BF"/>
              <w:right w:val="nil"/>
            </w:tcBorders>
            <w:shd w:val="clear" w:color="000000" w:fill="DEEAF6"/>
            <w:noWrap/>
            <w:vAlign w:val="center"/>
            <w:hideMark/>
          </w:tcPr>
          <w:p w14:paraId="6029FEFA" w14:textId="6FFDF7A1"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 xml:space="preserve">731.087 </w:t>
            </w:r>
          </w:p>
        </w:tc>
        <w:tc>
          <w:tcPr>
            <w:tcW w:w="599" w:type="pct"/>
            <w:tcBorders>
              <w:top w:val="single" w:sz="8" w:space="0" w:color="auto"/>
              <w:left w:val="nil"/>
              <w:bottom w:val="single" w:sz="6" w:space="0" w:color="BFBFBF" w:themeColor="background1" w:themeShade="BF"/>
              <w:right w:val="nil"/>
            </w:tcBorders>
            <w:shd w:val="clear" w:color="000000" w:fill="DEEAF6"/>
            <w:noWrap/>
            <w:vAlign w:val="center"/>
            <w:hideMark/>
          </w:tcPr>
          <w:p w14:paraId="4627B7DA" w14:textId="5F1DEC5E" w:rsidR="004F3A2A" w:rsidRPr="004F3A2A" w:rsidRDefault="004F3A2A" w:rsidP="004F3A2A">
            <w:pPr>
              <w:spacing w:after="0" w:line="240" w:lineRule="auto"/>
              <w:jc w:val="right"/>
              <w:rPr>
                <w:rFonts w:ascii="Calibri" w:eastAsia="Times New Roman" w:hAnsi="Calibri" w:cs="Calibri"/>
                <w:b/>
                <w:bCs/>
                <w:sz w:val="16"/>
                <w:szCs w:val="16"/>
              </w:rPr>
            </w:pPr>
            <w:r w:rsidRPr="004F3A2A">
              <w:rPr>
                <w:rFonts w:ascii="Calibri" w:eastAsia="Times New Roman" w:hAnsi="Calibri" w:cs="Calibri"/>
                <w:b/>
                <w:bCs/>
                <w:sz w:val="16"/>
                <w:szCs w:val="16"/>
              </w:rPr>
              <w:t xml:space="preserve"> 2.024.796 </w:t>
            </w:r>
          </w:p>
        </w:tc>
      </w:tr>
    </w:tbl>
    <w:p w14:paraId="62601225" w14:textId="77777777" w:rsidR="0098072A" w:rsidRDefault="0098072A" w:rsidP="0098072A"/>
    <w:p w14:paraId="29DDE797" w14:textId="4E851414" w:rsidR="00E71553" w:rsidRPr="000C30F5" w:rsidRDefault="00F00C88" w:rsidP="000C30F5">
      <w:pPr>
        <w:pStyle w:val="Ttulo1"/>
      </w:pPr>
      <w:bookmarkStart w:id="101" w:name="_Toc184926705"/>
      <w:r w:rsidRPr="000C30F5">
        <w:t>3</w:t>
      </w:r>
      <w:r w:rsidR="00454BFD">
        <w:t>6</w:t>
      </w:r>
      <w:r w:rsidR="00E71553" w:rsidRPr="000C30F5">
        <w:t xml:space="preserve"> – </w:t>
      </w:r>
      <w:r w:rsidRPr="000C30F5">
        <w:t>Resultado do Exercício</w:t>
      </w:r>
      <w:bookmarkEnd w:id="101"/>
    </w:p>
    <w:p w14:paraId="389C7180" w14:textId="5B86478E" w:rsidR="00E71553" w:rsidRPr="000C30F5" w:rsidRDefault="00E71553" w:rsidP="000C30F5">
      <w:pPr>
        <w:spacing w:before="120" w:line="240" w:lineRule="auto"/>
        <w:ind w:right="-142"/>
        <w:jc w:val="both"/>
        <w:rPr>
          <w:color w:val="000000" w:themeColor="text1"/>
          <w:sz w:val="20"/>
          <w:szCs w:val="20"/>
        </w:rPr>
      </w:pPr>
      <w:r w:rsidRPr="000C30F5">
        <w:rPr>
          <w:sz w:val="20"/>
          <w:szCs w:val="20"/>
        </w:rPr>
        <w:t xml:space="preserve">No </w:t>
      </w:r>
      <w:r w:rsidR="0030188E" w:rsidRPr="000C30F5">
        <w:rPr>
          <w:sz w:val="20"/>
          <w:szCs w:val="20"/>
        </w:rPr>
        <w:t>primeiro trimestre de 2024</w:t>
      </w:r>
      <w:r w:rsidRPr="000C30F5">
        <w:rPr>
          <w:sz w:val="20"/>
          <w:szCs w:val="20"/>
        </w:rPr>
        <w:t xml:space="preserve">, a Infra S.A. apresentou </w:t>
      </w:r>
      <w:r w:rsidR="004640E6">
        <w:rPr>
          <w:sz w:val="20"/>
          <w:szCs w:val="20"/>
        </w:rPr>
        <w:t>resultado positivo</w:t>
      </w:r>
      <w:r w:rsidRPr="000C30F5">
        <w:rPr>
          <w:sz w:val="20"/>
          <w:szCs w:val="20"/>
        </w:rPr>
        <w:t xml:space="preserve"> de </w:t>
      </w:r>
      <w:r w:rsidR="00570047" w:rsidRPr="000C30F5">
        <w:rPr>
          <w:sz w:val="20"/>
          <w:szCs w:val="20"/>
        </w:rPr>
        <w:t xml:space="preserve">R$ </w:t>
      </w:r>
      <w:r w:rsidR="00697735" w:rsidRPr="000C30F5">
        <w:rPr>
          <w:sz w:val="20"/>
          <w:szCs w:val="20"/>
        </w:rPr>
        <w:t>31</w:t>
      </w:r>
      <w:r w:rsidR="00481F8B" w:rsidRPr="000C30F5">
        <w:rPr>
          <w:sz w:val="20"/>
          <w:szCs w:val="20"/>
        </w:rPr>
        <w:t>,</w:t>
      </w:r>
      <w:r w:rsidR="00D15ECD" w:rsidRPr="000C30F5">
        <w:rPr>
          <w:sz w:val="20"/>
          <w:szCs w:val="20"/>
        </w:rPr>
        <w:t>21</w:t>
      </w:r>
      <w:r w:rsidR="0052506A" w:rsidRPr="000C30F5">
        <w:rPr>
          <w:sz w:val="20"/>
          <w:szCs w:val="20"/>
        </w:rPr>
        <w:t xml:space="preserve"> mil</w:t>
      </w:r>
      <w:r w:rsidR="00E42ACC" w:rsidRPr="000C30F5">
        <w:rPr>
          <w:sz w:val="20"/>
          <w:szCs w:val="20"/>
        </w:rPr>
        <w:t>hões</w:t>
      </w:r>
      <w:r w:rsidR="00A7538B" w:rsidRPr="000C30F5">
        <w:rPr>
          <w:sz w:val="20"/>
          <w:szCs w:val="20"/>
        </w:rPr>
        <w:t>:</w:t>
      </w:r>
    </w:p>
    <w:tbl>
      <w:tblPr>
        <w:tblW w:w="5000" w:type="pct"/>
        <w:tblCellMar>
          <w:left w:w="70" w:type="dxa"/>
          <w:right w:w="70" w:type="dxa"/>
        </w:tblCellMar>
        <w:tblLook w:val="04A0" w:firstRow="1" w:lastRow="0" w:firstColumn="1" w:lastColumn="0" w:noHBand="0" w:noVBand="1"/>
      </w:tblPr>
      <w:tblGrid>
        <w:gridCol w:w="8073"/>
        <w:gridCol w:w="1197"/>
        <w:gridCol w:w="1197"/>
      </w:tblGrid>
      <w:tr w:rsidR="0074107B" w:rsidRPr="000C30F5" w14:paraId="4F3EF449" w14:textId="77777777" w:rsidTr="005208A0">
        <w:trPr>
          <w:trHeight w:val="227"/>
        </w:trPr>
        <w:tc>
          <w:tcPr>
            <w:tcW w:w="7649" w:type="dxa"/>
            <w:tcBorders>
              <w:top w:val="nil"/>
              <w:left w:val="nil"/>
              <w:bottom w:val="single" w:sz="8" w:space="0" w:color="auto"/>
              <w:right w:val="nil"/>
            </w:tcBorders>
            <w:shd w:val="clear" w:color="000000" w:fill="DDEBF7"/>
            <w:noWrap/>
            <w:vAlign w:val="center"/>
            <w:hideMark/>
          </w:tcPr>
          <w:p w14:paraId="51D50D27" w14:textId="77777777" w:rsidR="0074107B" w:rsidRPr="000C30F5" w:rsidRDefault="0074107B"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 </w:t>
            </w:r>
          </w:p>
        </w:tc>
        <w:tc>
          <w:tcPr>
            <w:tcW w:w="1134" w:type="dxa"/>
            <w:tcBorders>
              <w:top w:val="nil"/>
              <w:left w:val="nil"/>
              <w:bottom w:val="single" w:sz="8" w:space="0" w:color="auto"/>
              <w:right w:val="nil"/>
            </w:tcBorders>
            <w:shd w:val="clear" w:color="000000" w:fill="DDEBF7"/>
            <w:noWrap/>
            <w:vAlign w:val="center"/>
            <w:hideMark/>
          </w:tcPr>
          <w:p w14:paraId="7566757E" w14:textId="77777777" w:rsidR="0074107B" w:rsidRPr="000C30F5" w:rsidRDefault="0074107B"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noWrap/>
            <w:vAlign w:val="center"/>
            <w:hideMark/>
          </w:tcPr>
          <w:p w14:paraId="76B66B4A" w14:textId="77777777" w:rsidR="0074107B" w:rsidRPr="000C30F5" w:rsidRDefault="0074107B"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74107B" w:rsidRPr="000C30F5" w14:paraId="69B63001" w14:textId="77777777" w:rsidTr="005208A0">
        <w:trPr>
          <w:trHeight w:val="227"/>
        </w:trPr>
        <w:tc>
          <w:tcPr>
            <w:tcW w:w="7649" w:type="dxa"/>
            <w:tcBorders>
              <w:top w:val="nil"/>
              <w:left w:val="nil"/>
              <w:bottom w:val="single" w:sz="8" w:space="0" w:color="auto"/>
              <w:right w:val="nil"/>
            </w:tcBorders>
            <w:shd w:val="clear" w:color="auto" w:fill="auto"/>
            <w:noWrap/>
            <w:vAlign w:val="center"/>
            <w:hideMark/>
          </w:tcPr>
          <w:p w14:paraId="3D2E7ED8" w14:textId="77777777" w:rsidR="0074107B" w:rsidRPr="000C30F5" w:rsidRDefault="0074107B" w:rsidP="000C30F5">
            <w:pPr>
              <w:spacing w:after="0" w:line="240" w:lineRule="auto"/>
              <w:jc w:val="both"/>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Resultado do Exercício </w:t>
            </w:r>
          </w:p>
        </w:tc>
        <w:tc>
          <w:tcPr>
            <w:tcW w:w="1134" w:type="dxa"/>
            <w:tcBorders>
              <w:top w:val="nil"/>
              <w:left w:val="nil"/>
              <w:bottom w:val="single" w:sz="8" w:space="0" w:color="auto"/>
              <w:right w:val="nil"/>
            </w:tcBorders>
            <w:shd w:val="clear" w:color="auto" w:fill="auto"/>
            <w:noWrap/>
            <w:vAlign w:val="center"/>
            <w:hideMark/>
          </w:tcPr>
          <w:p w14:paraId="3BC4F4A5" w14:textId="0ED83D39" w:rsidR="0074107B" w:rsidRPr="000C30F5" w:rsidRDefault="00D15ECD"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31</w:t>
            </w:r>
            <w:r w:rsidR="0074107B" w:rsidRPr="000C30F5">
              <w:rPr>
                <w:rFonts w:ascii="Calibri" w:eastAsia="Times New Roman" w:hAnsi="Calibri" w:cs="Calibri"/>
                <w:color w:val="000000"/>
                <w:sz w:val="16"/>
                <w:szCs w:val="16"/>
              </w:rPr>
              <w:t>.</w:t>
            </w:r>
            <w:r w:rsidRPr="000C30F5">
              <w:rPr>
                <w:rFonts w:ascii="Calibri" w:eastAsia="Times New Roman" w:hAnsi="Calibri" w:cs="Calibri"/>
                <w:color w:val="000000"/>
                <w:sz w:val="16"/>
                <w:szCs w:val="16"/>
              </w:rPr>
              <w:t>212</w:t>
            </w:r>
            <w:r w:rsidR="0074107B" w:rsidRPr="000C30F5">
              <w:rPr>
                <w:rFonts w:ascii="Calibri" w:eastAsia="Times New Roman" w:hAnsi="Calibri" w:cs="Calibri"/>
                <w:color w:val="000000"/>
                <w:sz w:val="16"/>
                <w:szCs w:val="16"/>
              </w:rPr>
              <w:t>.</w:t>
            </w:r>
            <w:r w:rsidRPr="000C30F5">
              <w:rPr>
                <w:rFonts w:ascii="Calibri" w:eastAsia="Times New Roman" w:hAnsi="Calibri" w:cs="Calibri"/>
                <w:color w:val="000000"/>
                <w:sz w:val="16"/>
                <w:szCs w:val="16"/>
              </w:rPr>
              <w:t>137</w:t>
            </w:r>
          </w:p>
        </w:tc>
        <w:tc>
          <w:tcPr>
            <w:tcW w:w="1134" w:type="dxa"/>
            <w:tcBorders>
              <w:top w:val="nil"/>
              <w:left w:val="nil"/>
              <w:bottom w:val="single" w:sz="8" w:space="0" w:color="auto"/>
              <w:right w:val="nil"/>
            </w:tcBorders>
            <w:shd w:val="clear" w:color="auto" w:fill="auto"/>
            <w:noWrap/>
            <w:vAlign w:val="center"/>
            <w:hideMark/>
          </w:tcPr>
          <w:p w14:paraId="0DEA1F0F" w14:textId="0D5A312D" w:rsidR="0074107B" w:rsidRPr="000C30F5" w:rsidRDefault="00FA430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w:t>
            </w:r>
            <w:r w:rsidR="0074107B" w:rsidRPr="000C30F5">
              <w:rPr>
                <w:rFonts w:ascii="Calibri" w:eastAsia="Times New Roman" w:hAnsi="Calibri" w:cs="Calibri"/>
                <w:color w:val="000000"/>
                <w:sz w:val="16"/>
                <w:szCs w:val="16"/>
              </w:rPr>
              <w:t>202.066</w:t>
            </w:r>
            <w:r w:rsidRPr="000C30F5">
              <w:rPr>
                <w:rFonts w:ascii="Calibri" w:eastAsia="Times New Roman" w:hAnsi="Calibri" w:cs="Calibri"/>
                <w:color w:val="000000"/>
                <w:sz w:val="16"/>
                <w:szCs w:val="16"/>
              </w:rPr>
              <w:t>)</w:t>
            </w:r>
          </w:p>
        </w:tc>
      </w:tr>
    </w:tbl>
    <w:p w14:paraId="4F4E7540" w14:textId="232CF23E" w:rsidR="00DE0A6B" w:rsidRDefault="00E87247" w:rsidP="003E40F9">
      <w:pPr>
        <w:spacing w:before="120" w:line="240" w:lineRule="auto"/>
        <w:ind w:right="-23"/>
        <w:jc w:val="both"/>
        <w:rPr>
          <w:sz w:val="20"/>
          <w:szCs w:val="20"/>
        </w:rPr>
      </w:pPr>
      <w:r>
        <w:rPr>
          <w:sz w:val="20"/>
          <w:szCs w:val="20"/>
        </w:rPr>
        <w:t xml:space="preserve">O resultado da Companhia </w:t>
      </w:r>
      <w:r w:rsidR="00E33266">
        <w:rPr>
          <w:sz w:val="20"/>
          <w:szCs w:val="20"/>
        </w:rPr>
        <w:t>é afetado, principalmente, por despesas e receitas cons</w:t>
      </w:r>
      <w:r w:rsidR="00FF77CF">
        <w:rPr>
          <w:sz w:val="20"/>
          <w:szCs w:val="20"/>
        </w:rPr>
        <w:t xml:space="preserve">ideradas </w:t>
      </w:r>
      <w:r w:rsidR="00A44718">
        <w:rPr>
          <w:sz w:val="20"/>
          <w:szCs w:val="20"/>
        </w:rPr>
        <w:t>meramente econômicas</w:t>
      </w:r>
      <w:r w:rsidR="00535151">
        <w:rPr>
          <w:sz w:val="20"/>
          <w:szCs w:val="20"/>
        </w:rPr>
        <w:t xml:space="preserve">, tais como </w:t>
      </w:r>
      <w:r w:rsidR="00535151" w:rsidRPr="00604372">
        <w:rPr>
          <w:rFonts w:cstheme="minorHAnsi"/>
          <w:color w:val="000000" w:themeColor="text1"/>
          <w:sz w:val="20"/>
        </w:rPr>
        <w:t>depreciação, amortização</w:t>
      </w:r>
      <w:r w:rsidR="00535151">
        <w:rPr>
          <w:rFonts w:cstheme="minorHAnsi"/>
          <w:color w:val="000000" w:themeColor="text1"/>
          <w:sz w:val="20"/>
        </w:rPr>
        <w:t xml:space="preserve">, </w:t>
      </w:r>
      <w:r w:rsidR="00535151" w:rsidRPr="00604372">
        <w:rPr>
          <w:rFonts w:cstheme="minorHAnsi"/>
          <w:color w:val="000000" w:themeColor="text1"/>
          <w:sz w:val="20"/>
        </w:rPr>
        <w:t>resultado de equivalência patrimonial</w:t>
      </w:r>
      <w:r w:rsidR="00CF6923">
        <w:rPr>
          <w:rFonts w:cstheme="minorHAnsi"/>
          <w:color w:val="000000" w:themeColor="text1"/>
          <w:sz w:val="20"/>
        </w:rPr>
        <w:t>, constituição e reversão de</w:t>
      </w:r>
      <w:r w:rsidR="00CF6923" w:rsidRPr="00604372">
        <w:rPr>
          <w:rFonts w:cstheme="minorHAnsi"/>
          <w:color w:val="000000" w:themeColor="text1"/>
          <w:sz w:val="20"/>
        </w:rPr>
        <w:t xml:space="preserve"> provisões</w:t>
      </w:r>
      <w:r w:rsidR="00CF6923">
        <w:rPr>
          <w:rFonts w:cstheme="minorHAnsi"/>
          <w:color w:val="000000" w:themeColor="text1"/>
          <w:sz w:val="20"/>
        </w:rPr>
        <w:t xml:space="preserve"> para contingências</w:t>
      </w:r>
      <w:r w:rsidR="00A44718">
        <w:rPr>
          <w:sz w:val="20"/>
          <w:szCs w:val="20"/>
        </w:rPr>
        <w:t xml:space="preserve">. </w:t>
      </w:r>
    </w:p>
    <w:p w14:paraId="02B73A69" w14:textId="593E1A08" w:rsidR="00061433" w:rsidRDefault="00190D5D" w:rsidP="00EB3302">
      <w:pPr>
        <w:spacing w:before="120" w:after="0" w:line="240" w:lineRule="auto"/>
        <w:ind w:right="-23"/>
        <w:jc w:val="both"/>
        <w:rPr>
          <w:sz w:val="20"/>
          <w:szCs w:val="20"/>
        </w:rPr>
      </w:pPr>
      <w:r>
        <w:rPr>
          <w:sz w:val="20"/>
          <w:szCs w:val="20"/>
        </w:rPr>
        <w:t>No período</w:t>
      </w:r>
      <w:r w:rsidR="00DE0A6B">
        <w:rPr>
          <w:sz w:val="20"/>
          <w:szCs w:val="20"/>
        </w:rPr>
        <w:t>, o lucro apresentado</w:t>
      </w:r>
      <w:r w:rsidR="0047120E">
        <w:rPr>
          <w:sz w:val="20"/>
          <w:szCs w:val="20"/>
        </w:rPr>
        <w:t xml:space="preserve"> deve-se, basicamente, à </w:t>
      </w:r>
      <w:r>
        <w:rPr>
          <w:sz w:val="20"/>
          <w:szCs w:val="20"/>
        </w:rPr>
        <w:t xml:space="preserve">receita </w:t>
      </w:r>
      <w:r w:rsidR="00B40C8F">
        <w:rPr>
          <w:sz w:val="20"/>
          <w:szCs w:val="20"/>
        </w:rPr>
        <w:t xml:space="preserve">com </w:t>
      </w:r>
      <w:r w:rsidR="00B40C8F" w:rsidRPr="000C30F5">
        <w:rPr>
          <w:sz w:val="20"/>
          <w:szCs w:val="20"/>
        </w:rPr>
        <w:t>reversão de provisões para contingências</w:t>
      </w:r>
      <w:r w:rsidR="00E87247">
        <w:rPr>
          <w:sz w:val="20"/>
          <w:szCs w:val="20"/>
        </w:rPr>
        <w:t>,</w:t>
      </w:r>
      <w:r w:rsidR="00081413">
        <w:rPr>
          <w:sz w:val="20"/>
          <w:szCs w:val="20"/>
        </w:rPr>
        <w:t xml:space="preserve"> no montante de R$ </w:t>
      </w:r>
      <w:r w:rsidR="00081413" w:rsidRPr="001547CD">
        <w:rPr>
          <w:sz w:val="20"/>
          <w:szCs w:val="20"/>
        </w:rPr>
        <w:t>27</w:t>
      </w:r>
      <w:r w:rsidR="00081413">
        <w:rPr>
          <w:sz w:val="20"/>
          <w:szCs w:val="20"/>
        </w:rPr>
        <w:t>,</w:t>
      </w:r>
      <w:r w:rsidR="00081413" w:rsidRPr="001547CD">
        <w:rPr>
          <w:sz w:val="20"/>
          <w:szCs w:val="20"/>
        </w:rPr>
        <w:t>73</w:t>
      </w:r>
      <w:r w:rsidR="00081413">
        <w:rPr>
          <w:sz w:val="20"/>
          <w:szCs w:val="20"/>
        </w:rPr>
        <w:t xml:space="preserve"> milhões, apresentada na Nota Explicativa </w:t>
      </w:r>
      <w:r w:rsidR="00081413" w:rsidRPr="000C30F5">
        <w:rPr>
          <w:sz w:val="20"/>
          <w:szCs w:val="20"/>
        </w:rPr>
        <w:t>22</w:t>
      </w:r>
      <w:r w:rsidR="00081413">
        <w:rPr>
          <w:sz w:val="20"/>
          <w:szCs w:val="20"/>
        </w:rPr>
        <w:t>.</w:t>
      </w:r>
    </w:p>
    <w:p w14:paraId="7ED36B07" w14:textId="77777777" w:rsidR="005A1CDC" w:rsidRPr="005A1CDC" w:rsidRDefault="005A1CDC" w:rsidP="00EB3302">
      <w:pPr>
        <w:spacing w:after="0"/>
        <w:ind w:right="-142"/>
        <w:jc w:val="both"/>
        <w:rPr>
          <w:rFonts w:cstheme="minorHAnsi"/>
          <w:color w:val="000000" w:themeColor="text1"/>
          <w:sz w:val="20"/>
        </w:rPr>
      </w:pPr>
    </w:p>
    <w:p w14:paraId="188C1953" w14:textId="47DFBBDE" w:rsidR="004E00A0" w:rsidRPr="000C30F5" w:rsidRDefault="004E00A0" w:rsidP="000C30F5">
      <w:pPr>
        <w:pStyle w:val="Ttulo1"/>
      </w:pPr>
      <w:bookmarkStart w:id="102" w:name="_Toc184926706"/>
      <w:r w:rsidRPr="000C30F5">
        <w:t>3</w:t>
      </w:r>
      <w:r w:rsidR="00454BFD">
        <w:t>7</w:t>
      </w:r>
      <w:r w:rsidRPr="000C30F5">
        <w:t xml:space="preserve"> – </w:t>
      </w:r>
      <w:r w:rsidR="00731068" w:rsidRPr="000C30F5">
        <w:t xml:space="preserve">Informações </w:t>
      </w:r>
      <w:r w:rsidR="00E41BBE" w:rsidRPr="000C30F5">
        <w:t>A</w:t>
      </w:r>
      <w:r w:rsidR="00731068" w:rsidRPr="000C30F5">
        <w:t xml:space="preserve">dicionais ao </w:t>
      </w:r>
      <w:r w:rsidR="00E41BBE" w:rsidRPr="000C30F5">
        <w:t>F</w:t>
      </w:r>
      <w:r w:rsidR="00731068" w:rsidRPr="000C30F5">
        <w:t xml:space="preserve">luxo de </w:t>
      </w:r>
      <w:r w:rsidR="00E41BBE" w:rsidRPr="000C30F5">
        <w:t>C</w:t>
      </w:r>
      <w:r w:rsidR="00731068" w:rsidRPr="000C30F5">
        <w:t>aixa</w:t>
      </w:r>
      <w:bookmarkEnd w:id="102"/>
    </w:p>
    <w:p w14:paraId="1D047441" w14:textId="4EE138DE" w:rsidR="00683CDE" w:rsidRPr="000C30F5" w:rsidRDefault="00683CDE" w:rsidP="000C30F5">
      <w:pPr>
        <w:spacing w:before="120" w:line="240" w:lineRule="auto"/>
        <w:ind w:right="-142"/>
        <w:jc w:val="both"/>
        <w:rPr>
          <w:rFonts w:cstheme="minorHAnsi"/>
          <w:sz w:val="20"/>
        </w:rPr>
      </w:pPr>
      <w:r w:rsidRPr="000C30F5">
        <w:rPr>
          <w:rFonts w:cstheme="minorHAnsi"/>
          <w:sz w:val="20"/>
        </w:rPr>
        <w:t xml:space="preserve">Em atendimento ao </w:t>
      </w:r>
      <w:r w:rsidR="007A2E19" w:rsidRPr="000C30F5">
        <w:rPr>
          <w:rFonts w:cstheme="minorHAnsi"/>
          <w:sz w:val="20"/>
        </w:rPr>
        <w:t xml:space="preserve">Pronunciamento </w:t>
      </w:r>
      <w:r w:rsidR="00753DC2" w:rsidRPr="000C30F5">
        <w:rPr>
          <w:rFonts w:cstheme="minorHAnsi"/>
          <w:sz w:val="20"/>
        </w:rPr>
        <w:t>Técnico</w:t>
      </w:r>
      <w:r w:rsidR="007A2E19" w:rsidRPr="000C30F5">
        <w:rPr>
          <w:rFonts w:cstheme="minorHAnsi"/>
          <w:sz w:val="20"/>
        </w:rPr>
        <w:t xml:space="preserve"> </w:t>
      </w:r>
      <w:r w:rsidRPr="000C30F5">
        <w:rPr>
          <w:rFonts w:cstheme="minorHAnsi"/>
          <w:sz w:val="20"/>
        </w:rPr>
        <w:t xml:space="preserve">CPC 03 (R2) - Demonstração dos Fluxos de Caixa, o quadro </w:t>
      </w:r>
      <w:r w:rsidR="00F20BDE" w:rsidRPr="000C30F5">
        <w:rPr>
          <w:rFonts w:cstheme="minorHAnsi"/>
          <w:sz w:val="20"/>
        </w:rPr>
        <w:t xml:space="preserve">abaixo </w:t>
      </w:r>
      <w:r w:rsidRPr="000C30F5">
        <w:rPr>
          <w:rFonts w:cstheme="minorHAnsi"/>
          <w:sz w:val="20"/>
        </w:rPr>
        <w:t xml:space="preserve">apresenta as transações que não envolveram caixa ou equivalentes de caixa. Trata-se </w:t>
      </w:r>
      <w:r w:rsidR="00273929" w:rsidRPr="000C30F5">
        <w:rPr>
          <w:rFonts w:cstheme="minorHAnsi"/>
          <w:sz w:val="20"/>
        </w:rPr>
        <w:t>do passivo de Investimento Cruzado</w:t>
      </w:r>
      <w:r w:rsidR="00066946" w:rsidRPr="000C30F5">
        <w:rPr>
          <w:rFonts w:cstheme="minorHAnsi"/>
          <w:sz w:val="20"/>
        </w:rPr>
        <w:t>,</w:t>
      </w:r>
      <w:r w:rsidR="000D6134" w:rsidRPr="000C30F5">
        <w:rPr>
          <w:rFonts w:cstheme="minorHAnsi"/>
          <w:sz w:val="20"/>
        </w:rPr>
        <w:t xml:space="preserve"> consoante </w:t>
      </w:r>
      <w:r w:rsidR="007E371E" w:rsidRPr="000C30F5">
        <w:rPr>
          <w:rFonts w:cstheme="minorHAnsi"/>
          <w:sz w:val="20"/>
        </w:rPr>
        <w:t>Nota Explicativa</w:t>
      </w:r>
      <w:r w:rsidR="000D6134" w:rsidRPr="000C30F5">
        <w:rPr>
          <w:rFonts w:cstheme="minorHAnsi"/>
          <w:sz w:val="20"/>
        </w:rPr>
        <w:t xml:space="preserve"> </w:t>
      </w:r>
      <w:r w:rsidR="00EC78C1" w:rsidRPr="000C30F5">
        <w:rPr>
          <w:rFonts w:cstheme="minorHAnsi"/>
          <w:sz w:val="20"/>
        </w:rPr>
        <w:t>2</w:t>
      </w:r>
      <w:r w:rsidR="00170A3D" w:rsidRPr="000C30F5">
        <w:rPr>
          <w:rFonts w:cstheme="minorHAnsi"/>
          <w:sz w:val="20"/>
        </w:rPr>
        <w:t>4</w:t>
      </w:r>
      <w:r w:rsidR="00980267" w:rsidRPr="000C30F5">
        <w:rPr>
          <w:rFonts w:cstheme="minorHAnsi"/>
          <w:sz w:val="20"/>
        </w:rPr>
        <w:t xml:space="preserve">, </w:t>
      </w:r>
      <w:r w:rsidRPr="000C30F5">
        <w:rPr>
          <w:rFonts w:cstheme="minorHAnsi"/>
          <w:sz w:val="20"/>
        </w:rPr>
        <w:t>sem efeitos sobre o fluxo de caixa.</w:t>
      </w:r>
      <w:r w:rsidR="00223DF4" w:rsidRPr="000C30F5">
        <w:rPr>
          <w:rFonts w:cstheme="minorHAnsi"/>
          <w:sz w:val="20"/>
        </w:rPr>
        <w:t xml:space="preserve"> </w:t>
      </w:r>
    </w:p>
    <w:tbl>
      <w:tblPr>
        <w:tblW w:w="5000" w:type="pct"/>
        <w:tblCellMar>
          <w:left w:w="70" w:type="dxa"/>
          <w:right w:w="70" w:type="dxa"/>
        </w:tblCellMar>
        <w:tblLook w:val="04A0" w:firstRow="1" w:lastRow="0" w:firstColumn="1" w:lastColumn="0" w:noHBand="0" w:noVBand="1"/>
      </w:tblPr>
      <w:tblGrid>
        <w:gridCol w:w="7268"/>
        <w:gridCol w:w="3199"/>
      </w:tblGrid>
      <w:tr w:rsidR="007465E8" w:rsidRPr="000C30F5" w14:paraId="6F41BE77" w14:textId="77777777" w:rsidTr="007465E8">
        <w:trPr>
          <w:trHeight w:val="227"/>
        </w:trPr>
        <w:tc>
          <w:tcPr>
            <w:tcW w:w="3472" w:type="pct"/>
            <w:tcBorders>
              <w:top w:val="nil"/>
              <w:left w:val="nil"/>
              <w:bottom w:val="single" w:sz="8" w:space="0" w:color="auto"/>
              <w:right w:val="nil"/>
            </w:tcBorders>
            <w:shd w:val="clear" w:color="000000" w:fill="DDEBF7"/>
            <w:noWrap/>
            <w:vAlign w:val="center"/>
            <w:hideMark/>
          </w:tcPr>
          <w:p w14:paraId="3635ED81" w14:textId="77777777" w:rsidR="007465E8" w:rsidRPr="000C30F5" w:rsidRDefault="007465E8"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 </w:t>
            </w:r>
          </w:p>
        </w:tc>
        <w:tc>
          <w:tcPr>
            <w:tcW w:w="1528" w:type="pct"/>
            <w:tcBorders>
              <w:top w:val="nil"/>
              <w:left w:val="nil"/>
              <w:bottom w:val="single" w:sz="8" w:space="0" w:color="auto"/>
              <w:right w:val="nil"/>
            </w:tcBorders>
            <w:shd w:val="clear" w:color="000000" w:fill="DDEBF7"/>
            <w:vAlign w:val="center"/>
            <w:hideMark/>
          </w:tcPr>
          <w:p w14:paraId="4DE542D5" w14:textId="77777777" w:rsidR="007465E8" w:rsidRPr="000C30F5" w:rsidRDefault="007465E8"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r>
      <w:tr w:rsidR="007465E8" w:rsidRPr="000C30F5" w14:paraId="7A0695AA" w14:textId="77777777" w:rsidTr="005208A0">
        <w:trPr>
          <w:trHeight w:val="227"/>
        </w:trPr>
        <w:tc>
          <w:tcPr>
            <w:tcW w:w="3472" w:type="pct"/>
            <w:tcBorders>
              <w:top w:val="nil"/>
              <w:left w:val="nil"/>
              <w:bottom w:val="nil"/>
              <w:right w:val="nil"/>
            </w:tcBorders>
            <w:shd w:val="clear" w:color="auto" w:fill="auto"/>
            <w:noWrap/>
            <w:vAlign w:val="center"/>
            <w:hideMark/>
          </w:tcPr>
          <w:p w14:paraId="4834DA4F" w14:textId="77777777" w:rsidR="007465E8" w:rsidRPr="000C30F5" w:rsidRDefault="007465E8"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Atividades de Investimento</w:t>
            </w:r>
          </w:p>
        </w:tc>
        <w:tc>
          <w:tcPr>
            <w:tcW w:w="1528" w:type="pct"/>
            <w:tcBorders>
              <w:top w:val="nil"/>
              <w:left w:val="nil"/>
              <w:bottom w:val="nil"/>
              <w:right w:val="nil"/>
            </w:tcBorders>
            <w:shd w:val="clear" w:color="auto" w:fill="auto"/>
            <w:noWrap/>
            <w:vAlign w:val="center"/>
            <w:hideMark/>
          </w:tcPr>
          <w:p w14:paraId="2EA7E4F0" w14:textId="11A5366D" w:rsidR="007465E8" w:rsidRPr="00D10118" w:rsidRDefault="00D10118" w:rsidP="000C30F5">
            <w:pPr>
              <w:spacing w:after="0" w:line="240" w:lineRule="auto"/>
              <w:jc w:val="right"/>
              <w:rPr>
                <w:rFonts w:ascii="Calibri" w:eastAsia="Times New Roman" w:hAnsi="Calibri" w:cs="Calibri"/>
                <w:b/>
                <w:bCs/>
                <w:color w:val="000000"/>
                <w:sz w:val="16"/>
                <w:szCs w:val="16"/>
              </w:rPr>
            </w:pPr>
            <w:r w:rsidRPr="00D10118">
              <w:rPr>
                <w:rFonts w:ascii="Calibri" w:eastAsia="Times New Roman" w:hAnsi="Calibri" w:cs="Calibri"/>
                <w:b/>
                <w:bCs/>
                <w:color w:val="000000"/>
                <w:sz w:val="16"/>
                <w:szCs w:val="16"/>
              </w:rPr>
              <w:t>164.223.046</w:t>
            </w:r>
          </w:p>
        </w:tc>
      </w:tr>
      <w:tr w:rsidR="007465E8" w:rsidRPr="000C30F5" w14:paraId="1DE7930B" w14:textId="77777777" w:rsidTr="005208A0">
        <w:trPr>
          <w:trHeight w:val="227"/>
        </w:trPr>
        <w:tc>
          <w:tcPr>
            <w:tcW w:w="3472" w:type="pct"/>
            <w:tcBorders>
              <w:top w:val="nil"/>
              <w:left w:val="nil"/>
              <w:bottom w:val="nil"/>
              <w:right w:val="nil"/>
            </w:tcBorders>
            <w:shd w:val="clear" w:color="auto" w:fill="auto"/>
            <w:noWrap/>
            <w:vAlign w:val="center"/>
            <w:hideMark/>
          </w:tcPr>
          <w:p w14:paraId="69A889B9" w14:textId="77777777" w:rsidR="007465E8" w:rsidRPr="000C30F5" w:rsidRDefault="007465E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Imobilizado em Construção (FICO)</w:t>
            </w:r>
          </w:p>
        </w:tc>
        <w:tc>
          <w:tcPr>
            <w:tcW w:w="1528" w:type="pct"/>
            <w:tcBorders>
              <w:top w:val="nil"/>
              <w:left w:val="nil"/>
              <w:bottom w:val="nil"/>
              <w:right w:val="nil"/>
            </w:tcBorders>
            <w:shd w:val="clear" w:color="auto" w:fill="auto"/>
            <w:noWrap/>
            <w:vAlign w:val="center"/>
            <w:hideMark/>
          </w:tcPr>
          <w:p w14:paraId="01B87EDD" w14:textId="77777777" w:rsidR="007465E8" w:rsidRPr="000C30F5" w:rsidRDefault="007465E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 xml:space="preserve">164.223.046 </w:t>
            </w:r>
          </w:p>
        </w:tc>
      </w:tr>
      <w:tr w:rsidR="007465E8" w:rsidRPr="000C30F5" w14:paraId="47A745EE" w14:textId="77777777" w:rsidTr="005208A0">
        <w:trPr>
          <w:trHeight w:val="227"/>
        </w:trPr>
        <w:tc>
          <w:tcPr>
            <w:tcW w:w="3472" w:type="pct"/>
            <w:tcBorders>
              <w:top w:val="nil"/>
              <w:left w:val="nil"/>
              <w:bottom w:val="nil"/>
              <w:right w:val="nil"/>
            </w:tcBorders>
            <w:shd w:val="clear" w:color="auto" w:fill="auto"/>
            <w:noWrap/>
            <w:vAlign w:val="center"/>
            <w:hideMark/>
          </w:tcPr>
          <w:p w14:paraId="5800CDA9" w14:textId="77777777" w:rsidR="007465E8" w:rsidRPr="000C30F5" w:rsidRDefault="007465E8"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Atividades de Financiamento</w:t>
            </w:r>
          </w:p>
        </w:tc>
        <w:tc>
          <w:tcPr>
            <w:tcW w:w="1528" w:type="pct"/>
            <w:tcBorders>
              <w:top w:val="nil"/>
              <w:left w:val="nil"/>
              <w:bottom w:val="nil"/>
              <w:right w:val="nil"/>
            </w:tcBorders>
            <w:shd w:val="clear" w:color="auto" w:fill="auto"/>
            <w:noWrap/>
            <w:vAlign w:val="center"/>
            <w:hideMark/>
          </w:tcPr>
          <w:p w14:paraId="31DEB3DF" w14:textId="5734609D" w:rsidR="007465E8" w:rsidRPr="000C30F5" w:rsidRDefault="00D10118" w:rsidP="000C30F5">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D10118">
              <w:rPr>
                <w:rFonts w:ascii="Calibri" w:eastAsia="Times New Roman" w:hAnsi="Calibri" w:cs="Calibri"/>
                <w:b/>
                <w:bCs/>
                <w:color w:val="000000"/>
                <w:sz w:val="16"/>
                <w:szCs w:val="16"/>
              </w:rPr>
              <w:t>164.223.046</w:t>
            </w:r>
            <w:r>
              <w:rPr>
                <w:rFonts w:ascii="Calibri" w:eastAsia="Times New Roman" w:hAnsi="Calibri" w:cs="Calibri"/>
                <w:b/>
                <w:bCs/>
                <w:color w:val="000000"/>
                <w:sz w:val="16"/>
                <w:szCs w:val="16"/>
              </w:rPr>
              <w:t>)</w:t>
            </w:r>
          </w:p>
        </w:tc>
      </w:tr>
      <w:tr w:rsidR="007465E8" w:rsidRPr="000C30F5" w14:paraId="27D546FE" w14:textId="77777777" w:rsidTr="005208A0">
        <w:trPr>
          <w:trHeight w:val="227"/>
        </w:trPr>
        <w:tc>
          <w:tcPr>
            <w:tcW w:w="3472" w:type="pct"/>
            <w:tcBorders>
              <w:top w:val="nil"/>
              <w:left w:val="nil"/>
              <w:bottom w:val="nil"/>
              <w:right w:val="nil"/>
            </w:tcBorders>
            <w:shd w:val="clear" w:color="auto" w:fill="auto"/>
            <w:noWrap/>
            <w:vAlign w:val="center"/>
            <w:hideMark/>
          </w:tcPr>
          <w:p w14:paraId="7732A615" w14:textId="77777777" w:rsidR="007465E8" w:rsidRPr="000C30F5" w:rsidRDefault="007465E8"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Investimento Cruzado</w:t>
            </w:r>
          </w:p>
        </w:tc>
        <w:tc>
          <w:tcPr>
            <w:tcW w:w="1528" w:type="pct"/>
            <w:tcBorders>
              <w:top w:val="nil"/>
              <w:left w:val="nil"/>
              <w:bottom w:val="nil"/>
              <w:right w:val="nil"/>
            </w:tcBorders>
            <w:shd w:val="clear" w:color="auto" w:fill="auto"/>
            <w:noWrap/>
            <w:vAlign w:val="center"/>
            <w:hideMark/>
          </w:tcPr>
          <w:p w14:paraId="6D1A5FAC" w14:textId="77777777" w:rsidR="007465E8" w:rsidRPr="000C30F5" w:rsidRDefault="007465E8"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(164.223.046)</w:t>
            </w:r>
          </w:p>
        </w:tc>
      </w:tr>
    </w:tbl>
    <w:p w14:paraId="3D1156DF" w14:textId="77777777" w:rsidR="00981131" w:rsidRPr="000C30F5" w:rsidRDefault="00981131" w:rsidP="000C30F5">
      <w:pPr>
        <w:spacing w:after="0"/>
        <w:jc w:val="both"/>
        <w:rPr>
          <w:rFonts w:ascii="Calibri" w:hAnsi="Calibri" w:cs="Calibri"/>
          <w:color w:val="FF0000"/>
        </w:rPr>
      </w:pPr>
    </w:p>
    <w:p w14:paraId="56D108E7" w14:textId="764C2C37" w:rsidR="00E71553" w:rsidRPr="000C30F5" w:rsidRDefault="009462AB" w:rsidP="000C30F5">
      <w:pPr>
        <w:pStyle w:val="Ttulo1"/>
      </w:pPr>
      <w:bookmarkStart w:id="103" w:name="_Toc184926707"/>
      <w:r w:rsidRPr="000C30F5">
        <w:t>3</w:t>
      </w:r>
      <w:r w:rsidR="00454BFD">
        <w:t>8</w:t>
      </w:r>
      <w:r w:rsidR="00E71553" w:rsidRPr="000C30F5">
        <w:t xml:space="preserve"> – </w:t>
      </w:r>
      <w:r w:rsidR="00F20D63" w:rsidRPr="000C30F5">
        <w:t>Informações Complementares às Demonstrações Financeiras</w:t>
      </w:r>
      <w:bookmarkEnd w:id="103"/>
      <w:r w:rsidR="00F20D63" w:rsidRPr="000C30F5">
        <w:t xml:space="preserve"> </w:t>
      </w:r>
    </w:p>
    <w:p w14:paraId="06E20F0F" w14:textId="77777777" w:rsidR="00AD5ABB" w:rsidRPr="00C000AF" w:rsidRDefault="00AD5ABB" w:rsidP="00C000AF">
      <w:pPr>
        <w:spacing w:before="120"/>
        <w:jc w:val="both"/>
        <w:rPr>
          <w:rFonts w:cstheme="minorHAnsi"/>
          <w:sz w:val="20"/>
        </w:rPr>
      </w:pPr>
      <w:bookmarkStart w:id="104" w:name="_Toc152230764"/>
      <w:r w:rsidRPr="00C000AF">
        <w:rPr>
          <w:rFonts w:cstheme="minorHAnsi"/>
          <w:sz w:val="20"/>
        </w:rPr>
        <w:t>As informações complementares são informações que não são apresentadas nas demonstrações financeiras, mas que são consideradas relevantes para divulgação.</w:t>
      </w:r>
    </w:p>
    <w:p w14:paraId="3B17AF53" w14:textId="08758F6A" w:rsidR="00F74441" w:rsidRPr="000C30F5" w:rsidRDefault="00F74441" w:rsidP="000C30F5">
      <w:pPr>
        <w:pStyle w:val="Ttulo2"/>
      </w:pPr>
      <w:bookmarkStart w:id="105" w:name="_Toc184926708"/>
      <w:r w:rsidRPr="000C30F5">
        <w:t>3</w:t>
      </w:r>
      <w:r w:rsidR="00454BFD">
        <w:t>8</w:t>
      </w:r>
      <w:r w:rsidRPr="000C30F5">
        <w:t xml:space="preserve">.1 </w:t>
      </w:r>
      <w:r w:rsidR="004B6C8A" w:rsidRPr="000C30F5">
        <w:t>–</w:t>
      </w:r>
      <w:r w:rsidRPr="000C30F5">
        <w:t xml:space="preserve"> Remuneração de Diretores, Empregados, Conselheiros e Comissionados</w:t>
      </w:r>
      <w:bookmarkEnd w:id="104"/>
      <w:bookmarkEnd w:id="105"/>
    </w:p>
    <w:p w14:paraId="16ADC4F1" w14:textId="6714EDE2" w:rsidR="00F74441" w:rsidRPr="000C30F5" w:rsidRDefault="00F74441" w:rsidP="000C30F5">
      <w:pPr>
        <w:spacing w:before="120"/>
        <w:jc w:val="both"/>
        <w:rPr>
          <w:rFonts w:cstheme="minorHAnsi"/>
          <w:sz w:val="20"/>
        </w:rPr>
      </w:pPr>
      <w:r w:rsidRPr="000C30F5">
        <w:rPr>
          <w:rFonts w:cstheme="minorHAnsi"/>
          <w:sz w:val="20"/>
        </w:rPr>
        <w:t xml:space="preserve">As remunerações médias pagas aos diretores, aos empregados, aos conselheiros e aos comissionados, no </w:t>
      </w:r>
      <w:r w:rsidR="0030188E" w:rsidRPr="000C30F5">
        <w:rPr>
          <w:rFonts w:cstheme="minorHAnsi"/>
          <w:sz w:val="20"/>
        </w:rPr>
        <w:t>primeiro trimestre de 2024</w:t>
      </w:r>
      <w:r w:rsidRPr="000C30F5">
        <w:rPr>
          <w:rFonts w:cstheme="minorHAnsi"/>
          <w:sz w:val="20"/>
        </w:rPr>
        <w:t>, foram de:</w:t>
      </w:r>
    </w:p>
    <w:tbl>
      <w:tblPr>
        <w:tblW w:w="5000" w:type="pct"/>
        <w:tblCellMar>
          <w:left w:w="70" w:type="dxa"/>
          <w:right w:w="70" w:type="dxa"/>
        </w:tblCellMar>
        <w:tblLook w:val="04A0" w:firstRow="1" w:lastRow="0" w:firstColumn="1" w:lastColumn="0" w:noHBand="0" w:noVBand="1"/>
      </w:tblPr>
      <w:tblGrid>
        <w:gridCol w:w="6993"/>
        <w:gridCol w:w="1158"/>
        <w:gridCol w:w="1158"/>
        <w:gridCol w:w="1158"/>
      </w:tblGrid>
      <w:tr w:rsidR="00F26DF1" w:rsidRPr="000C30F5" w14:paraId="1ED96A1A" w14:textId="77777777" w:rsidTr="005208A0">
        <w:trPr>
          <w:trHeight w:hRule="exact" w:val="227"/>
        </w:trPr>
        <w:tc>
          <w:tcPr>
            <w:tcW w:w="6849" w:type="dxa"/>
            <w:tcBorders>
              <w:top w:val="nil"/>
              <w:left w:val="nil"/>
              <w:bottom w:val="single" w:sz="4" w:space="0" w:color="auto"/>
              <w:right w:val="nil"/>
            </w:tcBorders>
            <w:shd w:val="clear" w:color="000000" w:fill="DDEBF7"/>
            <w:noWrap/>
            <w:vAlign w:val="center"/>
            <w:hideMark/>
          </w:tcPr>
          <w:p w14:paraId="0D23FEF9" w14:textId="77777777" w:rsidR="00F26DF1" w:rsidRPr="000C30F5" w:rsidRDefault="00F26DF1" w:rsidP="000C30F5">
            <w:pPr>
              <w:spacing w:after="0" w:line="240" w:lineRule="auto"/>
              <w:rPr>
                <w:rFonts w:ascii="Calibri" w:eastAsia="Times New Roman" w:hAnsi="Calibri" w:cs="Calibri"/>
                <w:b/>
                <w:bCs/>
                <w:sz w:val="16"/>
                <w:szCs w:val="16"/>
              </w:rPr>
            </w:pPr>
            <w:r w:rsidRPr="000C30F5">
              <w:rPr>
                <w:rFonts w:ascii="Calibri" w:eastAsia="Times New Roman" w:hAnsi="Calibri" w:cs="Calibri"/>
                <w:b/>
                <w:bCs/>
                <w:sz w:val="16"/>
                <w:szCs w:val="16"/>
              </w:rPr>
              <w:t>REMUNERAÇÃO</w:t>
            </w:r>
          </w:p>
        </w:tc>
        <w:tc>
          <w:tcPr>
            <w:tcW w:w="1134" w:type="dxa"/>
            <w:tcBorders>
              <w:top w:val="nil"/>
              <w:left w:val="nil"/>
              <w:bottom w:val="single" w:sz="4" w:space="0" w:color="auto"/>
              <w:right w:val="nil"/>
            </w:tcBorders>
            <w:shd w:val="clear" w:color="000000" w:fill="DDEBF7"/>
            <w:vAlign w:val="center"/>
            <w:hideMark/>
          </w:tcPr>
          <w:p w14:paraId="38F93FE5" w14:textId="77777777" w:rsidR="00F26DF1" w:rsidRPr="000C30F5" w:rsidRDefault="00F26DF1" w:rsidP="000C30F5">
            <w:pPr>
              <w:spacing w:after="0" w:line="240" w:lineRule="auto"/>
              <w:jc w:val="right"/>
              <w:rPr>
                <w:rFonts w:ascii="Calibri" w:eastAsia="Times New Roman" w:hAnsi="Calibri" w:cs="Calibri"/>
                <w:b/>
                <w:bCs/>
                <w:sz w:val="16"/>
                <w:szCs w:val="16"/>
              </w:rPr>
            </w:pPr>
            <w:r w:rsidRPr="000C30F5">
              <w:rPr>
                <w:rFonts w:ascii="Calibri" w:eastAsia="Times New Roman" w:hAnsi="Calibri" w:cs="Calibri"/>
                <w:b/>
                <w:bCs/>
                <w:sz w:val="16"/>
                <w:szCs w:val="16"/>
              </w:rPr>
              <w:t>MAIOR</w:t>
            </w:r>
          </w:p>
        </w:tc>
        <w:tc>
          <w:tcPr>
            <w:tcW w:w="1134" w:type="dxa"/>
            <w:tcBorders>
              <w:top w:val="nil"/>
              <w:left w:val="nil"/>
              <w:bottom w:val="single" w:sz="4" w:space="0" w:color="auto"/>
              <w:right w:val="nil"/>
            </w:tcBorders>
            <w:shd w:val="clear" w:color="000000" w:fill="DDEBF7"/>
            <w:vAlign w:val="center"/>
            <w:hideMark/>
          </w:tcPr>
          <w:p w14:paraId="4D14F8D3" w14:textId="77777777" w:rsidR="00F26DF1" w:rsidRPr="000C30F5" w:rsidRDefault="00F26DF1" w:rsidP="000C30F5">
            <w:pPr>
              <w:spacing w:after="0" w:line="240" w:lineRule="auto"/>
              <w:jc w:val="right"/>
              <w:rPr>
                <w:rFonts w:ascii="Calibri" w:eastAsia="Times New Roman" w:hAnsi="Calibri" w:cs="Calibri"/>
                <w:b/>
                <w:bCs/>
                <w:sz w:val="16"/>
                <w:szCs w:val="16"/>
              </w:rPr>
            </w:pPr>
            <w:r w:rsidRPr="000C30F5">
              <w:rPr>
                <w:rFonts w:ascii="Calibri" w:eastAsia="Times New Roman" w:hAnsi="Calibri" w:cs="Calibri"/>
                <w:b/>
                <w:bCs/>
                <w:sz w:val="16"/>
                <w:szCs w:val="16"/>
              </w:rPr>
              <w:t>MENOR</w:t>
            </w:r>
          </w:p>
        </w:tc>
        <w:tc>
          <w:tcPr>
            <w:tcW w:w="1134" w:type="dxa"/>
            <w:tcBorders>
              <w:top w:val="nil"/>
              <w:left w:val="nil"/>
              <w:bottom w:val="single" w:sz="4" w:space="0" w:color="auto"/>
              <w:right w:val="nil"/>
            </w:tcBorders>
            <w:shd w:val="clear" w:color="000000" w:fill="DDEBF7"/>
            <w:vAlign w:val="center"/>
            <w:hideMark/>
          </w:tcPr>
          <w:p w14:paraId="389A9F2E" w14:textId="77777777" w:rsidR="00F26DF1" w:rsidRPr="000C30F5" w:rsidRDefault="00F26DF1" w:rsidP="000C30F5">
            <w:pPr>
              <w:spacing w:after="0" w:line="240" w:lineRule="auto"/>
              <w:jc w:val="right"/>
              <w:rPr>
                <w:rFonts w:ascii="Calibri" w:eastAsia="Times New Roman" w:hAnsi="Calibri" w:cs="Calibri"/>
                <w:b/>
                <w:bCs/>
                <w:sz w:val="16"/>
                <w:szCs w:val="16"/>
              </w:rPr>
            </w:pPr>
            <w:r w:rsidRPr="000C30F5">
              <w:rPr>
                <w:rFonts w:ascii="Calibri" w:eastAsia="Times New Roman" w:hAnsi="Calibri" w:cs="Calibri"/>
                <w:b/>
                <w:bCs/>
                <w:sz w:val="16"/>
                <w:szCs w:val="16"/>
              </w:rPr>
              <w:t>MÉDIA</w:t>
            </w:r>
          </w:p>
        </w:tc>
      </w:tr>
      <w:tr w:rsidR="00F26DF1" w:rsidRPr="000C30F5" w14:paraId="7DAAA2D2" w14:textId="77777777" w:rsidTr="005208A0">
        <w:trPr>
          <w:trHeight w:hRule="exact" w:val="227"/>
        </w:trPr>
        <w:tc>
          <w:tcPr>
            <w:tcW w:w="6849" w:type="dxa"/>
            <w:tcBorders>
              <w:top w:val="nil"/>
              <w:left w:val="nil"/>
              <w:bottom w:val="nil"/>
              <w:right w:val="nil"/>
            </w:tcBorders>
            <w:shd w:val="clear" w:color="auto" w:fill="auto"/>
            <w:noWrap/>
            <w:vAlign w:val="center"/>
            <w:hideMark/>
          </w:tcPr>
          <w:p w14:paraId="15C81860" w14:textId="77777777" w:rsidR="00F26DF1" w:rsidRPr="000C30F5" w:rsidRDefault="00F26DF1" w:rsidP="000C30F5">
            <w:pPr>
              <w:spacing w:after="0" w:line="240" w:lineRule="auto"/>
              <w:rPr>
                <w:rFonts w:ascii="Calibri" w:eastAsia="Times New Roman" w:hAnsi="Calibri" w:cs="Calibri"/>
                <w:sz w:val="16"/>
                <w:szCs w:val="16"/>
              </w:rPr>
            </w:pPr>
            <w:r w:rsidRPr="000C30F5">
              <w:rPr>
                <w:rFonts w:ascii="Calibri" w:eastAsia="Times New Roman" w:hAnsi="Calibri" w:cs="Calibri"/>
                <w:sz w:val="16"/>
                <w:szCs w:val="16"/>
              </w:rPr>
              <w:t>Diretores</w:t>
            </w:r>
          </w:p>
        </w:tc>
        <w:tc>
          <w:tcPr>
            <w:tcW w:w="1134" w:type="dxa"/>
            <w:tcBorders>
              <w:top w:val="nil"/>
              <w:left w:val="nil"/>
              <w:bottom w:val="nil"/>
              <w:right w:val="nil"/>
            </w:tcBorders>
            <w:shd w:val="clear" w:color="auto" w:fill="auto"/>
            <w:noWrap/>
            <w:vAlign w:val="center"/>
            <w:hideMark/>
          </w:tcPr>
          <w:p w14:paraId="385BE5CE"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28.605</w:t>
            </w:r>
          </w:p>
        </w:tc>
        <w:tc>
          <w:tcPr>
            <w:tcW w:w="1134" w:type="dxa"/>
            <w:tcBorders>
              <w:top w:val="nil"/>
              <w:left w:val="nil"/>
              <w:bottom w:val="nil"/>
              <w:right w:val="nil"/>
            </w:tcBorders>
            <w:shd w:val="clear" w:color="auto" w:fill="auto"/>
            <w:noWrap/>
            <w:vAlign w:val="center"/>
            <w:hideMark/>
          </w:tcPr>
          <w:p w14:paraId="388BDBE4"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5.419</w:t>
            </w:r>
          </w:p>
        </w:tc>
        <w:tc>
          <w:tcPr>
            <w:tcW w:w="1134" w:type="dxa"/>
            <w:tcBorders>
              <w:top w:val="nil"/>
              <w:left w:val="nil"/>
              <w:bottom w:val="nil"/>
              <w:right w:val="nil"/>
            </w:tcBorders>
            <w:shd w:val="clear" w:color="auto" w:fill="auto"/>
            <w:noWrap/>
            <w:vAlign w:val="center"/>
            <w:hideMark/>
          </w:tcPr>
          <w:p w14:paraId="687F7B50"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15.516</w:t>
            </w:r>
          </w:p>
        </w:tc>
      </w:tr>
      <w:tr w:rsidR="00F26DF1" w:rsidRPr="000C30F5" w14:paraId="42C271BF" w14:textId="77777777" w:rsidTr="005208A0">
        <w:trPr>
          <w:trHeight w:hRule="exact" w:val="227"/>
        </w:trPr>
        <w:tc>
          <w:tcPr>
            <w:tcW w:w="6849" w:type="dxa"/>
            <w:tcBorders>
              <w:top w:val="nil"/>
              <w:left w:val="nil"/>
              <w:bottom w:val="nil"/>
              <w:right w:val="nil"/>
            </w:tcBorders>
            <w:shd w:val="clear" w:color="auto" w:fill="auto"/>
            <w:noWrap/>
            <w:vAlign w:val="center"/>
            <w:hideMark/>
          </w:tcPr>
          <w:p w14:paraId="16354EAC" w14:textId="77777777" w:rsidR="00F26DF1" w:rsidRPr="000C30F5" w:rsidRDefault="00F26DF1" w:rsidP="000C30F5">
            <w:pPr>
              <w:spacing w:after="0" w:line="240" w:lineRule="auto"/>
              <w:rPr>
                <w:rFonts w:ascii="Calibri" w:eastAsia="Times New Roman" w:hAnsi="Calibri" w:cs="Calibri"/>
                <w:sz w:val="16"/>
                <w:szCs w:val="16"/>
              </w:rPr>
            </w:pPr>
            <w:r w:rsidRPr="000C30F5">
              <w:rPr>
                <w:rFonts w:ascii="Calibri" w:eastAsia="Times New Roman" w:hAnsi="Calibri" w:cs="Calibri"/>
                <w:sz w:val="16"/>
                <w:szCs w:val="16"/>
              </w:rPr>
              <w:t>Empregados</w:t>
            </w:r>
          </w:p>
        </w:tc>
        <w:tc>
          <w:tcPr>
            <w:tcW w:w="1134" w:type="dxa"/>
            <w:tcBorders>
              <w:top w:val="nil"/>
              <w:left w:val="nil"/>
              <w:bottom w:val="nil"/>
              <w:right w:val="nil"/>
            </w:tcBorders>
            <w:shd w:val="clear" w:color="auto" w:fill="auto"/>
            <w:noWrap/>
            <w:vAlign w:val="center"/>
            <w:hideMark/>
          </w:tcPr>
          <w:p w14:paraId="1617E40B"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53.083</w:t>
            </w:r>
          </w:p>
        </w:tc>
        <w:tc>
          <w:tcPr>
            <w:tcW w:w="1134" w:type="dxa"/>
            <w:tcBorders>
              <w:top w:val="nil"/>
              <w:left w:val="nil"/>
              <w:bottom w:val="nil"/>
              <w:right w:val="nil"/>
            </w:tcBorders>
            <w:shd w:val="clear" w:color="auto" w:fill="auto"/>
            <w:noWrap/>
            <w:vAlign w:val="center"/>
            <w:hideMark/>
          </w:tcPr>
          <w:p w14:paraId="2D943F62"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1.638</w:t>
            </w:r>
          </w:p>
        </w:tc>
        <w:tc>
          <w:tcPr>
            <w:tcW w:w="1134" w:type="dxa"/>
            <w:tcBorders>
              <w:top w:val="nil"/>
              <w:left w:val="nil"/>
              <w:bottom w:val="nil"/>
              <w:right w:val="nil"/>
            </w:tcBorders>
            <w:shd w:val="clear" w:color="auto" w:fill="auto"/>
            <w:noWrap/>
            <w:vAlign w:val="center"/>
            <w:hideMark/>
          </w:tcPr>
          <w:p w14:paraId="2B504DB9"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11.921</w:t>
            </w:r>
          </w:p>
        </w:tc>
      </w:tr>
      <w:tr w:rsidR="00F26DF1" w:rsidRPr="000C30F5" w14:paraId="0242AFF5" w14:textId="77777777" w:rsidTr="005208A0">
        <w:trPr>
          <w:trHeight w:hRule="exact" w:val="227"/>
        </w:trPr>
        <w:tc>
          <w:tcPr>
            <w:tcW w:w="6849" w:type="dxa"/>
            <w:tcBorders>
              <w:top w:val="nil"/>
              <w:left w:val="nil"/>
              <w:right w:val="nil"/>
            </w:tcBorders>
            <w:shd w:val="clear" w:color="auto" w:fill="auto"/>
            <w:noWrap/>
            <w:vAlign w:val="center"/>
            <w:hideMark/>
          </w:tcPr>
          <w:p w14:paraId="3892876D" w14:textId="77777777" w:rsidR="00F26DF1" w:rsidRPr="000C30F5" w:rsidRDefault="00F26DF1" w:rsidP="000C30F5">
            <w:pPr>
              <w:spacing w:after="0" w:line="240" w:lineRule="auto"/>
              <w:rPr>
                <w:rFonts w:ascii="Calibri" w:eastAsia="Times New Roman" w:hAnsi="Calibri" w:cs="Calibri"/>
                <w:sz w:val="16"/>
                <w:szCs w:val="16"/>
              </w:rPr>
            </w:pPr>
            <w:r w:rsidRPr="000C30F5">
              <w:rPr>
                <w:rFonts w:ascii="Calibri" w:eastAsia="Times New Roman" w:hAnsi="Calibri" w:cs="Calibri"/>
                <w:sz w:val="16"/>
                <w:szCs w:val="16"/>
              </w:rPr>
              <w:lastRenderedPageBreak/>
              <w:t>Conselheiros</w:t>
            </w:r>
          </w:p>
        </w:tc>
        <w:tc>
          <w:tcPr>
            <w:tcW w:w="1134" w:type="dxa"/>
            <w:tcBorders>
              <w:top w:val="nil"/>
              <w:left w:val="nil"/>
              <w:right w:val="nil"/>
            </w:tcBorders>
            <w:shd w:val="clear" w:color="auto" w:fill="auto"/>
            <w:noWrap/>
            <w:vAlign w:val="center"/>
            <w:hideMark/>
          </w:tcPr>
          <w:p w14:paraId="68622EAC"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3.077</w:t>
            </w:r>
          </w:p>
        </w:tc>
        <w:tc>
          <w:tcPr>
            <w:tcW w:w="1134" w:type="dxa"/>
            <w:tcBorders>
              <w:top w:val="nil"/>
              <w:left w:val="nil"/>
              <w:right w:val="nil"/>
            </w:tcBorders>
            <w:shd w:val="clear" w:color="auto" w:fill="auto"/>
            <w:noWrap/>
            <w:vAlign w:val="center"/>
            <w:hideMark/>
          </w:tcPr>
          <w:p w14:paraId="19A560AB"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3.077</w:t>
            </w:r>
          </w:p>
        </w:tc>
        <w:tc>
          <w:tcPr>
            <w:tcW w:w="1134" w:type="dxa"/>
            <w:tcBorders>
              <w:top w:val="nil"/>
              <w:left w:val="nil"/>
              <w:right w:val="nil"/>
            </w:tcBorders>
            <w:shd w:val="clear" w:color="auto" w:fill="auto"/>
            <w:noWrap/>
            <w:vAlign w:val="center"/>
            <w:hideMark/>
          </w:tcPr>
          <w:p w14:paraId="787A2DF9"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3.077</w:t>
            </w:r>
          </w:p>
        </w:tc>
      </w:tr>
      <w:tr w:rsidR="00F26DF1" w:rsidRPr="000C30F5" w14:paraId="2A28EA68" w14:textId="77777777" w:rsidTr="005208A0">
        <w:trPr>
          <w:trHeight w:hRule="exact" w:val="227"/>
        </w:trPr>
        <w:tc>
          <w:tcPr>
            <w:tcW w:w="6849" w:type="dxa"/>
            <w:tcBorders>
              <w:top w:val="nil"/>
              <w:left w:val="nil"/>
              <w:right w:val="nil"/>
            </w:tcBorders>
            <w:shd w:val="clear" w:color="auto" w:fill="auto"/>
            <w:noWrap/>
            <w:vAlign w:val="center"/>
            <w:hideMark/>
          </w:tcPr>
          <w:p w14:paraId="5364FF47" w14:textId="77777777" w:rsidR="00F26DF1" w:rsidRPr="000C30F5" w:rsidRDefault="00F26DF1" w:rsidP="000C30F5">
            <w:pPr>
              <w:spacing w:after="0" w:line="240" w:lineRule="auto"/>
              <w:rPr>
                <w:rFonts w:ascii="Calibri" w:eastAsia="Times New Roman" w:hAnsi="Calibri" w:cs="Calibri"/>
                <w:sz w:val="16"/>
                <w:szCs w:val="16"/>
              </w:rPr>
            </w:pPr>
            <w:r w:rsidRPr="000C30F5">
              <w:rPr>
                <w:rFonts w:ascii="Calibri" w:eastAsia="Times New Roman" w:hAnsi="Calibri" w:cs="Calibri"/>
                <w:sz w:val="16"/>
                <w:szCs w:val="16"/>
              </w:rPr>
              <w:t>Comissionados</w:t>
            </w:r>
          </w:p>
        </w:tc>
        <w:tc>
          <w:tcPr>
            <w:tcW w:w="1134" w:type="dxa"/>
            <w:tcBorders>
              <w:top w:val="nil"/>
              <w:left w:val="nil"/>
              <w:right w:val="nil"/>
            </w:tcBorders>
            <w:shd w:val="clear" w:color="auto" w:fill="auto"/>
            <w:noWrap/>
            <w:vAlign w:val="center"/>
            <w:hideMark/>
          </w:tcPr>
          <w:p w14:paraId="64A22641"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41.204</w:t>
            </w:r>
          </w:p>
        </w:tc>
        <w:tc>
          <w:tcPr>
            <w:tcW w:w="1134" w:type="dxa"/>
            <w:tcBorders>
              <w:top w:val="nil"/>
              <w:left w:val="nil"/>
              <w:right w:val="nil"/>
            </w:tcBorders>
            <w:shd w:val="clear" w:color="auto" w:fill="auto"/>
            <w:noWrap/>
            <w:vAlign w:val="center"/>
            <w:hideMark/>
          </w:tcPr>
          <w:p w14:paraId="3BA265D4"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6.181</w:t>
            </w:r>
          </w:p>
        </w:tc>
        <w:tc>
          <w:tcPr>
            <w:tcW w:w="1134" w:type="dxa"/>
            <w:tcBorders>
              <w:top w:val="nil"/>
              <w:left w:val="nil"/>
              <w:right w:val="nil"/>
            </w:tcBorders>
            <w:shd w:val="clear" w:color="auto" w:fill="auto"/>
            <w:noWrap/>
            <w:vAlign w:val="center"/>
            <w:hideMark/>
          </w:tcPr>
          <w:p w14:paraId="6029442A" w14:textId="77777777" w:rsidR="00F26DF1" w:rsidRPr="000C30F5" w:rsidRDefault="00F26DF1" w:rsidP="000C30F5">
            <w:pPr>
              <w:spacing w:after="0" w:line="240" w:lineRule="auto"/>
              <w:jc w:val="right"/>
              <w:rPr>
                <w:rFonts w:ascii="Calibri" w:eastAsia="Times New Roman" w:hAnsi="Calibri" w:cs="Calibri"/>
                <w:sz w:val="16"/>
                <w:szCs w:val="16"/>
              </w:rPr>
            </w:pPr>
            <w:r w:rsidRPr="000C30F5">
              <w:rPr>
                <w:rFonts w:ascii="Calibri" w:eastAsia="Times New Roman" w:hAnsi="Calibri" w:cs="Calibri"/>
                <w:sz w:val="16"/>
                <w:szCs w:val="16"/>
              </w:rPr>
              <w:t>14.636</w:t>
            </w:r>
          </w:p>
        </w:tc>
      </w:tr>
    </w:tbl>
    <w:p w14:paraId="1651ADE4" w14:textId="2BBA905C" w:rsidR="00F74441" w:rsidRPr="000C30F5" w:rsidRDefault="00F74441" w:rsidP="003E40F9">
      <w:pPr>
        <w:spacing w:before="120" w:line="240" w:lineRule="auto"/>
        <w:ind w:right="119"/>
        <w:jc w:val="both"/>
        <w:rPr>
          <w:rFonts w:cstheme="minorHAnsi"/>
          <w:color w:val="000000" w:themeColor="text1"/>
          <w:sz w:val="20"/>
        </w:rPr>
      </w:pPr>
      <w:r w:rsidRPr="000C30F5">
        <w:rPr>
          <w:rFonts w:cstheme="minorHAnsi"/>
          <w:color w:val="000000" w:themeColor="text1"/>
          <w:sz w:val="20"/>
        </w:rPr>
        <w:t>O total da remuneração dos administradores na Demonstração do Resultado do Exercício</w:t>
      </w:r>
      <w:r w:rsidR="00420369" w:rsidRPr="000C30F5">
        <w:rPr>
          <w:rFonts w:cstheme="minorHAnsi"/>
          <w:color w:val="000000" w:themeColor="text1"/>
          <w:sz w:val="20"/>
        </w:rPr>
        <w:t xml:space="preserve"> </w:t>
      </w:r>
      <w:r w:rsidR="000048FC" w:rsidRPr="000C30F5">
        <w:rPr>
          <w:rFonts w:cstheme="minorHAnsi"/>
          <w:color w:val="000000" w:themeColor="text1"/>
          <w:sz w:val="20"/>
        </w:rPr>
        <w:t>–</w:t>
      </w:r>
      <w:r w:rsidR="00420369" w:rsidRPr="000C30F5">
        <w:rPr>
          <w:rFonts w:cstheme="minorHAnsi"/>
          <w:color w:val="000000" w:themeColor="text1"/>
          <w:sz w:val="20"/>
        </w:rPr>
        <w:t xml:space="preserve"> DRE</w:t>
      </w:r>
      <w:r w:rsidRPr="000C30F5">
        <w:rPr>
          <w:rFonts w:cstheme="minorHAnsi"/>
          <w:color w:val="000000" w:themeColor="text1"/>
          <w:sz w:val="20"/>
        </w:rPr>
        <w:t xml:space="preserve">, no valor de R$ </w:t>
      </w:r>
      <w:r w:rsidR="007A2DBA" w:rsidRPr="000C30F5">
        <w:rPr>
          <w:rFonts w:cstheme="minorHAnsi"/>
          <w:color w:val="000000" w:themeColor="text1"/>
          <w:sz w:val="20"/>
        </w:rPr>
        <w:t>266</w:t>
      </w:r>
      <w:r w:rsidR="002F620E" w:rsidRPr="000C30F5">
        <w:rPr>
          <w:rFonts w:cstheme="minorHAnsi"/>
          <w:color w:val="000000" w:themeColor="text1"/>
          <w:sz w:val="20"/>
        </w:rPr>
        <w:t>.199</w:t>
      </w:r>
      <w:r w:rsidRPr="000C30F5">
        <w:rPr>
          <w:rFonts w:cstheme="minorHAnsi"/>
          <w:color w:val="000000" w:themeColor="text1"/>
          <w:sz w:val="20"/>
        </w:rPr>
        <w:t>, contempla a remuneração paga aos diretores e conselheiros.</w:t>
      </w:r>
    </w:p>
    <w:p w14:paraId="5688D1AD" w14:textId="77777777" w:rsidR="00E71553" w:rsidRPr="000C30F5" w:rsidRDefault="00B30729" w:rsidP="000C30F5">
      <w:pPr>
        <w:spacing w:before="120" w:line="240" w:lineRule="auto"/>
        <w:ind w:right="-142"/>
        <w:jc w:val="both"/>
        <w:rPr>
          <w:rFonts w:cstheme="minorHAnsi"/>
          <w:color w:val="000000" w:themeColor="text1"/>
          <w:sz w:val="20"/>
        </w:rPr>
      </w:pPr>
      <w:r w:rsidRPr="000C30F5">
        <w:rPr>
          <w:rFonts w:cstheme="minorHAnsi"/>
          <w:color w:val="000000" w:themeColor="text1"/>
          <w:sz w:val="20"/>
        </w:rPr>
        <w:t>Na remuneração de empregados são incluídas as vantagens pessoais decorrentes de funções incorporadas e sentenças judiciais.</w:t>
      </w:r>
      <w:r w:rsidR="00E71553" w:rsidRPr="000C30F5">
        <w:rPr>
          <w:rFonts w:cstheme="minorHAnsi"/>
          <w:color w:val="000000" w:themeColor="text1"/>
          <w:sz w:val="20"/>
        </w:rPr>
        <w:t xml:space="preserve"> </w:t>
      </w:r>
    </w:p>
    <w:p w14:paraId="59E0CF7C" w14:textId="4801F381" w:rsidR="00E71553" w:rsidRPr="000C30F5" w:rsidRDefault="00E71553" w:rsidP="003E40F9">
      <w:pPr>
        <w:spacing w:before="120" w:line="240" w:lineRule="auto"/>
        <w:ind w:right="-23"/>
        <w:jc w:val="both"/>
        <w:rPr>
          <w:rFonts w:cstheme="minorHAnsi"/>
          <w:color w:val="000000" w:themeColor="text1"/>
          <w:sz w:val="20"/>
        </w:rPr>
      </w:pPr>
      <w:r w:rsidRPr="000C30F5">
        <w:rPr>
          <w:rFonts w:cstheme="minorHAnsi"/>
          <w:color w:val="000000" w:themeColor="text1"/>
          <w:sz w:val="20"/>
        </w:rPr>
        <w:t>O total dos benefícios oferecidos pela empresa, especialmente assistências médica e odontológica, auxílios alimentação e refeição, auxílio creche, auxílio educação e previdência complementar</w:t>
      </w:r>
      <w:r w:rsidR="00D96874" w:rsidRPr="000C30F5">
        <w:rPr>
          <w:rFonts w:cstheme="minorHAnsi"/>
          <w:color w:val="000000" w:themeColor="text1"/>
          <w:sz w:val="20"/>
        </w:rPr>
        <w:t>, bem como o valor médio, por empregado</w:t>
      </w:r>
      <w:r w:rsidRPr="000C30F5">
        <w:rPr>
          <w:rFonts w:cstheme="minorHAnsi"/>
          <w:color w:val="000000" w:themeColor="text1"/>
          <w:sz w:val="20"/>
        </w:rPr>
        <w:t xml:space="preserve">, no </w:t>
      </w:r>
      <w:r w:rsidR="0030188E" w:rsidRPr="000C30F5">
        <w:rPr>
          <w:rFonts w:cstheme="minorHAnsi"/>
          <w:color w:val="000000" w:themeColor="text1"/>
          <w:sz w:val="20"/>
        </w:rPr>
        <w:t>primeiro trimestre de 2024</w:t>
      </w:r>
      <w:r w:rsidRPr="000C30F5">
        <w:rPr>
          <w:rFonts w:cstheme="minorHAnsi"/>
          <w:color w:val="000000" w:themeColor="text1"/>
          <w:sz w:val="20"/>
        </w:rPr>
        <w:t xml:space="preserve"> está demonstrado a seguir</w:t>
      </w:r>
      <w:r w:rsidR="00E07966" w:rsidRPr="000C30F5">
        <w:rPr>
          <w:rFonts w:cstheme="minorHAnsi"/>
          <w:color w:val="000000" w:themeColor="text1"/>
          <w:sz w:val="20"/>
        </w:rPr>
        <w:t>:</w:t>
      </w:r>
    </w:p>
    <w:tbl>
      <w:tblPr>
        <w:tblW w:w="5000" w:type="pct"/>
        <w:tblCellMar>
          <w:left w:w="70" w:type="dxa"/>
          <w:right w:w="70" w:type="dxa"/>
        </w:tblCellMar>
        <w:tblLook w:val="04A0" w:firstRow="1" w:lastRow="0" w:firstColumn="1" w:lastColumn="0" w:noHBand="0" w:noVBand="1"/>
      </w:tblPr>
      <w:tblGrid>
        <w:gridCol w:w="7321"/>
        <w:gridCol w:w="3146"/>
      </w:tblGrid>
      <w:tr w:rsidR="005A68F4" w:rsidRPr="000C30F5" w14:paraId="1E7C055A" w14:textId="77777777" w:rsidTr="0006303A">
        <w:trPr>
          <w:trHeight w:hRule="exact" w:val="227"/>
        </w:trPr>
        <w:tc>
          <w:tcPr>
            <w:tcW w:w="3497" w:type="pct"/>
            <w:tcBorders>
              <w:top w:val="nil"/>
              <w:left w:val="nil"/>
              <w:bottom w:val="single" w:sz="8" w:space="0" w:color="auto"/>
              <w:right w:val="nil"/>
            </w:tcBorders>
            <w:shd w:val="clear" w:color="000000" w:fill="DDEBF7"/>
            <w:noWrap/>
            <w:vAlign w:val="center"/>
            <w:hideMark/>
          </w:tcPr>
          <w:p w14:paraId="21B8F0BC" w14:textId="77777777" w:rsidR="005A68F4" w:rsidRPr="000C30F5" w:rsidRDefault="005A68F4"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BENEFÍCIOS</w:t>
            </w:r>
          </w:p>
        </w:tc>
        <w:tc>
          <w:tcPr>
            <w:tcW w:w="1503" w:type="pct"/>
            <w:tcBorders>
              <w:top w:val="nil"/>
              <w:left w:val="nil"/>
              <w:bottom w:val="single" w:sz="8" w:space="0" w:color="auto"/>
              <w:right w:val="nil"/>
            </w:tcBorders>
            <w:shd w:val="clear" w:color="000000" w:fill="DDEBF7"/>
            <w:vAlign w:val="center"/>
            <w:hideMark/>
          </w:tcPr>
          <w:p w14:paraId="4EF8164A" w14:textId="77777777" w:rsidR="005A68F4" w:rsidRPr="000C30F5" w:rsidRDefault="005A68F4"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VALOR</w:t>
            </w:r>
          </w:p>
        </w:tc>
      </w:tr>
      <w:tr w:rsidR="005A68F4" w:rsidRPr="000C30F5" w14:paraId="139B0A74" w14:textId="77777777" w:rsidTr="0006303A">
        <w:trPr>
          <w:trHeight w:hRule="exact" w:val="227"/>
        </w:trPr>
        <w:tc>
          <w:tcPr>
            <w:tcW w:w="3497" w:type="pct"/>
            <w:tcBorders>
              <w:top w:val="nil"/>
              <w:left w:val="nil"/>
              <w:bottom w:val="nil"/>
              <w:right w:val="nil"/>
            </w:tcBorders>
            <w:shd w:val="clear" w:color="auto" w:fill="auto"/>
            <w:noWrap/>
            <w:vAlign w:val="center"/>
            <w:hideMark/>
          </w:tcPr>
          <w:p w14:paraId="16E619D3" w14:textId="77777777" w:rsidR="005A68F4" w:rsidRPr="000C30F5" w:rsidRDefault="005A68F4"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Assistência Médica/ Odontológica</w:t>
            </w:r>
          </w:p>
        </w:tc>
        <w:tc>
          <w:tcPr>
            <w:tcW w:w="1503" w:type="pct"/>
            <w:tcBorders>
              <w:top w:val="nil"/>
              <w:left w:val="nil"/>
              <w:bottom w:val="nil"/>
              <w:right w:val="nil"/>
            </w:tcBorders>
            <w:shd w:val="clear" w:color="auto" w:fill="auto"/>
            <w:noWrap/>
            <w:vAlign w:val="center"/>
            <w:hideMark/>
          </w:tcPr>
          <w:p w14:paraId="14797C1C" w14:textId="77777777" w:rsidR="005A68F4" w:rsidRPr="000C30F5" w:rsidRDefault="005A68F4"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459.901</w:t>
            </w:r>
          </w:p>
        </w:tc>
      </w:tr>
      <w:tr w:rsidR="005A68F4" w:rsidRPr="000C30F5" w14:paraId="7C7B56F4" w14:textId="77777777" w:rsidTr="0006303A">
        <w:trPr>
          <w:trHeight w:hRule="exact" w:val="227"/>
        </w:trPr>
        <w:tc>
          <w:tcPr>
            <w:tcW w:w="3497" w:type="pct"/>
            <w:tcBorders>
              <w:top w:val="nil"/>
              <w:left w:val="nil"/>
              <w:bottom w:val="nil"/>
              <w:right w:val="nil"/>
            </w:tcBorders>
            <w:shd w:val="clear" w:color="auto" w:fill="auto"/>
            <w:noWrap/>
            <w:vAlign w:val="center"/>
            <w:hideMark/>
          </w:tcPr>
          <w:p w14:paraId="3DECB42C" w14:textId="77777777" w:rsidR="005A68F4" w:rsidRPr="000C30F5" w:rsidRDefault="005A68F4"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Auxílio Alimentação/ Refeição</w:t>
            </w:r>
          </w:p>
        </w:tc>
        <w:tc>
          <w:tcPr>
            <w:tcW w:w="1503" w:type="pct"/>
            <w:tcBorders>
              <w:top w:val="nil"/>
              <w:left w:val="nil"/>
              <w:bottom w:val="nil"/>
              <w:right w:val="nil"/>
            </w:tcBorders>
            <w:shd w:val="clear" w:color="auto" w:fill="auto"/>
            <w:noWrap/>
            <w:vAlign w:val="center"/>
            <w:hideMark/>
          </w:tcPr>
          <w:p w14:paraId="3CC8C005" w14:textId="77777777" w:rsidR="005A68F4" w:rsidRPr="000C30F5" w:rsidRDefault="005A68F4"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568.119</w:t>
            </w:r>
          </w:p>
        </w:tc>
      </w:tr>
      <w:tr w:rsidR="005A68F4" w:rsidRPr="000C30F5" w14:paraId="7163B452" w14:textId="77777777" w:rsidTr="0006303A">
        <w:trPr>
          <w:trHeight w:hRule="exact" w:val="227"/>
        </w:trPr>
        <w:tc>
          <w:tcPr>
            <w:tcW w:w="3497" w:type="pct"/>
            <w:tcBorders>
              <w:top w:val="nil"/>
              <w:left w:val="nil"/>
              <w:bottom w:val="nil"/>
              <w:right w:val="nil"/>
            </w:tcBorders>
            <w:shd w:val="clear" w:color="auto" w:fill="auto"/>
            <w:noWrap/>
            <w:vAlign w:val="center"/>
            <w:hideMark/>
          </w:tcPr>
          <w:p w14:paraId="22C3D85C" w14:textId="77777777" w:rsidR="005A68F4" w:rsidRPr="000C30F5" w:rsidRDefault="005A68F4"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Auxílio Creche</w:t>
            </w:r>
          </w:p>
        </w:tc>
        <w:tc>
          <w:tcPr>
            <w:tcW w:w="1503" w:type="pct"/>
            <w:tcBorders>
              <w:top w:val="nil"/>
              <w:left w:val="nil"/>
              <w:bottom w:val="nil"/>
              <w:right w:val="nil"/>
            </w:tcBorders>
            <w:shd w:val="clear" w:color="auto" w:fill="auto"/>
            <w:noWrap/>
            <w:vAlign w:val="center"/>
            <w:hideMark/>
          </w:tcPr>
          <w:p w14:paraId="4E5015DE" w14:textId="77777777" w:rsidR="005A68F4" w:rsidRPr="000C30F5" w:rsidRDefault="005A68F4"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48.773</w:t>
            </w:r>
          </w:p>
        </w:tc>
      </w:tr>
      <w:tr w:rsidR="005A68F4" w:rsidRPr="000C30F5" w14:paraId="3F58D2B3" w14:textId="77777777" w:rsidTr="0006303A">
        <w:trPr>
          <w:trHeight w:hRule="exact" w:val="227"/>
        </w:trPr>
        <w:tc>
          <w:tcPr>
            <w:tcW w:w="3497" w:type="pct"/>
            <w:tcBorders>
              <w:top w:val="nil"/>
              <w:left w:val="nil"/>
              <w:bottom w:val="nil"/>
              <w:right w:val="nil"/>
            </w:tcBorders>
            <w:shd w:val="clear" w:color="auto" w:fill="auto"/>
            <w:noWrap/>
            <w:vAlign w:val="center"/>
            <w:hideMark/>
          </w:tcPr>
          <w:p w14:paraId="1909A35B" w14:textId="77777777" w:rsidR="005A68F4" w:rsidRPr="000C30F5" w:rsidRDefault="005A68F4"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Auxílio Educação</w:t>
            </w:r>
          </w:p>
        </w:tc>
        <w:tc>
          <w:tcPr>
            <w:tcW w:w="1503" w:type="pct"/>
            <w:tcBorders>
              <w:top w:val="nil"/>
              <w:left w:val="nil"/>
              <w:bottom w:val="nil"/>
              <w:right w:val="nil"/>
            </w:tcBorders>
            <w:shd w:val="clear" w:color="auto" w:fill="auto"/>
            <w:noWrap/>
            <w:vAlign w:val="center"/>
            <w:hideMark/>
          </w:tcPr>
          <w:p w14:paraId="21CC8D63" w14:textId="77777777" w:rsidR="005A68F4" w:rsidRPr="000C30F5" w:rsidRDefault="005A68F4"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2.571</w:t>
            </w:r>
          </w:p>
        </w:tc>
      </w:tr>
      <w:tr w:rsidR="005A68F4" w:rsidRPr="000C30F5" w14:paraId="45A44BCF" w14:textId="77777777" w:rsidTr="0006303A">
        <w:trPr>
          <w:trHeight w:hRule="exact" w:val="227"/>
        </w:trPr>
        <w:tc>
          <w:tcPr>
            <w:tcW w:w="3497" w:type="pct"/>
            <w:tcBorders>
              <w:top w:val="nil"/>
              <w:left w:val="nil"/>
              <w:bottom w:val="nil"/>
              <w:right w:val="nil"/>
            </w:tcBorders>
            <w:shd w:val="clear" w:color="auto" w:fill="auto"/>
            <w:noWrap/>
            <w:vAlign w:val="center"/>
            <w:hideMark/>
          </w:tcPr>
          <w:p w14:paraId="4D97FEA9" w14:textId="77777777" w:rsidR="005A68F4" w:rsidRPr="000C30F5" w:rsidRDefault="005A68F4"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Previdência Complementar</w:t>
            </w:r>
          </w:p>
        </w:tc>
        <w:tc>
          <w:tcPr>
            <w:tcW w:w="1503" w:type="pct"/>
            <w:tcBorders>
              <w:top w:val="nil"/>
              <w:left w:val="nil"/>
              <w:bottom w:val="nil"/>
              <w:right w:val="nil"/>
            </w:tcBorders>
            <w:shd w:val="clear" w:color="auto" w:fill="auto"/>
            <w:noWrap/>
            <w:vAlign w:val="center"/>
            <w:hideMark/>
          </w:tcPr>
          <w:p w14:paraId="5B1166DE" w14:textId="77777777" w:rsidR="005A68F4" w:rsidRPr="000C30F5" w:rsidRDefault="005A68F4"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52.454</w:t>
            </w:r>
          </w:p>
        </w:tc>
      </w:tr>
      <w:tr w:rsidR="005A68F4" w:rsidRPr="000C30F5" w14:paraId="5EC5B6CC" w14:textId="77777777" w:rsidTr="0006303A">
        <w:trPr>
          <w:trHeight w:hRule="exact" w:val="227"/>
        </w:trPr>
        <w:tc>
          <w:tcPr>
            <w:tcW w:w="3497" w:type="pct"/>
            <w:tcBorders>
              <w:top w:val="nil"/>
              <w:left w:val="nil"/>
              <w:bottom w:val="single" w:sz="8" w:space="0" w:color="auto"/>
              <w:right w:val="nil"/>
            </w:tcBorders>
            <w:shd w:val="clear" w:color="000000" w:fill="DDEBF7"/>
            <w:noWrap/>
            <w:vAlign w:val="center"/>
            <w:hideMark/>
          </w:tcPr>
          <w:p w14:paraId="4AFD1306" w14:textId="77777777" w:rsidR="005A68F4" w:rsidRPr="000C30F5" w:rsidRDefault="005A68F4"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Média Global (por empregado)</w:t>
            </w:r>
          </w:p>
        </w:tc>
        <w:tc>
          <w:tcPr>
            <w:tcW w:w="1503" w:type="pct"/>
            <w:tcBorders>
              <w:top w:val="nil"/>
              <w:left w:val="nil"/>
              <w:bottom w:val="single" w:sz="8" w:space="0" w:color="auto"/>
              <w:right w:val="nil"/>
            </w:tcBorders>
            <w:shd w:val="clear" w:color="000000" w:fill="DDEBF7"/>
            <w:noWrap/>
            <w:vAlign w:val="center"/>
            <w:hideMark/>
          </w:tcPr>
          <w:p w14:paraId="69CFAA50" w14:textId="77777777" w:rsidR="005A68F4" w:rsidRPr="000C30F5" w:rsidRDefault="005A68F4"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1.612</w:t>
            </w:r>
          </w:p>
        </w:tc>
      </w:tr>
    </w:tbl>
    <w:p w14:paraId="2078AB3B" w14:textId="53F48D50" w:rsidR="00F74441" w:rsidRPr="000C30F5" w:rsidRDefault="00F74441" w:rsidP="00830272">
      <w:pPr>
        <w:pStyle w:val="Ttulo2"/>
        <w:spacing w:before="120"/>
      </w:pPr>
      <w:bookmarkStart w:id="106" w:name="_Toc152230765"/>
      <w:bookmarkStart w:id="107" w:name="_Toc184926709"/>
      <w:r w:rsidRPr="000C30F5">
        <w:t>3</w:t>
      </w:r>
      <w:r w:rsidR="00454BFD">
        <w:t>8</w:t>
      </w:r>
      <w:r w:rsidRPr="000C30F5">
        <w:t xml:space="preserve">.2 </w:t>
      </w:r>
      <w:r w:rsidR="004B6C8A" w:rsidRPr="000C30F5">
        <w:t>–</w:t>
      </w:r>
      <w:r w:rsidRPr="000C30F5">
        <w:t xml:space="preserve"> Recursos Recebidos para Pagamento de Investimento, Pessoal e Custeio</w:t>
      </w:r>
      <w:bookmarkEnd w:id="106"/>
      <w:bookmarkEnd w:id="107"/>
      <w:r w:rsidRPr="000C30F5">
        <w:t xml:space="preserve"> </w:t>
      </w:r>
    </w:p>
    <w:p w14:paraId="557A5E9C" w14:textId="5A5BC4FF" w:rsidR="00CD147A" w:rsidRDefault="00F74441" w:rsidP="000C30F5">
      <w:pPr>
        <w:spacing w:before="120" w:line="240" w:lineRule="auto"/>
        <w:jc w:val="both"/>
        <w:rPr>
          <w:rFonts w:cstheme="minorHAnsi"/>
          <w:color w:val="000000" w:themeColor="text1"/>
          <w:sz w:val="20"/>
        </w:rPr>
      </w:pPr>
      <w:r w:rsidRPr="000C30F5">
        <w:rPr>
          <w:rFonts w:cstheme="minorHAnsi"/>
          <w:color w:val="000000" w:themeColor="text1"/>
          <w:sz w:val="20"/>
        </w:rPr>
        <w:t xml:space="preserve">Os recursos recebidos da União (Cotas Financeiras Recebidas e Cotas Financeiras de Restos a Pagar Recebidas), no </w:t>
      </w:r>
      <w:r w:rsidR="0030188E" w:rsidRPr="000C30F5">
        <w:rPr>
          <w:rFonts w:cstheme="minorHAnsi"/>
          <w:color w:val="000000" w:themeColor="text1"/>
          <w:sz w:val="20"/>
        </w:rPr>
        <w:t>primeiro trimestre de 2024</w:t>
      </w:r>
      <w:r w:rsidRPr="000C30F5">
        <w:rPr>
          <w:rFonts w:cstheme="minorHAnsi"/>
          <w:color w:val="000000" w:themeColor="text1"/>
          <w:sz w:val="20"/>
        </w:rPr>
        <w:t>, para pagamentos de investimentos, despesas de pessoal e custeio estão descritos a</w:t>
      </w:r>
      <w:r w:rsidR="00CD147A" w:rsidRPr="000C30F5">
        <w:rPr>
          <w:rFonts w:cstheme="minorHAnsi"/>
          <w:color w:val="000000" w:themeColor="text1"/>
          <w:sz w:val="20"/>
        </w:rPr>
        <w:t xml:space="preserve"> seguir</w:t>
      </w:r>
      <w:r w:rsidRPr="000C30F5">
        <w:rPr>
          <w:rFonts w:cstheme="minorHAnsi"/>
          <w:color w:val="000000" w:themeColor="text1"/>
          <w:sz w:val="20"/>
        </w:rPr>
        <w:t>:</w:t>
      </w:r>
    </w:p>
    <w:p w14:paraId="3B02FC12" w14:textId="77777777" w:rsidR="00830272" w:rsidRPr="000C30F5" w:rsidRDefault="00830272" w:rsidP="000C30F5">
      <w:pPr>
        <w:spacing w:before="120" w:line="240" w:lineRule="auto"/>
        <w:jc w:val="both"/>
        <w:rPr>
          <w:rFonts w:cstheme="minorHAnsi"/>
          <w:color w:val="000000" w:themeColor="text1"/>
          <w:sz w:val="20"/>
        </w:rPr>
      </w:pPr>
    </w:p>
    <w:tbl>
      <w:tblPr>
        <w:tblW w:w="5000" w:type="pct"/>
        <w:tblCellMar>
          <w:left w:w="70" w:type="dxa"/>
          <w:right w:w="70" w:type="dxa"/>
        </w:tblCellMar>
        <w:tblLook w:val="04A0" w:firstRow="1" w:lastRow="0" w:firstColumn="1" w:lastColumn="0" w:noHBand="0" w:noVBand="1"/>
      </w:tblPr>
      <w:tblGrid>
        <w:gridCol w:w="8041"/>
        <w:gridCol w:w="1213"/>
        <w:gridCol w:w="1213"/>
      </w:tblGrid>
      <w:tr w:rsidR="007F38BF" w:rsidRPr="000C30F5" w14:paraId="7179946E" w14:textId="77777777" w:rsidTr="005208A0">
        <w:trPr>
          <w:trHeight w:hRule="exact" w:val="227"/>
        </w:trPr>
        <w:tc>
          <w:tcPr>
            <w:tcW w:w="7515" w:type="dxa"/>
            <w:tcBorders>
              <w:top w:val="nil"/>
              <w:left w:val="nil"/>
              <w:bottom w:val="single" w:sz="8" w:space="0" w:color="auto"/>
              <w:right w:val="nil"/>
            </w:tcBorders>
            <w:shd w:val="clear" w:color="000000" w:fill="DDEBF7"/>
            <w:noWrap/>
            <w:vAlign w:val="center"/>
            <w:hideMark/>
          </w:tcPr>
          <w:p w14:paraId="29DC0792" w14:textId="7E1FE332" w:rsidR="007F38BF" w:rsidRPr="000C30F5" w:rsidRDefault="007F38BF" w:rsidP="000C30F5">
            <w:pPr>
              <w:spacing w:after="0" w:line="240" w:lineRule="auto"/>
              <w:rPr>
                <w:rFonts w:ascii="Calibri" w:eastAsia="Times New Roman" w:hAnsi="Calibri" w:cs="Calibri"/>
                <w:b/>
                <w:bCs/>
                <w:color w:val="000000"/>
                <w:sz w:val="16"/>
                <w:szCs w:val="16"/>
              </w:rPr>
            </w:pPr>
            <w:bookmarkStart w:id="108" w:name="_Toc152230766"/>
            <w:r w:rsidRPr="000C30F5">
              <w:rPr>
                <w:rFonts w:ascii="Calibri" w:eastAsia="Times New Roman" w:hAnsi="Calibri" w:cs="Calibri"/>
                <w:b/>
                <w:bCs/>
                <w:color w:val="000000"/>
                <w:sz w:val="16"/>
                <w:szCs w:val="16"/>
              </w:rPr>
              <w:t xml:space="preserve">Recursos </w:t>
            </w:r>
            <w:r w:rsidR="00E428F8">
              <w:rPr>
                <w:rFonts w:ascii="Calibri" w:eastAsia="Times New Roman" w:hAnsi="Calibri" w:cs="Calibri"/>
                <w:b/>
                <w:bCs/>
                <w:color w:val="000000"/>
                <w:sz w:val="16"/>
                <w:szCs w:val="16"/>
              </w:rPr>
              <w:t>R</w:t>
            </w:r>
            <w:r w:rsidRPr="000C30F5">
              <w:rPr>
                <w:rFonts w:ascii="Calibri" w:eastAsia="Times New Roman" w:hAnsi="Calibri" w:cs="Calibri"/>
                <w:b/>
                <w:bCs/>
                <w:color w:val="000000"/>
                <w:sz w:val="16"/>
                <w:szCs w:val="16"/>
              </w:rPr>
              <w:t xml:space="preserve">ecebidos para </w:t>
            </w:r>
            <w:r w:rsidR="00E428F8">
              <w:rPr>
                <w:rFonts w:ascii="Calibri" w:eastAsia="Times New Roman" w:hAnsi="Calibri" w:cs="Calibri"/>
                <w:b/>
                <w:bCs/>
                <w:color w:val="000000"/>
                <w:sz w:val="16"/>
                <w:szCs w:val="16"/>
              </w:rPr>
              <w:t>P</w:t>
            </w:r>
            <w:r w:rsidRPr="000C30F5">
              <w:rPr>
                <w:rFonts w:ascii="Calibri" w:eastAsia="Times New Roman" w:hAnsi="Calibri" w:cs="Calibri"/>
                <w:b/>
                <w:bCs/>
                <w:color w:val="000000"/>
                <w:sz w:val="16"/>
                <w:szCs w:val="16"/>
              </w:rPr>
              <w:t xml:space="preserve">agamento de </w:t>
            </w:r>
            <w:r w:rsidR="00E428F8">
              <w:rPr>
                <w:rFonts w:ascii="Calibri" w:eastAsia="Times New Roman" w:hAnsi="Calibri" w:cs="Calibri"/>
                <w:b/>
                <w:bCs/>
                <w:color w:val="000000"/>
                <w:sz w:val="16"/>
                <w:szCs w:val="16"/>
              </w:rPr>
              <w:t>I</w:t>
            </w:r>
            <w:r w:rsidRPr="000C30F5">
              <w:rPr>
                <w:rFonts w:ascii="Calibri" w:eastAsia="Times New Roman" w:hAnsi="Calibri" w:cs="Calibri"/>
                <w:b/>
                <w:bCs/>
                <w:color w:val="000000"/>
                <w:sz w:val="16"/>
                <w:szCs w:val="16"/>
              </w:rPr>
              <w:t xml:space="preserve">nvestimento, </w:t>
            </w:r>
            <w:r w:rsidR="00E428F8">
              <w:rPr>
                <w:rFonts w:ascii="Calibri" w:eastAsia="Times New Roman" w:hAnsi="Calibri" w:cs="Calibri"/>
                <w:b/>
                <w:bCs/>
                <w:color w:val="000000"/>
                <w:sz w:val="16"/>
                <w:szCs w:val="16"/>
              </w:rPr>
              <w:t>P</w:t>
            </w:r>
            <w:r w:rsidRPr="000C30F5">
              <w:rPr>
                <w:rFonts w:ascii="Calibri" w:eastAsia="Times New Roman" w:hAnsi="Calibri" w:cs="Calibri"/>
                <w:b/>
                <w:bCs/>
                <w:color w:val="000000"/>
                <w:sz w:val="16"/>
                <w:szCs w:val="16"/>
              </w:rPr>
              <w:t xml:space="preserve">essoal e </w:t>
            </w:r>
            <w:r w:rsidR="00E428F8">
              <w:rPr>
                <w:rFonts w:ascii="Calibri" w:eastAsia="Times New Roman" w:hAnsi="Calibri" w:cs="Calibri"/>
                <w:b/>
                <w:bCs/>
                <w:color w:val="000000"/>
                <w:sz w:val="16"/>
                <w:szCs w:val="16"/>
              </w:rPr>
              <w:t>C</w:t>
            </w:r>
            <w:r w:rsidRPr="000C30F5">
              <w:rPr>
                <w:rFonts w:ascii="Calibri" w:eastAsia="Times New Roman" w:hAnsi="Calibri" w:cs="Calibri"/>
                <w:b/>
                <w:bCs/>
                <w:color w:val="000000"/>
                <w:sz w:val="16"/>
                <w:szCs w:val="16"/>
              </w:rPr>
              <w:t xml:space="preserve">usteio </w:t>
            </w:r>
          </w:p>
        </w:tc>
        <w:tc>
          <w:tcPr>
            <w:tcW w:w="1134" w:type="dxa"/>
            <w:tcBorders>
              <w:top w:val="nil"/>
              <w:left w:val="nil"/>
              <w:bottom w:val="single" w:sz="8" w:space="0" w:color="auto"/>
              <w:right w:val="nil"/>
            </w:tcBorders>
            <w:shd w:val="clear" w:color="000000" w:fill="DDEBF7"/>
            <w:vAlign w:val="center"/>
            <w:hideMark/>
          </w:tcPr>
          <w:p w14:paraId="791B3E75" w14:textId="77777777" w:rsidR="007F38BF" w:rsidRPr="000C30F5" w:rsidRDefault="007F38BF"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31/03/2024</w:t>
            </w:r>
          </w:p>
        </w:tc>
        <w:tc>
          <w:tcPr>
            <w:tcW w:w="1134" w:type="dxa"/>
            <w:tcBorders>
              <w:top w:val="nil"/>
              <w:left w:val="nil"/>
              <w:bottom w:val="single" w:sz="8" w:space="0" w:color="auto"/>
              <w:right w:val="nil"/>
            </w:tcBorders>
            <w:shd w:val="clear" w:color="000000" w:fill="DDEBF7"/>
            <w:vAlign w:val="center"/>
            <w:hideMark/>
          </w:tcPr>
          <w:p w14:paraId="25380737" w14:textId="77777777" w:rsidR="007F38BF" w:rsidRPr="000C30F5" w:rsidRDefault="007F38BF"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31/03/2023</w:t>
            </w:r>
          </w:p>
        </w:tc>
      </w:tr>
      <w:tr w:rsidR="007F38BF" w:rsidRPr="000C30F5" w14:paraId="0C500715" w14:textId="77777777" w:rsidTr="005208A0">
        <w:trPr>
          <w:trHeight w:hRule="exact" w:val="227"/>
        </w:trPr>
        <w:tc>
          <w:tcPr>
            <w:tcW w:w="7515" w:type="dxa"/>
            <w:tcBorders>
              <w:top w:val="nil"/>
              <w:left w:val="nil"/>
              <w:bottom w:val="nil"/>
              <w:right w:val="nil"/>
            </w:tcBorders>
            <w:shd w:val="clear" w:color="auto" w:fill="auto"/>
            <w:noWrap/>
            <w:vAlign w:val="center"/>
            <w:hideMark/>
          </w:tcPr>
          <w:p w14:paraId="60403CCA" w14:textId="77777777" w:rsidR="007F38BF" w:rsidRPr="000C30F5" w:rsidRDefault="007F38BF"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Custeio</w:t>
            </w:r>
          </w:p>
        </w:tc>
        <w:tc>
          <w:tcPr>
            <w:tcW w:w="1134" w:type="dxa"/>
            <w:tcBorders>
              <w:top w:val="nil"/>
              <w:left w:val="nil"/>
              <w:bottom w:val="nil"/>
              <w:right w:val="nil"/>
            </w:tcBorders>
            <w:shd w:val="clear" w:color="auto" w:fill="auto"/>
            <w:vAlign w:val="center"/>
            <w:hideMark/>
          </w:tcPr>
          <w:p w14:paraId="1B6902E7" w14:textId="6E72D35A" w:rsidR="007F38BF" w:rsidRPr="000C30F5" w:rsidRDefault="007D43DE"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20.789.413</w:t>
            </w:r>
          </w:p>
        </w:tc>
        <w:tc>
          <w:tcPr>
            <w:tcW w:w="1134" w:type="dxa"/>
            <w:tcBorders>
              <w:top w:val="nil"/>
              <w:left w:val="nil"/>
              <w:bottom w:val="nil"/>
              <w:right w:val="nil"/>
            </w:tcBorders>
            <w:shd w:val="clear" w:color="auto" w:fill="auto"/>
            <w:vAlign w:val="center"/>
            <w:hideMark/>
          </w:tcPr>
          <w:p w14:paraId="26A11284" w14:textId="77777777" w:rsidR="007F38BF" w:rsidRPr="000C30F5" w:rsidRDefault="007F38BF"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9.514.777</w:t>
            </w:r>
          </w:p>
        </w:tc>
      </w:tr>
      <w:tr w:rsidR="007F38BF" w:rsidRPr="000C30F5" w14:paraId="266D617E" w14:textId="77777777" w:rsidTr="005208A0">
        <w:trPr>
          <w:trHeight w:hRule="exact" w:val="227"/>
        </w:trPr>
        <w:tc>
          <w:tcPr>
            <w:tcW w:w="7515" w:type="dxa"/>
            <w:tcBorders>
              <w:top w:val="nil"/>
              <w:left w:val="nil"/>
              <w:bottom w:val="nil"/>
              <w:right w:val="nil"/>
            </w:tcBorders>
            <w:shd w:val="clear" w:color="auto" w:fill="auto"/>
            <w:noWrap/>
            <w:vAlign w:val="center"/>
            <w:hideMark/>
          </w:tcPr>
          <w:p w14:paraId="752C5BC9" w14:textId="77777777" w:rsidR="007F38BF" w:rsidRPr="000C30F5" w:rsidRDefault="007F38BF"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Pessoal</w:t>
            </w:r>
          </w:p>
        </w:tc>
        <w:tc>
          <w:tcPr>
            <w:tcW w:w="1134" w:type="dxa"/>
            <w:tcBorders>
              <w:top w:val="nil"/>
              <w:left w:val="nil"/>
              <w:bottom w:val="nil"/>
              <w:right w:val="nil"/>
            </w:tcBorders>
            <w:shd w:val="clear" w:color="auto" w:fill="auto"/>
            <w:vAlign w:val="center"/>
            <w:hideMark/>
          </w:tcPr>
          <w:p w14:paraId="41CA1FD6" w14:textId="1C1B6784" w:rsidR="007F38BF" w:rsidRPr="000C30F5" w:rsidRDefault="007D43DE"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37.383.568</w:t>
            </w:r>
          </w:p>
        </w:tc>
        <w:tc>
          <w:tcPr>
            <w:tcW w:w="1134" w:type="dxa"/>
            <w:tcBorders>
              <w:top w:val="nil"/>
              <w:left w:val="nil"/>
              <w:bottom w:val="nil"/>
              <w:right w:val="nil"/>
            </w:tcBorders>
            <w:shd w:val="clear" w:color="auto" w:fill="auto"/>
            <w:vAlign w:val="center"/>
            <w:hideMark/>
          </w:tcPr>
          <w:p w14:paraId="02342B4A" w14:textId="77777777" w:rsidR="007F38BF" w:rsidRPr="000C30F5" w:rsidRDefault="007F38BF"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38.184.821</w:t>
            </w:r>
          </w:p>
        </w:tc>
      </w:tr>
      <w:tr w:rsidR="007F38BF" w:rsidRPr="000C30F5" w14:paraId="0503FDA6" w14:textId="77777777" w:rsidTr="005208A0">
        <w:trPr>
          <w:trHeight w:hRule="exact" w:val="227"/>
        </w:trPr>
        <w:tc>
          <w:tcPr>
            <w:tcW w:w="7515" w:type="dxa"/>
            <w:tcBorders>
              <w:top w:val="nil"/>
              <w:left w:val="nil"/>
              <w:bottom w:val="single" w:sz="8" w:space="0" w:color="auto"/>
              <w:right w:val="nil"/>
            </w:tcBorders>
            <w:shd w:val="clear" w:color="auto" w:fill="auto"/>
            <w:noWrap/>
            <w:vAlign w:val="center"/>
            <w:hideMark/>
          </w:tcPr>
          <w:p w14:paraId="4D41EDAD" w14:textId="77777777" w:rsidR="007F38BF" w:rsidRPr="000C30F5" w:rsidRDefault="007F38BF" w:rsidP="000C30F5">
            <w:pPr>
              <w:spacing w:after="0" w:line="240" w:lineRule="auto"/>
              <w:rPr>
                <w:rFonts w:ascii="Calibri" w:eastAsia="Times New Roman" w:hAnsi="Calibri" w:cs="Calibri"/>
                <w:color w:val="000000"/>
                <w:sz w:val="16"/>
                <w:szCs w:val="16"/>
              </w:rPr>
            </w:pPr>
            <w:r w:rsidRPr="000C30F5">
              <w:rPr>
                <w:rFonts w:ascii="Calibri" w:eastAsia="Times New Roman" w:hAnsi="Calibri" w:cs="Calibri"/>
                <w:color w:val="000000"/>
                <w:sz w:val="16"/>
                <w:szCs w:val="16"/>
              </w:rPr>
              <w:t>Investimento</w:t>
            </w:r>
          </w:p>
        </w:tc>
        <w:tc>
          <w:tcPr>
            <w:tcW w:w="1134" w:type="dxa"/>
            <w:tcBorders>
              <w:top w:val="nil"/>
              <w:left w:val="nil"/>
              <w:bottom w:val="single" w:sz="8" w:space="0" w:color="auto"/>
              <w:right w:val="nil"/>
            </w:tcBorders>
            <w:shd w:val="clear" w:color="auto" w:fill="auto"/>
            <w:noWrap/>
            <w:vAlign w:val="center"/>
            <w:hideMark/>
          </w:tcPr>
          <w:p w14:paraId="7547DA97" w14:textId="77777777" w:rsidR="007F38BF" w:rsidRPr="000C30F5" w:rsidRDefault="007F38BF"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32.128.790</w:t>
            </w:r>
          </w:p>
        </w:tc>
        <w:tc>
          <w:tcPr>
            <w:tcW w:w="1134" w:type="dxa"/>
            <w:tcBorders>
              <w:top w:val="nil"/>
              <w:left w:val="nil"/>
              <w:bottom w:val="single" w:sz="8" w:space="0" w:color="auto"/>
              <w:right w:val="nil"/>
            </w:tcBorders>
            <w:shd w:val="clear" w:color="auto" w:fill="auto"/>
            <w:vAlign w:val="center"/>
            <w:hideMark/>
          </w:tcPr>
          <w:p w14:paraId="6099BD67" w14:textId="77777777" w:rsidR="007F38BF" w:rsidRPr="000C30F5" w:rsidRDefault="007F38BF" w:rsidP="000C30F5">
            <w:pPr>
              <w:spacing w:after="0" w:line="240" w:lineRule="auto"/>
              <w:jc w:val="right"/>
              <w:rPr>
                <w:rFonts w:ascii="Calibri" w:eastAsia="Times New Roman" w:hAnsi="Calibri" w:cs="Calibri"/>
                <w:color w:val="000000"/>
                <w:sz w:val="16"/>
                <w:szCs w:val="16"/>
              </w:rPr>
            </w:pPr>
            <w:r w:rsidRPr="000C30F5">
              <w:rPr>
                <w:rFonts w:ascii="Calibri" w:eastAsia="Times New Roman" w:hAnsi="Calibri" w:cs="Calibri"/>
                <w:color w:val="000000"/>
                <w:sz w:val="16"/>
                <w:szCs w:val="16"/>
              </w:rPr>
              <w:t>31.720.272</w:t>
            </w:r>
          </w:p>
        </w:tc>
      </w:tr>
      <w:tr w:rsidR="007F38BF" w:rsidRPr="000C30F5" w14:paraId="57C584AB" w14:textId="77777777" w:rsidTr="005208A0">
        <w:trPr>
          <w:trHeight w:hRule="exact" w:val="227"/>
        </w:trPr>
        <w:tc>
          <w:tcPr>
            <w:tcW w:w="7515" w:type="dxa"/>
            <w:tcBorders>
              <w:top w:val="nil"/>
              <w:left w:val="nil"/>
              <w:bottom w:val="single" w:sz="8" w:space="0" w:color="auto"/>
              <w:right w:val="nil"/>
            </w:tcBorders>
            <w:shd w:val="clear" w:color="000000" w:fill="DDEBF7"/>
            <w:noWrap/>
            <w:vAlign w:val="center"/>
            <w:hideMark/>
          </w:tcPr>
          <w:p w14:paraId="05268BFF" w14:textId="77777777" w:rsidR="007F38BF" w:rsidRPr="000C30F5" w:rsidRDefault="007F38BF" w:rsidP="000C30F5">
            <w:pPr>
              <w:spacing w:after="0" w:line="240" w:lineRule="auto"/>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TOTAL</w:t>
            </w:r>
          </w:p>
        </w:tc>
        <w:tc>
          <w:tcPr>
            <w:tcW w:w="1134" w:type="dxa"/>
            <w:tcBorders>
              <w:top w:val="nil"/>
              <w:left w:val="nil"/>
              <w:bottom w:val="single" w:sz="8" w:space="0" w:color="auto"/>
              <w:right w:val="nil"/>
            </w:tcBorders>
            <w:shd w:val="clear" w:color="000000" w:fill="DDEBF7"/>
            <w:noWrap/>
            <w:vAlign w:val="center"/>
            <w:hideMark/>
          </w:tcPr>
          <w:p w14:paraId="32D55C13" w14:textId="77777777" w:rsidR="007F38BF" w:rsidRPr="000C30F5" w:rsidRDefault="007F38BF"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90.301.771</w:t>
            </w:r>
          </w:p>
        </w:tc>
        <w:tc>
          <w:tcPr>
            <w:tcW w:w="1134" w:type="dxa"/>
            <w:tcBorders>
              <w:top w:val="nil"/>
              <w:left w:val="nil"/>
              <w:bottom w:val="single" w:sz="8" w:space="0" w:color="auto"/>
              <w:right w:val="nil"/>
            </w:tcBorders>
            <w:shd w:val="clear" w:color="000000" w:fill="DDEBF7"/>
            <w:noWrap/>
            <w:vAlign w:val="center"/>
            <w:hideMark/>
          </w:tcPr>
          <w:p w14:paraId="3E3A25B6" w14:textId="77777777" w:rsidR="007F38BF" w:rsidRPr="000C30F5" w:rsidRDefault="007F38BF" w:rsidP="000C30F5">
            <w:pPr>
              <w:spacing w:after="0" w:line="240" w:lineRule="auto"/>
              <w:jc w:val="right"/>
              <w:rPr>
                <w:rFonts w:ascii="Calibri" w:eastAsia="Times New Roman" w:hAnsi="Calibri" w:cs="Calibri"/>
                <w:b/>
                <w:bCs/>
                <w:color w:val="000000"/>
                <w:sz w:val="16"/>
                <w:szCs w:val="16"/>
              </w:rPr>
            </w:pPr>
            <w:r w:rsidRPr="000C30F5">
              <w:rPr>
                <w:rFonts w:ascii="Calibri" w:eastAsia="Times New Roman" w:hAnsi="Calibri" w:cs="Calibri"/>
                <w:b/>
                <w:bCs/>
                <w:color w:val="000000"/>
                <w:sz w:val="16"/>
                <w:szCs w:val="16"/>
              </w:rPr>
              <w:t>79.419.870</w:t>
            </w:r>
          </w:p>
        </w:tc>
      </w:tr>
    </w:tbl>
    <w:p w14:paraId="08B3B1AD" w14:textId="4E0CFBCB" w:rsidR="00F74441" w:rsidRPr="000C30F5" w:rsidRDefault="00F74441" w:rsidP="00FD641E">
      <w:pPr>
        <w:pStyle w:val="Ttulo2"/>
        <w:spacing w:before="120"/>
      </w:pPr>
      <w:bookmarkStart w:id="109" w:name="_Toc184926710"/>
      <w:r w:rsidRPr="000C30F5">
        <w:t>3</w:t>
      </w:r>
      <w:r w:rsidR="00454BFD">
        <w:t>8</w:t>
      </w:r>
      <w:r w:rsidRPr="000C30F5">
        <w:t xml:space="preserve">.3 </w:t>
      </w:r>
      <w:r w:rsidR="004B6C8A" w:rsidRPr="000C30F5">
        <w:t>–</w:t>
      </w:r>
      <w:r w:rsidRPr="000C30F5">
        <w:t xml:space="preserve"> Execução Orçamentária</w:t>
      </w:r>
      <w:bookmarkEnd w:id="108"/>
      <w:bookmarkEnd w:id="109"/>
      <w:r w:rsidRPr="000C30F5">
        <w:t xml:space="preserve"> </w:t>
      </w:r>
    </w:p>
    <w:p w14:paraId="46F91D09" w14:textId="1AF8D7AC" w:rsidR="00B70B07" w:rsidRPr="000C30F5" w:rsidRDefault="00B70B07" w:rsidP="000C30F5">
      <w:pPr>
        <w:spacing w:before="120"/>
        <w:jc w:val="both"/>
        <w:rPr>
          <w:rFonts w:cstheme="minorHAnsi"/>
          <w:sz w:val="20"/>
        </w:rPr>
      </w:pPr>
      <w:r w:rsidRPr="000C30F5">
        <w:rPr>
          <w:rFonts w:cstheme="minorHAnsi"/>
          <w:sz w:val="20"/>
        </w:rPr>
        <w:t>Por meio da Dotação Orçamentária, foram executados no primeiro trimestre de 202</w:t>
      </w:r>
      <w:r w:rsidR="00806657">
        <w:rPr>
          <w:rFonts w:cstheme="minorHAnsi"/>
          <w:sz w:val="20"/>
        </w:rPr>
        <w:t>4</w:t>
      </w:r>
      <w:r w:rsidRPr="000C30F5">
        <w:rPr>
          <w:rFonts w:cstheme="minorHAnsi"/>
          <w:sz w:val="20"/>
        </w:rPr>
        <w:t xml:space="preserve"> os seguintes valores: </w:t>
      </w:r>
    </w:p>
    <w:tbl>
      <w:tblPr>
        <w:tblW w:w="5000" w:type="pct"/>
        <w:tblCellMar>
          <w:left w:w="70" w:type="dxa"/>
          <w:right w:w="70" w:type="dxa"/>
        </w:tblCellMar>
        <w:tblLook w:val="04A0" w:firstRow="1" w:lastRow="0" w:firstColumn="1" w:lastColumn="0" w:noHBand="0" w:noVBand="1"/>
      </w:tblPr>
      <w:tblGrid>
        <w:gridCol w:w="5619"/>
        <w:gridCol w:w="1212"/>
        <w:gridCol w:w="1212"/>
        <w:gridCol w:w="1212"/>
        <w:gridCol w:w="1212"/>
      </w:tblGrid>
      <w:tr w:rsidR="003173E3" w:rsidRPr="003173E3" w14:paraId="485017EF" w14:textId="77777777" w:rsidTr="00C61AC2">
        <w:trPr>
          <w:trHeight w:val="227"/>
        </w:trPr>
        <w:tc>
          <w:tcPr>
            <w:tcW w:w="5258" w:type="dxa"/>
            <w:tcBorders>
              <w:top w:val="nil"/>
              <w:left w:val="nil"/>
              <w:bottom w:val="single" w:sz="8" w:space="0" w:color="auto"/>
              <w:right w:val="nil"/>
            </w:tcBorders>
            <w:shd w:val="clear" w:color="000000" w:fill="DEEAF6"/>
            <w:noWrap/>
            <w:vAlign w:val="center"/>
            <w:hideMark/>
          </w:tcPr>
          <w:p w14:paraId="6B6A6554" w14:textId="77777777" w:rsidR="003173E3" w:rsidRPr="003173E3" w:rsidRDefault="003173E3" w:rsidP="000C30F5">
            <w:pPr>
              <w:spacing w:after="0" w:line="240" w:lineRule="auto"/>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Loa</w:t>
            </w:r>
          </w:p>
        </w:tc>
        <w:tc>
          <w:tcPr>
            <w:tcW w:w="1134" w:type="dxa"/>
            <w:tcBorders>
              <w:top w:val="nil"/>
              <w:left w:val="nil"/>
              <w:bottom w:val="single" w:sz="8" w:space="0" w:color="auto"/>
              <w:right w:val="nil"/>
            </w:tcBorders>
            <w:shd w:val="clear" w:color="000000" w:fill="DEEAF6"/>
            <w:noWrap/>
            <w:vAlign w:val="center"/>
            <w:hideMark/>
          </w:tcPr>
          <w:p w14:paraId="6BBE40D2"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Dotação 2024</w:t>
            </w:r>
          </w:p>
        </w:tc>
        <w:tc>
          <w:tcPr>
            <w:tcW w:w="1134" w:type="dxa"/>
            <w:tcBorders>
              <w:top w:val="nil"/>
              <w:left w:val="nil"/>
              <w:bottom w:val="single" w:sz="8" w:space="0" w:color="auto"/>
              <w:right w:val="nil"/>
            </w:tcBorders>
            <w:shd w:val="clear" w:color="000000" w:fill="DEEAF6"/>
            <w:vAlign w:val="center"/>
            <w:hideMark/>
          </w:tcPr>
          <w:p w14:paraId="7CC9BB7C"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Empenhado</w:t>
            </w:r>
          </w:p>
        </w:tc>
        <w:tc>
          <w:tcPr>
            <w:tcW w:w="1134" w:type="dxa"/>
            <w:tcBorders>
              <w:top w:val="nil"/>
              <w:left w:val="nil"/>
              <w:bottom w:val="single" w:sz="8" w:space="0" w:color="auto"/>
              <w:right w:val="nil"/>
            </w:tcBorders>
            <w:shd w:val="clear" w:color="000000" w:fill="DEEAF6"/>
            <w:noWrap/>
            <w:vAlign w:val="center"/>
            <w:hideMark/>
          </w:tcPr>
          <w:p w14:paraId="622A8658"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Liquidado</w:t>
            </w:r>
          </w:p>
        </w:tc>
        <w:tc>
          <w:tcPr>
            <w:tcW w:w="1134" w:type="dxa"/>
            <w:tcBorders>
              <w:top w:val="nil"/>
              <w:left w:val="nil"/>
              <w:bottom w:val="single" w:sz="8" w:space="0" w:color="auto"/>
              <w:right w:val="nil"/>
            </w:tcBorders>
            <w:shd w:val="clear" w:color="000000" w:fill="DEEAF6"/>
            <w:noWrap/>
            <w:vAlign w:val="center"/>
            <w:hideMark/>
          </w:tcPr>
          <w:p w14:paraId="1470D961"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Pago</w:t>
            </w:r>
          </w:p>
        </w:tc>
      </w:tr>
      <w:tr w:rsidR="003173E3" w:rsidRPr="003173E3" w14:paraId="39D6BFF0" w14:textId="77777777" w:rsidTr="00C61AC2">
        <w:trPr>
          <w:trHeight w:val="227"/>
        </w:trPr>
        <w:tc>
          <w:tcPr>
            <w:tcW w:w="5258" w:type="dxa"/>
            <w:tcBorders>
              <w:top w:val="nil"/>
              <w:left w:val="nil"/>
              <w:bottom w:val="nil"/>
              <w:right w:val="nil"/>
            </w:tcBorders>
            <w:shd w:val="clear" w:color="auto" w:fill="auto"/>
            <w:noWrap/>
            <w:vAlign w:val="center"/>
            <w:hideMark/>
          </w:tcPr>
          <w:p w14:paraId="43B3006B" w14:textId="77777777" w:rsidR="003173E3" w:rsidRPr="003173E3" w:rsidRDefault="003173E3" w:rsidP="000C30F5">
            <w:pPr>
              <w:spacing w:after="0" w:line="240" w:lineRule="auto"/>
              <w:rPr>
                <w:rFonts w:ascii="Calibri" w:eastAsia="Times New Roman" w:hAnsi="Calibri" w:cs="Calibri"/>
                <w:color w:val="000000"/>
                <w:sz w:val="16"/>
                <w:szCs w:val="16"/>
              </w:rPr>
            </w:pPr>
            <w:r w:rsidRPr="003173E3">
              <w:rPr>
                <w:rFonts w:ascii="Calibri" w:eastAsia="Times New Roman" w:hAnsi="Calibri" w:cs="Calibri"/>
                <w:color w:val="000000"/>
                <w:sz w:val="16"/>
                <w:szCs w:val="16"/>
              </w:rPr>
              <w:t>Custeio</w:t>
            </w:r>
          </w:p>
        </w:tc>
        <w:tc>
          <w:tcPr>
            <w:tcW w:w="1134" w:type="dxa"/>
            <w:tcBorders>
              <w:top w:val="nil"/>
              <w:left w:val="nil"/>
              <w:bottom w:val="nil"/>
              <w:right w:val="nil"/>
            </w:tcBorders>
            <w:shd w:val="clear" w:color="auto" w:fill="auto"/>
            <w:noWrap/>
            <w:vAlign w:val="center"/>
            <w:hideMark/>
          </w:tcPr>
          <w:p w14:paraId="4523E57C"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141.888.624</w:t>
            </w:r>
          </w:p>
        </w:tc>
        <w:tc>
          <w:tcPr>
            <w:tcW w:w="1134" w:type="dxa"/>
            <w:tcBorders>
              <w:top w:val="nil"/>
              <w:left w:val="nil"/>
              <w:bottom w:val="nil"/>
              <w:right w:val="nil"/>
            </w:tcBorders>
            <w:shd w:val="clear" w:color="auto" w:fill="auto"/>
            <w:noWrap/>
            <w:vAlign w:val="center"/>
            <w:hideMark/>
          </w:tcPr>
          <w:p w14:paraId="0D278D02"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47.697.581</w:t>
            </w:r>
          </w:p>
        </w:tc>
        <w:tc>
          <w:tcPr>
            <w:tcW w:w="1134" w:type="dxa"/>
            <w:tcBorders>
              <w:top w:val="nil"/>
              <w:left w:val="nil"/>
              <w:bottom w:val="nil"/>
              <w:right w:val="nil"/>
            </w:tcBorders>
            <w:shd w:val="clear" w:color="auto" w:fill="auto"/>
            <w:noWrap/>
            <w:vAlign w:val="center"/>
            <w:hideMark/>
          </w:tcPr>
          <w:p w14:paraId="415939BA"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3.507.000</w:t>
            </w:r>
          </w:p>
        </w:tc>
        <w:tc>
          <w:tcPr>
            <w:tcW w:w="1134" w:type="dxa"/>
            <w:tcBorders>
              <w:top w:val="nil"/>
              <w:left w:val="nil"/>
              <w:bottom w:val="nil"/>
              <w:right w:val="nil"/>
            </w:tcBorders>
            <w:shd w:val="clear" w:color="auto" w:fill="auto"/>
            <w:noWrap/>
            <w:vAlign w:val="center"/>
            <w:hideMark/>
          </w:tcPr>
          <w:p w14:paraId="170870A9"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3.440.849</w:t>
            </w:r>
          </w:p>
        </w:tc>
      </w:tr>
      <w:tr w:rsidR="003173E3" w:rsidRPr="003173E3" w14:paraId="2FA846DC" w14:textId="77777777" w:rsidTr="00C61AC2">
        <w:trPr>
          <w:trHeight w:val="227"/>
        </w:trPr>
        <w:tc>
          <w:tcPr>
            <w:tcW w:w="5258" w:type="dxa"/>
            <w:tcBorders>
              <w:top w:val="nil"/>
              <w:left w:val="nil"/>
              <w:bottom w:val="nil"/>
              <w:right w:val="nil"/>
            </w:tcBorders>
            <w:shd w:val="clear" w:color="auto" w:fill="auto"/>
            <w:noWrap/>
            <w:vAlign w:val="center"/>
            <w:hideMark/>
          </w:tcPr>
          <w:p w14:paraId="7E8E2B08" w14:textId="77777777" w:rsidR="003173E3" w:rsidRPr="003173E3" w:rsidRDefault="003173E3" w:rsidP="000C30F5">
            <w:pPr>
              <w:spacing w:after="0" w:line="240" w:lineRule="auto"/>
              <w:rPr>
                <w:rFonts w:ascii="Calibri" w:eastAsia="Times New Roman" w:hAnsi="Calibri" w:cs="Calibri"/>
                <w:color w:val="000000"/>
                <w:sz w:val="16"/>
                <w:szCs w:val="16"/>
              </w:rPr>
            </w:pPr>
            <w:r w:rsidRPr="003173E3">
              <w:rPr>
                <w:rFonts w:ascii="Calibri" w:eastAsia="Times New Roman" w:hAnsi="Calibri" w:cs="Calibri"/>
                <w:color w:val="000000"/>
                <w:sz w:val="16"/>
                <w:szCs w:val="16"/>
              </w:rPr>
              <w:t xml:space="preserve">Pessoal e Encargos Sociais </w:t>
            </w:r>
          </w:p>
        </w:tc>
        <w:tc>
          <w:tcPr>
            <w:tcW w:w="1134" w:type="dxa"/>
            <w:tcBorders>
              <w:top w:val="nil"/>
              <w:left w:val="nil"/>
              <w:bottom w:val="nil"/>
              <w:right w:val="nil"/>
            </w:tcBorders>
            <w:shd w:val="clear" w:color="auto" w:fill="auto"/>
            <w:noWrap/>
            <w:vAlign w:val="center"/>
            <w:hideMark/>
          </w:tcPr>
          <w:p w14:paraId="2F15D1BC"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168.553.100</w:t>
            </w:r>
          </w:p>
        </w:tc>
        <w:tc>
          <w:tcPr>
            <w:tcW w:w="1134" w:type="dxa"/>
            <w:tcBorders>
              <w:top w:val="nil"/>
              <w:left w:val="nil"/>
              <w:bottom w:val="nil"/>
              <w:right w:val="nil"/>
            </w:tcBorders>
            <w:shd w:val="clear" w:color="auto" w:fill="auto"/>
            <w:noWrap/>
            <w:vAlign w:val="center"/>
            <w:hideMark/>
          </w:tcPr>
          <w:p w14:paraId="731BEEA3"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143.384.213</w:t>
            </w:r>
          </w:p>
        </w:tc>
        <w:tc>
          <w:tcPr>
            <w:tcW w:w="1134" w:type="dxa"/>
            <w:tcBorders>
              <w:top w:val="nil"/>
              <w:left w:val="nil"/>
              <w:bottom w:val="nil"/>
              <w:right w:val="nil"/>
            </w:tcBorders>
            <w:shd w:val="clear" w:color="auto" w:fill="auto"/>
            <w:noWrap/>
            <w:vAlign w:val="center"/>
            <w:hideMark/>
          </w:tcPr>
          <w:p w14:paraId="119EDF26"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30.556.111</w:t>
            </w:r>
          </w:p>
        </w:tc>
        <w:tc>
          <w:tcPr>
            <w:tcW w:w="1134" w:type="dxa"/>
            <w:tcBorders>
              <w:top w:val="nil"/>
              <w:left w:val="nil"/>
              <w:bottom w:val="nil"/>
              <w:right w:val="nil"/>
            </w:tcBorders>
            <w:shd w:val="clear" w:color="auto" w:fill="auto"/>
            <w:noWrap/>
            <w:vAlign w:val="center"/>
            <w:hideMark/>
          </w:tcPr>
          <w:p w14:paraId="16E37911"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24.428.670</w:t>
            </w:r>
          </w:p>
        </w:tc>
      </w:tr>
      <w:tr w:rsidR="003173E3" w:rsidRPr="003173E3" w14:paraId="417D4216" w14:textId="77777777" w:rsidTr="00C61AC2">
        <w:trPr>
          <w:trHeight w:val="227"/>
        </w:trPr>
        <w:tc>
          <w:tcPr>
            <w:tcW w:w="5258" w:type="dxa"/>
            <w:tcBorders>
              <w:top w:val="nil"/>
              <w:left w:val="nil"/>
              <w:bottom w:val="nil"/>
              <w:right w:val="nil"/>
            </w:tcBorders>
            <w:shd w:val="clear" w:color="auto" w:fill="auto"/>
            <w:noWrap/>
            <w:vAlign w:val="center"/>
            <w:hideMark/>
          </w:tcPr>
          <w:p w14:paraId="65B33CE9" w14:textId="79D14E14" w:rsidR="003173E3" w:rsidRPr="003173E3" w:rsidRDefault="003173E3" w:rsidP="000C30F5">
            <w:pPr>
              <w:spacing w:after="0" w:line="240" w:lineRule="auto"/>
              <w:rPr>
                <w:rFonts w:ascii="Calibri" w:eastAsia="Times New Roman" w:hAnsi="Calibri" w:cs="Calibri"/>
                <w:color w:val="000000"/>
                <w:sz w:val="16"/>
                <w:szCs w:val="16"/>
              </w:rPr>
            </w:pPr>
            <w:r w:rsidRPr="003173E3">
              <w:rPr>
                <w:rFonts w:ascii="Calibri" w:eastAsia="Times New Roman" w:hAnsi="Calibri" w:cs="Calibri"/>
                <w:color w:val="000000"/>
                <w:sz w:val="16"/>
                <w:szCs w:val="16"/>
              </w:rPr>
              <w:t>Investimento</w:t>
            </w:r>
          </w:p>
        </w:tc>
        <w:tc>
          <w:tcPr>
            <w:tcW w:w="1134" w:type="dxa"/>
            <w:tcBorders>
              <w:top w:val="nil"/>
              <w:left w:val="nil"/>
              <w:bottom w:val="nil"/>
              <w:right w:val="nil"/>
            </w:tcBorders>
            <w:shd w:val="clear" w:color="auto" w:fill="auto"/>
            <w:noWrap/>
            <w:vAlign w:val="center"/>
            <w:hideMark/>
          </w:tcPr>
          <w:p w14:paraId="2834B26E"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548.245.930</w:t>
            </w:r>
          </w:p>
        </w:tc>
        <w:tc>
          <w:tcPr>
            <w:tcW w:w="1134" w:type="dxa"/>
            <w:tcBorders>
              <w:top w:val="nil"/>
              <w:left w:val="nil"/>
              <w:bottom w:val="nil"/>
              <w:right w:val="nil"/>
            </w:tcBorders>
            <w:shd w:val="clear" w:color="auto" w:fill="auto"/>
            <w:noWrap/>
            <w:vAlign w:val="center"/>
            <w:hideMark/>
          </w:tcPr>
          <w:p w14:paraId="08ADDC23"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104.665.661</w:t>
            </w:r>
          </w:p>
        </w:tc>
        <w:tc>
          <w:tcPr>
            <w:tcW w:w="1134" w:type="dxa"/>
            <w:tcBorders>
              <w:top w:val="nil"/>
              <w:left w:val="nil"/>
              <w:bottom w:val="nil"/>
              <w:right w:val="nil"/>
            </w:tcBorders>
            <w:shd w:val="clear" w:color="auto" w:fill="auto"/>
            <w:noWrap/>
            <w:vAlign w:val="center"/>
            <w:hideMark/>
          </w:tcPr>
          <w:p w14:paraId="10E2EAB5"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685.469</w:t>
            </w:r>
          </w:p>
        </w:tc>
        <w:tc>
          <w:tcPr>
            <w:tcW w:w="1134" w:type="dxa"/>
            <w:tcBorders>
              <w:top w:val="nil"/>
              <w:left w:val="nil"/>
              <w:bottom w:val="nil"/>
              <w:right w:val="nil"/>
            </w:tcBorders>
            <w:shd w:val="clear" w:color="auto" w:fill="auto"/>
            <w:noWrap/>
            <w:vAlign w:val="center"/>
            <w:hideMark/>
          </w:tcPr>
          <w:p w14:paraId="6C52D9DF" w14:textId="77777777" w:rsidR="003173E3" w:rsidRPr="003173E3" w:rsidRDefault="003173E3" w:rsidP="000C30F5">
            <w:pPr>
              <w:spacing w:after="0" w:line="240" w:lineRule="auto"/>
              <w:jc w:val="right"/>
              <w:rPr>
                <w:rFonts w:ascii="Calibri" w:eastAsia="Times New Roman" w:hAnsi="Calibri" w:cs="Calibri"/>
                <w:color w:val="000000"/>
                <w:sz w:val="16"/>
                <w:szCs w:val="16"/>
              </w:rPr>
            </w:pPr>
            <w:r w:rsidRPr="003173E3">
              <w:rPr>
                <w:rFonts w:ascii="Calibri" w:eastAsia="Times New Roman" w:hAnsi="Calibri" w:cs="Calibri"/>
                <w:color w:val="000000"/>
                <w:sz w:val="16"/>
                <w:szCs w:val="16"/>
              </w:rPr>
              <w:t>679.087</w:t>
            </w:r>
          </w:p>
        </w:tc>
      </w:tr>
      <w:tr w:rsidR="003173E3" w:rsidRPr="003173E3" w14:paraId="7FB3CBEC" w14:textId="77777777" w:rsidTr="00C61AC2">
        <w:trPr>
          <w:trHeight w:val="227"/>
        </w:trPr>
        <w:tc>
          <w:tcPr>
            <w:tcW w:w="5258" w:type="dxa"/>
            <w:tcBorders>
              <w:top w:val="single" w:sz="8" w:space="0" w:color="auto"/>
              <w:left w:val="nil"/>
              <w:bottom w:val="single" w:sz="8" w:space="0" w:color="auto"/>
              <w:right w:val="nil"/>
            </w:tcBorders>
            <w:shd w:val="clear" w:color="000000" w:fill="DEEAF6"/>
            <w:noWrap/>
            <w:vAlign w:val="center"/>
            <w:hideMark/>
          </w:tcPr>
          <w:p w14:paraId="7D5D2C6A" w14:textId="77777777" w:rsidR="003173E3" w:rsidRPr="003173E3" w:rsidRDefault="003173E3" w:rsidP="000C30F5">
            <w:pPr>
              <w:spacing w:after="0" w:line="240" w:lineRule="auto"/>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Total geral</w:t>
            </w:r>
          </w:p>
        </w:tc>
        <w:tc>
          <w:tcPr>
            <w:tcW w:w="1134" w:type="dxa"/>
            <w:tcBorders>
              <w:top w:val="single" w:sz="8" w:space="0" w:color="auto"/>
              <w:left w:val="nil"/>
              <w:bottom w:val="single" w:sz="8" w:space="0" w:color="auto"/>
              <w:right w:val="nil"/>
            </w:tcBorders>
            <w:shd w:val="clear" w:color="000000" w:fill="DEEAF6"/>
            <w:noWrap/>
            <w:vAlign w:val="center"/>
            <w:hideMark/>
          </w:tcPr>
          <w:p w14:paraId="7A7DEA52"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858.687.654</w:t>
            </w:r>
          </w:p>
        </w:tc>
        <w:tc>
          <w:tcPr>
            <w:tcW w:w="1134" w:type="dxa"/>
            <w:tcBorders>
              <w:top w:val="single" w:sz="8" w:space="0" w:color="auto"/>
              <w:left w:val="nil"/>
              <w:bottom w:val="single" w:sz="8" w:space="0" w:color="auto"/>
              <w:right w:val="nil"/>
            </w:tcBorders>
            <w:shd w:val="clear" w:color="000000" w:fill="DEEAF6"/>
            <w:noWrap/>
            <w:vAlign w:val="center"/>
            <w:hideMark/>
          </w:tcPr>
          <w:p w14:paraId="4B9349E5"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295.747.454</w:t>
            </w:r>
          </w:p>
        </w:tc>
        <w:tc>
          <w:tcPr>
            <w:tcW w:w="1134" w:type="dxa"/>
            <w:tcBorders>
              <w:top w:val="single" w:sz="8" w:space="0" w:color="auto"/>
              <w:left w:val="nil"/>
              <w:bottom w:val="single" w:sz="8" w:space="0" w:color="auto"/>
              <w:right w:val="nil"/>
            </w:tcBorders>
            <w:shd w:val="clear" w:color="000000" w:fill="DEEAF6"/>
            <w:noWrap/>
            <w:vAlign w:val="center"/>
            <w:hideMark/>
          </w:tcPr>
          <w:p w14:paraId="6C86A4A4"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34.748.580</w:t>
            </w:r>
          </w:p>
        </w:tc>
        <w:tc>
          <w:tcPr>
            <w:tcW w:w="1134" w:type="dxa"/>
            <w:tcBorders>
              <w:top w:val="single" w:sz="8" w:space="0" w:color="auto"/>
              <w:left w:val="nil"/>
              <w:bottom w:val="single" w:sz="8" w:space="0" w:color="auto"/>
              <w:right w:val="nil"/>
            </w:tcBorders>
            <w:shd w:val="clear" w:color="000000" w:fill="DEEAF6"/>
            <w:noWrap/>
            <w:vAlign w:val="center"/>
            <w:hideMark/>
          </w:tcPr>
          <w:p w14:paraId="0467083D" w14:textId="77777777" w:rsidR="003173E3" w:rsidRPr="003173E3" w:rsidRDefault="003173E3" w:rsidP="000C30F5">
            <w:pPr>
              <w:spacing w:after="0" w:line="240" w:lineRule="auto"/>
              <w:jc w:val="right"/>
              <w:rPr>
                <w:rFonts w:ascii="Calibri" w:eastAsia="Times New Roman" w:hAnsi="Calibri" w:cs="Calibri"/>
                <w:b/>
                <w:bCs/>
                <w:color w:val="000000"/>
                <w:sz w:val="16"/>
                <w:szCs w:val="16"/>
              </w:rPr>
            </w:pPr>
            <w:r w:rsidRPr="003173E3">
              <w:rPr>
                <w:rFonts w:ascii="Calibri" w:eastAsia="Times New Roman" w:hAnsi="Calibri" w:cs="Calibri"/>
                <w:b/>
                <w:bCs/>
                <w:color w:val="000000"/>
                <w:sz w:val="16"/>
                <w:szCs w:val="16"/>
              </w:rPr>
              <w:t>28.548.605</w:t>
            </w:r>
          </w:p>
        </w:tc>
      </w:tr>
    </w:tbl>
    <w:p w14:paraId="65A171D6" w14:textId="17293BF2" w:rsidR="006628C8" w:rsidRPr="000C30F5" w:rsidRDefault="00087665" w:rsidP="000C30F5">
      <w:pPr>
        <w:spacing w:before="120"/>
        <w:jc w:val="both"/>
        <w:rPr>
          <w:rFonts w:cstheme="minorHAnsi"/>
          <w:sz w:val="20"/>
        </w:rPr>
      </w:pPr>
      <w:bookmarkStart w:id="110" w:name="_Hlk183795433"/>
      <w:r w:rsidRPr="000C30F5">
        <w:rPr>
          <w:rFonts w:cstheme="minorHAnsi"/>
          <w:sz w:val="20"/>
        </w:rPr>
        <w:t xml:space="preserve">No </w:t>
      </w:r>
      <w:r w:rsidR="00177E79">
        <w:rPr>
          <w:rFonts w:cstheme="minorHAnsi"/>
          <w:sz w:val="20"/>
        </w:rPr>
        <w:t>primeiro</w:t>
      </w:r>
      <w:r w:rsidRPr="000C30F5">
        <w:rPr>
          <w:rFonts w:cstheme="minorHAnsi"/>
          <w:sz w:val="20"/>
        </w:rPr>
        <w:t xml:space="preserve"> </w:t>
      </w:r>
      <w:r w:rsidR="00F71B30">
        <w:rPr>
          <w:rFonts w:cstheme="minorHAnsi"/>
          <w:sz w:val="20"/>
        </w:rPr>
        <w:t xml:space="preserve">trimestre </w:t>
      </w:r>
      <w:r w:rsidRPr="000C30F5">
        <w:rPr>
          <w:rFonts w:cstheme="minorHAnsi"/>
          <w:sz w:val="20"/>
        </w:rPr>
        <w:t>de 202</w:t>
      </w:r>
      <w:r w:rsidR="00177E79">
        <w:rPr>
          <w:rFonts w:cstheme="minorHAnsi"/>
          <w:sz w:val="20"/>
        </w:rPr>
        <w:t>4</w:t>
      </w:r>
      <w:r w:rsidRPr="000C30F5">
        <w:rPr>
          <w:rFonts w:cstheme="minorHAnsi"/>
          <w:sz w:val="20"/>
        </w:rPr>
        <w:t>, os recursos de Restos a Pagar – RP executados foram os seguintes:</w:t>
      </w:r>
      <w:bookmarkEnd w:id="110"/>
    </w:p>
    <w:tbl>
      <w:tblPr>
        <w:tblW w:w="5000" w:type="pct"/>
        <w:tblCellMar>
          <w:left w:w="70" w:type="dxa"/>
          <w:right w:w="70" w:type="dxa"/>
        </w:tblCellMar>
        <w:tblLook w:val="04A0" w:firstRow="1" w:lastRow="0" w:firstColumn="1" w:lastColumn="0" w:noHBand="0" w:noVBand="1"/>
      </w:tblPr>
      <w:tblGrid>
        <w:gridCol w:w="3262"/>
        <w:gridCol w:w="1417"/>
        <w:gridCol w:w="1821"/>
        <w:gridCol w:w="1273"/>
        <w:gridCol w:w="1273"/>
        <w:gridCol w:w="1421"/>
      </w:tblGrid>
      <w:tr w:rsidR="002F189D" w:rsidRPr="002F189D" w14:paraId="3EE86C4E" w14:textId="77777777" w:rsidTr="00C61AC2">
        <w:trPr>
          <w:trHeight w:val="227"/>
        </w:trPr>
        <w:tc>
          <w:tcPr>
            <w:tcW w:w="1558" w:type="pct"/>
            <w:tcBorders>
              <w:top w:val="nil"/>
              <w:left w:val="nil"/>
              <w:bottom w:val="single" w:sz="8" w:space="0" w:color="auto"/>
              <w:right w:val="nil"/>
            </w:tcBorders>
            <w:shd w:val="clear" w:color="000000" w:fill="DEEAF6"/>
            <w:noWrap/>
            <w:vAlign w:val="center"/>
            <w:hideMark/>
          </w:tcPr>
          <w:p w14:paraId="33D4290D" w14:textId="77777777" w:rsidR="002F189D" w:rsidRPr="002F189D" w:rsidRDefault="002F189D" w:rsidP="000C30F5">
            <w:pPr>
              <w:spacing w:after="0" w:line="240" w:lineRule="auto"/>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Restos a Pagar</w:t>
            </w:r>
          </w:p>
        </w:tc>
        <w:tc>
          <w:tcPr>
            <w:tcW w:w="677" w:type="pct"/>
            <w:tcBorders>
              <w:top w:val="nil"/>
              <w:left w:val="nil"/>
              <w:bottom w:val="single" w:sz="8" w:space="0" w:color="auto"/>
              <w:right w:val="nil"/>
            </w:tcBorders>
            <w:shd w:val="clear" w:color="000000" w:fill="DEEAF6"/>
            <w:vAlign w:val="center"/>
            <w:hideMark/>
          </w:tcPr>
          <w:p w14:paraId="6D37A412"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Inscritos</w:t>
            </w:r>
          </w:p>
        </w:tc>
        <w:tc>
          <w:tcPr>
            <w:tcW w:w="870" w:type="pct"/>
            <w:tcBorders>
              <w:top w:val="nil"/>
              <w:left w:val="nil"/>
              <w:bottom w:val="single" w:sz="8" w:space="0" w:color="auto"/>
              <w:right w:val="nil"/>
            </w:tcBorders>
            <w:shd w:val="clear" w:color="000000" w:fill="DEEAF6"/>
            <w:vAlign w:val="center"/>
            <w:hideMark/>
          </w:tcPr>
          <w:p w14:paraId="7C3C0591" w14:textId="77777777" w:rsidR="002F189D" w:rsidRPr="000C30F5"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Liquidados</w:t>
            </w:r>
            <w:r w:rsidRPr="000C30F5">
              <w:rPr>
                <w:rFonts w:ascii="Calibri" w:eastAsia="Times New Roman" w:hAnsi="Calibri" w:cs="Calibri"/>
                <w:b/>
                <w:bCs/>
                <w:color w:val="000000"/>
                <w:sz w:val="16"/>
                <w:szCs w:val="16"/>
              </w:rPr>
              <w:t xml:space="preserve"> </w:t>
            </w:r>
            <w:r w:rsidRPr="002F189D">
              <w:rPr>
                <w:rFonts w:ascii="Calibri" w:eastAsia="Times New Roman" w:hAnsi="Calibri" w:cs="Calibri"/>
                <w:b/>
                <w:bCs/>
                <w:color w:val="000000"/>
                <w:sz w:val="16"/>
                <w:szCs w:val="16"/>
              </w:rPr>
              <w:t xml:space="preserve">em </w:t>
            </w:r>
          </w:p>
          <w:p w14:paraId="0A9E4A44" w14:textId="2C2756DC"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Exercícios Anteriores</w:t>
            </w:r>
          </w:p>
        </w:tc>
        <w:tc>
          <w:tcPr>
            <w:tcW w:w="608" w:type="pct"/>
            <w:tcBorders>
              <w:top w:val="nil"/>
              <w:left w:val="nil"/>
              <w:bottom w:val="single" w:sz="8" w:space="0" w:color="auto"/>
              <w:right w:val="nil"/>
            </w:tcBorders>
            <w:shd w:val="clear" w:color="000000" w:fill="DEEAF6"/>
            <w:vAlign w:val="center"/>
            <w:hideMark/>
          </w:tcPr>
          <w:p w14:paraId="7593D2C4"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Liquidados no Exercício</w:t>
            </w:r>
          </w:p>
        </w:tc>
        <w:tc>
          <w:tcPr>
            <w:tcW w:w="608" w:type="pct"/>
            <w:tcBorders>
              <w:top w:val="nil"/>
              <w:left w:val="nil"/>
              <w:bottom w:val="single" w:sz="8" w:space="0" w:color="auto"/>
              <w:right w:val="nil"/>
            </w:tcBorders>
            <w:shd w:val="clear" w:color="000000" w:fill="DEEAF6"/>
            <w:vAlign w:val="center"/>
            <w:hideMark/>
          </w:tcPr>
          <w:p w14:paraId="43098EA8"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Cancelados</w:t>
            </w:r>
          </w:p>
        </w:tc>
        <w:tc>
          <w:tcPr>
            <w:tcW w:w="679" w:type="pct"/>
            <w:tcBorders>
              <w:top w:val="nil"/>
              <w:left w:val="nil"/>
              <w:bottom w:val="single" w:sz="8" w:space="0" w:color="auto"/>
              <w:right w:val="nil"/>
            </w:tcBorders>
            <w:shd w:val="clear" w:color="000000" w:fill="DEEAF6"/>
            <w:noWrap/>
            <w:vAlign w:val="center"/>
            <w:hideMark/>
          </w:tcPr>
          <w:p w14:paraId="60B29AC5"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Pagos</w:t>
            </w:r>
          </w:p>
        </w:tc>
      </w:tr>
      <w:tr w:rsidR="002F189D" w:rsidRPr="002F189D" w14:paraId="53197255" w14:textId="77777777" w:rsidTr="00C61AC2">
        <w:trPr>
          <w:trHeight w:val="227"/>
        </w:trPr>
        <w:tc>
          <w:tcPr>
            <w:tcW w:w="1558" w:type="pct"/>
            <w:tcBorders>
              <w:top w:val="nil"/>
              <w:left w:val="nil"/>
              <w:bottom w:val="nil"/>
              <w:right w:val="nil"/>
            </w:tcBorders>
            <w:shd w:val="clear" w:color="auto" w:fill="auto"/>
            <w:noWrap/>
            <w:vAlign w:val="center"/>
            <w:hideMark/>
          </w:tcPr>
          <w:p w14:paraId="758FC606" w14:textId="77777777" w:rsidR="002F189D" w:rsidRPr="002F189D" w:rsidRDefault="002F189D" w:rsidP="000C30F5">
            <w:pPr>
              <w:spacing w:after="0" w:line="240" w:lineRule="auto"/>
              <w:rPr>
                <w:rFonts w:ascii="Calibri" w:eastAsia="Times New Roman" w:hAnsi="Calibri" w:cs="Calibri"/>
                <w:color w:val="000000"/>
                <w:sz w:val="16"/>
                <w:szCs w:val="16"/>
              </w:rPr>
            </w:pPr>
            <w:r w:rsidRPr="002F189D">
              <w:rPr>
                <w:rFonts w:ascii="Calibri" w:eastAsia="Times New Roman" w:hAnsi="Calibri" w:cs="Calibri"/>
                <w:color w:val="000000"/>
                <w:sz w:val="16"/>
                <w:szCs w:val="16"/>
              </w:rPr>
              <w:t>Custeio</w:t>
            </w:r>
          </w:p>
        </w:tc>
        <w:tc>
          <w:tcPr>
            <w:tcW w:w="677" w:type="pct"/>
            <w:tcBorders>
              <w:top w:val="nil"/>
              <w:left w:val="nil"/>
              <w:bottom w:val="nil"/>
              <w:right w:val="nil"/>
            </w:tcBorders>
            <w:shd w:val="clear" w:color="auto" w:fill="auto"/>
            <w:noWrap/>
            <w:vAlign w:val="center"/>
            <w:hideMark/>
          </w:tcPr>
          <w:p w14:paraId="27ACBE48"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45.442.754</w:t>
            </w:r>
          </w:p>
        </w:tc>
        <w:tc>
          <w:tcPr>
            <w:tcW w:w="870" w:type="pct"/>
            <w:tcBorders>
              <w:top w:val="nil"/>
              <w:left w:val="nil"/>
              <w:bottom w:val="nil"/>
              <w:right w:val="nil"/>
            </w:tcBorders>
            <w:shd w:val="clear" w:color="auto" w:fill="auto"/>
            <w:noWrap/>
            <w:vAlign w:val="center"/>
            <w:hideMark/>
          </w:tcPr>
          <w:p w14:paraId="290C8B6D"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1.201.511</w:t>
            </w:r>
          </w:p>
        </w:tc>
        <w:tc>
          <w:tcPr>
            <w:tcW w:w="608" w:type="pct"/>
            <w:tcBorders>
              <w:top w:val="nil"/>
              <w:left w:val="nil"/>
              <w:bottom w:val="nil"/>
              <w:right w:val="nil"/>
            </w:tcBorders>
            <w:shd w:val="clear" w:color="auto" w:fill="auto"/>
            <w:noWrap/>
            <w:vAlign w:val="center"/>
            <w:hideMark/>
          </w:tcPr>
          <w:p w14:paraId="614DA212"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14.735.007</w:t>
            </w:r>
          </w:p>
        </w:tc>
        <w:tc>
          <w:tcPr>
            <w:tcW w:w="608" w:type="pct"/>
            <w:tcBorders>
              <w:top w:val="nil"/>
              <w:left w:val="nil"/>
              <w:bottom w:val="nil"/>
              <w:right w:val="nil"/>
            </w:tcBorders>
            <w:shd w:val="clear" w:color="auto" w:fill="auto"/>
            <w:vAlign w:val="center"/>
            <w:hideMark/>
          </w:tcPr>
          <w:p w14:paraId="7A4F85B2"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693.638</w:t>
            </w:r>
          </w:p>
        </w:tc>
        <w:tc>
          <w:tcPr>
            <w:tcW w:w="679" w:type="pct"/>
            <w:tcBorders>
              <w:top w:val="nil"/>
              <w:left w:val="nil"/>
              <w:bottom w:val="nil"/>
              <w:right w:val="nil"/>
            </w:tcBorders>
            <w:shd w:val="clear" w:color="auto" w:fill="auto"/>
            <w:noWrap/>
            <w:vAlign w:val="center"/>
            <w:hideMark/>
          </w:tcPr>
          <w:p w14:paraId="57C8F2DA"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14.441.243</w:t>
            </w:r>
          </w:p>
        </w:tc>
      </w:tr>
      <w:tr w:rsidR="002F189D" w:rsidRPr="002F189D" w14:paraId="607BC8C2" w14:textId="77777777" w:rsidTr="00C61AC2">
        <w:trPr>
          <w:trHeight w:val="227"/>
        </w:trPr>
        <w:tc>
          <w:tcPr>
            <w:tcW w:w="1558" w:type="pct"/>
            <w:tcBorders>
              <w:top w:val="nil"/>
              <w:left w:val="nil"/>
              <w:bottom w:val="nil"/>
              <w:right w:val="nil"/>
            </w:tcBorders>
            <w:shd w:val="clear" w:color="auto" w:fill="auto"/>
            <w:noWrap/>
            <w:vAlign w:val="center"/>
            <w:hideMark/>
          </w:tcPr>
          <w:p w14:paraId="1243F841" w14:textId="77777777" w:rsidR="002F189D" w:rsidRPr="002F189D" w:rsidRDefault="002F189D" w:rsidP="000C30F5">
            <w:pPr>
              <w:spacing w:after="0" w:line="240" w:lineRule="auto"/>
              <w:rPr>
                <w:rFonts w:ascii="Calibri" w:eastAsia="Times New Roman" w:hAnsi="Calibri" w:cs="Calibri"/>
                <w:color w:val="000000"/>
                <w:sz w:val="16"/>
                <w:szCs w:val="16"/>
              </w:rPr>
            </w:pPr>
            <w:r w:rsidRPr="002F189D">
              <w:rPr>
                <w:rFonts w:ascii="Calibri" w:eastAsia="Times New Roman" w:hAnsi="Calibri" w:cs="Calibri"/>
                <w:color w:val="000000"/>
                <w:sz w:val="16"/>
                <w:szCs w:val="16"/>
              </w:rPr>
              <w:t xml:space="preserve">Pessoal e Encargos Sociais </w:t>
            </w:r>
          </w:p>
        </w:tc>
        <w:tc>
          <w:tcPr>
            <w:tcW w:w="677" w:type="pct"/>
            <w:tcBorders>
              <w:top w:val="nil"/>
              <w:left w:val="nil"/>
              <w:bottom w:val="nil"/>
              <w:right w:val="nil"/>
            </w:tcBorders>
            <w:shd w:val="clear" w:color="auto" w:fill="auto"/>
            <w:noWrap/>
            <w:vAlign w:val="center"/>
            <w:hideMark/>
          </w:tcPr>
          <w:p w14:paraId="54979321"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23.217.883</w:t>
            </w:r>
          </w:p>
        </w:tc>
        <w:tc>
          <w:tcPr>
            <w:tcW w:w="870" w:type="pct"/>
            <w:tcBorders>
              <w:top w:val="nil"/>
              <w:left w:val="nil"/>
              <w:bottom w:val="nil"/>
              <w:right w:val="nil"/>
            </w:tcBorders>
            <w:shd w:val="clear" w:color="auto" w:fill="auto"/>
            <w:noWrap/>
            <w:vAlign w:val="center"/>
            <w:hideMark/>
          </w:tcPr>
          <w:p w14:paraId="55F437B2"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7.850.438</w:t>
            </w:r>
          </w:p>
        </w:tc>
        <w:tc>
          <w:tcPr>
            <w:tcW w:w="608" w:type="pct"/>
            <w:tcBorders>
              <w:top w:val="nil"/>
              <w:left w:val="nil"/>
              <w:bottom w:val="nil"/>
              <w:right w:val="nil"/>
            </w:tcBorders>
            <w:shd w:val="clear" w:color="auto" w:fill="auto"/>
            <w:noWrap/>
            <w:vAlign w:val="center"/>
            <w:hideMark/>
          </w:tcPr>
          <w:p w14:paraId="15099849"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6.137.767</w:t>
            </w:r>
          </w:p>
        </w:tc>
        <w:tc>
          <w:tcPr>
            <w:tcW w:w="608" w:type="pct"/>
            <w:tcBorders>
              <w:top w:val="nil"/>
              <w:left w:val="nil"/>
              <w:bottom w:val="nil"/>
              <w:right w:val="nil"/>
            </w:tcBorders>
            <w:shd w:val="clear" w:color="auto" w:fill="auto"/>
            <w:vAlign w:val="center"/>
            <w:hideMark/>
          </w:tcPr>
          <w:p w14:paraId="2C23DC39"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24.911</w:t>
            </w:r>
          </w:p>
        </w:tc>
        <w:tc>
          <w:tcPr>
            <w:tcW w:w="679" w:type="pct"/>
            <w:tcBorders>
              <w:top w:val="nil"/>
              <w:left w:val="nil"/>
              <w:bottom w:val="nil"/>
              <w:right w:val="nil"/>
            </w:tcBorders>
            <w:shd w:val="clear" w:color="auto" w:fill="auto"/>
            <w:noWrap/>
            <w:vAlign w:val="center"/>
            <w:hideMark/>
          </w:tcPr>
          <w:p w14:paraId="76C436EB"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13.226.769</w:t>
            </w:r>
          </w:p>
        </w:tc>
      </w:tr>
      <w:tr w:rsidR="002F189D" w:rsidRPr="002F189D" w14:paraId="2C088D9E" w14:textId="77777777" w:rsidTr="00C61AC2">
        <w:trPr>
          <w:trHeight w:val="227"/>
        </w:trPr>
        <w:tc>
          <w:tcPr>
            <w:tcW w:w="1558" w:type="pct"/>
            <w:tcBorders>
              <w:top w:val="nil"/>
              <w:left w:val="nil"/>
              <w:bottom w:val="nil"/>
              <w:right w:val="nil"/>
            </w:tcBorders>
            <w:shd w:val="clear" w:color="auto" w:fill="auto"/>
            <w:noWrap/>
            <w:vAlign w:val="center"/>
            <w:hideMark/>
          </w:tcPr>
          <w:p w14:paraId="07D1B031" w14:textId="77777777" w:rsidR="002F189D" w:rsidRPr="002F189D" w:rsidRDefault="002F189D" w:rsidP="000C30F5">
            <w:pPr>
              <w:spacing w:after="0" w:line="240" w:lineRule="auto"/>
              <w:rPr>
                <w:rFonts w:ascii="Calibri" w:eastAsia="Times New Roman" w:hAnsi="Calibri" w:cs="Calibri"/>
                <w:color w:val="000000"/>
                <w:sz w:val="16"/>
                <w:szCs w:val="16"/>
              </w:rPr>
            </w:pPr>
            <w:r w:rsidRPr="002F189D">
              <w:rPr>
                <w:rFonts w:ascii="Calibri" w:eastAsia="Times New Roman" w:hAnsi="Calibri" w:cs="Calibri"/>
                <w:color w:val="000000"/>
                <w:sz w:val="16"/>
                <w:szCs w:val="16"/>
              </w:rPr>
              <w:t>Investimento</w:t>
            </w:r>
          </w:p>
        </w:tc>
        <w:tc>
          <w:tcPr>
            <w:tcW w:w="677" w:type="pct"/>
            <w:tcBorders>
              <w:top w:val="nil"/>
              <w:left w:val="nil"/>
              <w:bottom w:val="nil"/>
              <w:right w:val="nil"/>
            </w:tcBorders>
            <w:shd w:val="clear" w:color="auto" w:fill="auto"/>
            <w:noWrap/>
            <w:vAlign w:val="center"/>
            <w:hideMark/>
          </w:tcPr>
          <w:p w14:paraId="126108FE"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532.435.181</w:t>
            </w:r>
          </w:p>
        </w:tc>
        <w:tc>
          <w:tcPr>
            <w:tcW w:w="870" w:type="pct"/>
            <w:tcBorders>
              <w:top w:val="nil"/>
              <w:left w:val="nil"/>
              <w:bottom w:val="nil"/>
              <w:right w:val="nil"/>
            </w:tcBorders>
            <w:shd w:val="clear" w:color="auto" w:fill="auto"/>
            <w:noWrap/>
            <w:vAlign w:val="center"/>
            <w:hideMark/>
          </w:tcPr>
          <w:p w14:paraId="2FA2ACCD"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30.883.634</w:t>
            </w:r>
          </w:p>
        </w:tc>
        <w:tc>
          <w:tcPr>
            <w:tcW w:w="608" w:type="pct"/>
            <w:tcBorders>
              <w:top w:val="nil"/>
              <w:left w:val="nil"/>
              <w:bottom w:val="nil"/>
              <w:right w:val="nil"/>
            </w:tcBorders>
            <w:shd w:val="clear" w:color="auto" w:fill="auto"/>
            <w:noWrap/>
            <w:vAlign w:val="center"/>
            <w:hideMark/>
          </w:tcPr>
          <w:p w14:paraId="0ECBF49D"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26.704.268</w:t>
            </w:r>
          </w:p>
        </w:tc>
        <w:tc>
          <w:tcPr>
            <w:tcW w:w="608" w:type="pct"/>
            <w:tcBorders>
              <w:top w:val="nil"/>
              <w:left w:val="nil"/>
              <w:bottom w:val="nil"/>
              <w:right w:val="nil"/>
            </w:tcBorders>
            <w:shd w:val="clear" w:color="auto" w:fill="auto"/>
            <w:vAlign w:val="center"/>
            <w:hideMark/>
          </w:tcPr>
          <w:p w14:paraId="4173F118"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5.446.220</w:t>
            </w:r>
          </w:p>
        </w:tc>
        <w:tc>
          <w:tcPr>
            <w:tcW w:w="679" w:type="pct"/>
            <w:tcBorders>
              <w:top w:val="nil"/>
              <w:left w:val="nil"/>
              <w:bottom w:val="nil"/>
              <w:right w:val="nil"/>
            </w:tcBorders>
            <w:shd w:val="clear" w:color="auto" w:fill="auto"/>
            <w:noWrap/>
            <w:vAlign w:val="center"/>
            <w:hideMark/>
          </w:tcPr>
          <w:p w14:paraId="17F4F931" w14:textId="77777777" w:rsidR="002F189D" w:rsidRPr="002F189D" w:rsidRDefault="002F189D" w:rsidP="000C30F5">
            <w:pPr>
              <w:spacing w:after="0" w:line="240" w:lineRule="auto"/>
              <w:jc w:val="right"/>
              <w:rPr>
                <w:rFonts w:ascii="Calibri" w:eastAsia="Times New Roman" w:hAnsi="Calibri" w:cs="Calibri"/>
                <w:color w:val="000000"/>
                <w:sz w:val="16"/>
                <w:szCs w:val="16"/>
              </w:rPr>
            </w:pPr>
            <w:r w:rsidRPr="002F189D">
              <w:rPr>
                <w:rFonts w:ascii="Calibri" w:eastAsia="Times New Roman" w:hAnsi="Calibri" w:cs="Calibri"/>
                <w:color w:val="000000"/>
                <w:sz w:val="16"/>
                <w:szCs w:val="16"/>
              </w:rPr>
              <w:t>26.096.480</w:t>
            </w:r>
          </w:p>
        </w:tc>
      </w:tr>
      <w:tr w:rsidR="000C30F5" w:rsidRPr="002F189D" w14:paraId="503D38C3" w14:textId="77777777" w:rsidTr="00C61AC2">
        <w:trPr>
          <w:trHeight w:val="227"/>
        </w:trPr>
        <w:tc>
          <w:tcPr>
            <w:tcW w:w="1558" w:type="pct"/>
            <w:tcBorders>
              <w:top w:val="single" w:sz="8" w:space="0" w:color="auto"/>
              <w:left w:val="nil"/>
              <w:bottom w:val="single" w:sz="8" w:space="0" w:color="auto"/>
              <w:right w:val="nil"/>
            </w:tcBorders>
            <w:shd w:val="clear" w:color="000000" w:fill="DDEBF7"/>
            <w:noWrap/>
            <w:vAlign w:val="center"/>
            <w:hideMark/>
          </w:tcPr>
          <w:p w14:paraId="5F2D9E71" w14:textId="77777777" w:rsidR="002F189D" w:rsidRPr="002F189D" w:rsidRDefault="002F189D" w:rsidP="000C30F5">
            <w:pPr>
              <w:spacing w:after="0" w:line="240" w:lineRule="auto"/>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Total</w:t>
            </w:r>
          </w:p>
        </w:tc>
        <w:tc>
          <w:tcPr>
            <w:tcW w:w="677" w:type="pct"/>
            <w:tcBorders>
              <w:top w:val="single" w:sz="8" w:space="0" w:color="auto"/>
              <w:left w:val="nil"/>
              <w:bottom w:val="single" w:sz="8" w:space="0" w:color="auto"/>
              <w:right w:val="nil"/>
            </w:tcBorders>
            <w:shd w:val="clear" w:color="000000" w:fill="DDEBF7"/>
            <w:noWrap/>
            <w:vAlign w:val="center"/>
            <w:hideMark/>
          </w:tcPr>
          <w:p w14:paraId="74245028"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601.095.818</w:t>
            </w:r>
          </w:p>
        </w:tc>
        <w:tc>
          <w:tcPr>
            <w:tcW w:w="870" w:type="pct"/>
            <w:tcBorders>
              <w:top w:val="single" w:sz="8" w:space="0" w:color="auto"/>
              <w:left w:val="nil"/>
              <w:bottom w:val="single" w:sz="8" w:space="0" w:color="auto"/>
              <w:right w:val="nil"/>
            </w:tcBorders>
            <w:shd w:val="clear" w:color="000000" w:fill="DDEBF7"/>
            <w:noWrap/>
            <w:vAlign w:val="center"/>
            <w:hideMark/>
          </w:tcPr>
          <w:p w14:paraId="3023F915"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39.935.583</w:t>
            </w:r>
          </w:p>
        </w:tc>
        <w:tc>
          <w:tcPr>
            <w:tcW w:w="608" w:type="pct"/>
            <w:tcBorders>
              <w:top w:val="single" w:sz="8" w:space="0" w:color="auto"/>
              <w:left w:val="nil"/>
              <w:bottom w:val="single" w:sz="8" w:space="0" w:color="auto"/>
              <w:right w:val="nil"/>
            </w:tcBorders>
            <w:shd w:val="clear" w:color="000000" w:fill="DDEBF7"/>
            <w:noWrap/>
            <w:vAlign w:val="center"/>
            <w:hideMark/>
          </w:tcPr>
          <w:p w14:paraId="6F17597E"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47.577.042</w:t>
            </w:r>
          </w:p>
        </w:tc>
        <w:tc>
          <w:tcPr>
            <w:tcW w:w="608" w:type="pct"/>
            <w:tcBorders>
              <w:top w:val="single" w:sz="8" w:space="0" w:color="auto"/>
              <w:left w:val="nil"/>
              <w:bottom w:val="single" w:sz="8" w:space="0" w:color="auto"/>
              <w:right w:val="nil"/>
            </w:tcBorders>
            <w:shd w:val="clear" w:color="000000" w:fill="DDEBF7"/>
            <w:noWrap/>
            <w:vAlign w:val="center"/>
            <w:hideMark/>
          </w:tcPr>
          <w:p w14:paraId="6DD11FD2"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6.164.770</w:t>
            </w:r>
          </w:p>
        </w:tc>
        <w:tc>
          <w:tcPr>
            <w:tcW w:w="679" w:type="pct"/>
            <w:tcBorders>
              <w:top w:val="single" w:sz="8" w:space="0" w:color="auto"/>
              <w:left w:val="nil"/>
              <w:bottom w:val="single" w:sz="8" w:space="0" w:color="auto"/>
              <w:right w:val="nil"/>
            </w:tcBorders>
            <w:shd w:val="clear" w:color="000000" w:fill="DDEBF7"/>
            <w:noWrap/>
            <w:vAlign w:val="center"/>
            <w:hideMark/>
          </w:tcPr>
          <w:p w14:paraId="0ABEAE9B" w14:textId="77777777" w:rsidR="002F189D" w:rsidRPr="002F189D" w:rsidRDefault="002F189D" w:rsidP="000C30F5">
            <w:pPr>
              <w:spacing w:after="0" w:line="240" w:lineRule="auto"/>
              <w:jc w:val="right"/>
              <w:rPr>
                <w:rFonts w:ascii="Calibri" w:eastAsia="Times New Roman" w:hAnsi="Calibri" w:cs="Calibri"/>
                <w:b/>
                <w:bCs/>
                <w:color w:val="000000"/>
                <w:sz w:val="16"/>
                <w:szCs w:val="16"/>
              </w:rPr>
            </w:pPr>
            <w:r w:rsidRPr="002F189D">
              <w:rPr>
                <w:rFonts w:ascii="Calibri" w:eastAsia="Times New Roman" w:hAnsi="Calibri" w:cs="Calibri"/>
                <w:b/>
                <w:bCs/>
                <w:color w:val="000000"/>
                <w:sz w:val="16"/>
                <w:szCs w:val="16"/>
              </w:rPr>
              <w:t>53.764.491</w:t>
            </w:r>
          </w:p>
        </w:tc>
      </w:tr>
    </w:tbl>
    <w:p w14:paraId="4B08C236" w14:textId="09B043A0" w:rsidR="003957B4" w:rsidRPr="000C30F5" w:rsidRDefault="003957B4" w:rsidP="00FD641E">
      <w:pPr>
        <w:pStyle w:val="Ttulo2"/>
        <w:spacing w:before="120"/>
      </w:pPr>
      <w:bookmarkStart w:id="111" w:name="_Toc184926711"/>
      <w:r w:rsidRPr="000C30F5">
        <w:t>3</w:t>
      </w:r>
      <w:r w:rsidR="00454BFD">
        <w:t>8</w:t>
      </w:r>
      <w:r w:rsidRPr="000C30F5">
        <w:t>.4 – Partes Relacionadas</w:t>
      </w:r>
      <w:bookmarkEnd w:id="111"/>
      <w:r w:rsidRPr="000C30F5">
        <w:t xml:space="preserve"> </w:t>
      </w:r>
    </w:p>
    <w:p w14:paraId="75D237F7" w14:textId="2024857A" w:rsidR="00FC56D6" w:rsidRPr="000C30F5" w:rsidRDefault="00D165B4" w:rsidP="000C30F5">
      <w:pPr>
        <w:spacing w:before="120" w:line="240" w:lineRule="auto"/>
        <w:jc w:val="both"/>
        <w:rPr>
          <w:rFonts w:cstheme="minorHAnsi"/>
          <w:sz w:val="20"/>
        </w:rPr>
      </w:pPr>
      <w:r w:rsidRPr="000C30F5">
        <w:rPr>
          <w:rFonts w:cstheme="minorHAnsi"/>
          <w:sz w:val="20"/>
        </w:rPr>
        <w:t>A Infra S.A. possui como parte</w:t>
      </w:r>
      <w:r w:rsidR="00AA33C1" w:rsidRPr="000C30F5">
        <w:rPr>
          <w:rFonts w:cstheme="minorHAnsi"/>
          <w:sz w:val="20"/>
        </w:rPr>
        <w:t xml:space="preserve"> relacionada a Transnordestina Logística S</w:t>
      </w:r>
      <w:r w:rsidR="008631B7" w:rsidRPr="000C30F5">
        <w:rPr>
          <w:rFonts w:cstheme="minorHAnsi"/>
          <w:sz w:val="20"/>
        </w:rPr>
        <w:t>.</w:t>
      </w:r>
      <w:r w:rsidR="00AA33C1" w:rsidRPr="000C30F5">
        <w:rPr>
          <w:rFonts w:cstheme="minorHAnsi"/>
          <w:sz w:val="20"/>
        </w:rPr>
        <w:t>A</w:t>
      </w:r>
      <w:r w:rsidR="008631B7" w:rsidRPr="000C30F5">
        <w:rPr>
          <w:rFonts w:cstheme="minorHAnsi"/>
          <w:sz w:val="20"/>
        </w:rPr>
        <w:t>.</w:t>
      </w:r>
      <w:r w:rsidR="00AA33C1" w:rsidRPr="000C30F5">
        <w:rPr>
          <w:rFonts w:cstheme="minorHAnsi"/>
          <w:sz w:val="20"/>
        </w:rPr>
        <w:t xml:space="preserve"> </w:t>
      </w:r>
      <w:r w:rsidR="003D28CF" w:rsidRPr="000C30F5">
        <w:rPr>
          <w:rFonts w:cstheme="minorHAnsi"/>
          <w:sz w:val="20"/>
        </w:rPr>
        <w:t xml:space="preserve">– </w:t>
      </w:r>
      <w:r w:rsidR="00AA33C1" w:rsidRPr="000C30F5">
        <w:rPr>
          <w:rFonts w:cstheme="minorHAnsi"/>
          <w:sz w:val="20"/>
        </w:rPr>
        <w:t>TLSA</w:t>
      </w:r>
      <w:r w:rsidR="00EF7A4D" w:rsidRPr="000C30F5">
        <w:rPr>
          <w:rFonts w:cstheme="minorHAnsi"/>
          <w:sz w:val="20"/>
        </w:rPr>
        <w:t xml:space="preserve">, consoante apresentado na </w:t>
      </w:r>
      <w:r w:rsidR="00FD0BE3" w:rsidRPr="000C30F5">
        <w:rPr>
          <w:rFonts w:cstheme="minorHAnsi"/>
          <w:sz w:val="20"/>
        </w:rPr>
        <w:t>Nota Explicativa</w:t>
      </w:r>
      <w:r w:rsidR="00EF7A4D" w:rsidRPr="000C30F5">
        <w:rPr>
          <w:rFonts w:cstheme="minorHAnsi"/>
          <w:sz w:val="20"/>
        </w:rPr>
        <w:t xml:space="preserve"> 12 – b. Informa-se que não houve no período transações com</w:t>
      </w:r>
      <w:r w:rsidR="00530149" w:rsidRPr="000C30F5">
        <w:rPr>
          <w:rFonts w:cstheme="minorHAnsi"/>
          <w:sz w:val="20"/>
        </w:rPr>
        <w:t xml:space="preserve"> referida parte relacionada.</w:t>
      </w:r>
    </w:p>
    <w:p w14:paraId="71251D42" w14:textId="3E0D9E87" w:rsidR="00530149" w:rsidRPr="000C30F5" w:rsidRDefault="00530149" w:rsidP="000C30F5">
      <w:pPr>
        <w:spacing w:before="120" w:line="240" w:lineRule="auto"/>
        <w:jc w:val="both"/>
        <w:rPr>
          <w:rFonts w:cstheme="minorHAnsi"/>
          <w:sz w:val="20"/>
          <w:szCs w:val="20"/>
        </w:rPr>
      </w:pPr>
      <w:r w:rsidRPr="000C30F5">
        <w:rPr>
          <w:rFonts w:cstheme="minorHAnsi"/>
          <w:sz w:val="20"/>
        </w:rPr>
        <w:t xml:space="preserve">Em relação à União, sua única acionista, informa-se que </w:t>
      </w:r>
      <w:r w:rsidR="00863211" w:rsidRPr="000C30F5">
        <w:rPr>
          <w:rFonts w:cstheme="minorHAnsi"/>
          <w:sz w:val="20"/>
        </w:rPr>
        <w:t xml:space="preserve">por ser empresa dependente </w:t>
      </w:r>
      <w:r w:rsidR="00595980" w:rsidRPr="000C30F5">
        <w:rPr>
          <w:rFonts w:cstheme="minorHAnsi"/>
          <w:sz w:val="20"/>
        </w:rPr>
        <w:t xml:space="preserve">as dotações recebidas para suas atividades são as designadas pela </w:t>
      </w:r>
      <w:r w:rsidR="00F3530D" w:rsidRPr="000C30F5">
        <w:rPr>
          <w:rFonts w:cstheme="minorHAnsi"/>
          <w:sz w:val="20"/>
        </w:rPr>
        <w:t xml:space="preserve">Lei de Orçamento Anual </w:t>
      </w:r>
      <w:r w:rsidR="006B52C8" w:rsidRPr="000C30F5">
        <w:rPr>
          <w:rFonts w:cstheme="minorHAnsi"/>
          <w:sz w:val="20"/>
        </w:rPr>
        <w:t>–</w:t>
      </w:r>
      <w:r w:rsidR="00F3530D" w:rsidRPr="000C30F5">
        <w:rPr>
          <w:rFonts w:cstheme="minorHAnsi"/>
          <w:sz w:val="20"/>
        </w:rPr>
        <w:t xml:space="preserve"> </w:t>
      </w:r>
      <w:r w:rsidR="001F3F01" w:rsidRPr="000C30F5">
        <w:rPr>
          <w:rFonts w:cstheme="minorHAnsi"/>
          <w:sz w:val="20"/>
        </w:rPr>
        <w:t xml:space="preserve">LOA, </w:t>
      </w:r>
      <w:r w:rsidR="00863211" w:rsidRPr="000C30F5">
        <w:rPr>
          <w:rFonts w:cstheme="minorHAnsi"/>
          <w:sz w:val="20"/>
        </w:rPr>
        <w:t xml:space="preserve">como informado na </w:t>
      </w:r>
      <w:r w:rsidR="00333C69" w:rsidRPr="000C30F5">
        <w:rPr>
          <w:rFonts w:cstheme="minorHAnsi"/>
          <w:sz w:val="20"/>
        </w:rPr>
        <w:t xml:space="preserve">Nota Explicativa </w:t>
      </w:r>
      <w:r w:rsidR="00863211" w:rsidRPr="000C30F5">
        <w:rPr>
          <w:rFonts w:cstheme="minorHAnsi"/>
          <w:sz w:val="20"/>
        </w:rPr>
        <w:t>1.3</w:t>
      </w:r>
      <w:r w:rsidR="00330454" w:rsidRPr="000C30F5">
        <w:rPr>
          <w:rFonts w:cstheme="minorHAnsi"/>
        </w:rPr>
        <w:t>,</w:t>
      </w:r>
      <w:r w:rsidR="00330454" w:rsidRPr="000C30F5">
        <w:rPr>
          <w:rFonts w:cstheme="minorHAnsi"/>
          <w:sz w:val="20"/>
        </w:rPr>
        <w:t xml:space="preserve"> e o</w:t>
      </w:r>
      <w:r w:rsidR="00876879" w:rsidRPr="000C30F5">
        <w:rPr>
          <w:rFonts w:cstheme="minorHAnsi"/>
          <w:sz w:val="20"/>
        </w:rPr>
        <w:t xml:space="preserve">s </w:t>
      </w:r>
      <w:r w:rsidR="00352E85" w:rsidRPr="000C30F5">
        <w:rPr>
          <w:rFonts w:cstheme="minorHAnsi"/>
          <w:sz w:val="20"/>
        </w:rPr>
        <w:t>recursos financeiros recebidos</w:t>
      </w:r>
      <w:r w:rsidR="00876879" w:rsidRPr="000C30F5">
        <w:rPr>
          <w:rFonts w:cstheme="minorHAnsi"/>
          <w:sz w:val="20"/>
        </w:rPr>
        <w:t xml:space="preserve"> no período estão apresentados na </w:t>
      </w:r>
      <w:r w:rsidR="0044780A" w:rsidRPr="000C30F5">
        <w:rPr>
          <w:rFonts w:cstheme="minorHAnsi"/>
          <w:sz w:val="20"/>
        </w:rPr>
        <w:t>N</w:t>
      </w:r>
      <w:r w:rsidR="00876879" w:rsidRPr="000C30F5">
        <w:rPr>
          <w:rFonts w:cstheme="minorHAnsi"/>
          <w:sz w:val="20"/>
        </w:rPr>
        <w:t>ota</w:t>
      </w:r>
      <w:r w:rsidR="0044780A" w:rsidRPr="000C30F5">
        <w:rPr>
          <w:rFonts w:cstheme="minorHAnsi"/>
          <w:sz w:val="20"/>
        </w:rPr>
        <w:t xml:space="preserve"> Explicativa</w:t>
      </w:r>
      <w:r w:rsidR="00876879" w:rsidRPr="000C30F5">
        <w:rPr>
          <w:rFonts w:cstheme="minorHAnsi"/>
          <w:sz w:val="20"/>
        </w:rPr>
        <w:t xml:space="preserve"> 3</w:t>
      </w:r>
      <w:r w:rsidR="00360A0F">
        <w:rPr>
          <w:rFonts w:cstheme="minorHAnsi"/>
          <w:sz w:val="20"/>
        </w:rPr>
        <w:t>8</w:t>
      </w:r>
      <w:r w:rsidR="00876879" w:rsidRPr="000C30F5">
        <w:rPr>
          <w:rFonts w:cstheme="minorHAnsi"/>
          <w:sz w:val="20"/>
        </w:rPr>
        <w:t xml:space="preserve">.2. </w:t>
      </w:r>
      <w:r w:rsidR="00D114C2" w:rsidRPr="000C30F5">
        <w:rPr>
          <w:rFonts w:cstheme="minorHAnsi"/>
          <w:sz w:val="20"/>
        </w:rPr>
        <w:t xml:space="preserve">Além desses valores, a Infra S.A. obtém rendimentos de aplicação financeira </w:t>
      </w:r>
      <w:r w:rsidR="00B33171" w:rsidRPr="000C30F5">
        <w:rPr>
          <w:rFonts w:cstheme="minorHAnsi"/>
          <w:sz w:val="20"/>
        </w:rPr>
        <w:t>sobre os</w:t>
      </w:r>
      <w:r w:rsidR="00A56B8E" w:rsidRPr="000C30F5">
        <w:rPr>
          <w:rFonts w:cstheme="minorHAnsi"/>
          <w:sz w:val="20"/>
        </w:rPr>
        <w:t xml:space="preserve"> </w:t>
      </w:r>
      <w:r w:rsidR="00A56B8E" w:rsidRPr="000C30F5">
        <w:rPr>
          <w:rFonts w:cstheme="minorHAnsi"/>
          <w:sz w:val="20"/>
          <w:szCs w:val="20"/>
        </w:rPr>
        <w:t xml:space="preserve">recursos aplicados na Conta Única do Tesouro Nacional, conforme demonstrado na </w:t>
      </w:r>
      <w:r w:rsidR="003757BF" w:rsidRPr="000C30F5">
        <w:rPr>
          <w:rFonts w:cstheme="minorHAnsi"/>
          <w:sz w:val="20"/>
          <w:szCs w:val="20"/>
        </w:rPr>
        <w:t>N</w:t>
      </w:r>
      <w:r w:rsidR="00A56B8E" w:rsidRPr="000C30F5">
        <w:rPr>
          <w:rFonts w:cstheme="minorHAnsi"/>
          <w:sz w:val="20"/>
          <w:szCs w:val="20"/>
        </w:rPr>
        <w:t>ota</w:t>
      </w:r>
      <w:r w:rsidR="00D114C2" w:rsidRPr="000C30F5">
        <w:rPr>
          <w:rFonts w:cstheme="minorHAnsi"/>
          <w:sz w:val="20"/>
          <w:szCs w:val="20"/>
        </w:rPr>
        <w:t xml:space="preserve"> </w:t>
      </w:r>
      <w:r w:rsidR="003757BF" w:rsidRPr="000C30F5">
        <w:rPr>
          <w:rFonts w:cstheme="minorHAnsi"/>
          <w:sz w:val="20"/>
          <w:szCs w:val="20"/>
        </w:rPr>
        <w:t>Explicativa</w:t>
      </w:r>
      <w:r w:rsidR="00D114C2" w:rsidRPr="000C30F5">
        <w:rPr>
          <w:rFonts w:cstheme="minorHAnsi"/>
          <w:sz w:val="20"/>
          <w:szCs w:val="20"/>
        </w:rPr>
        <w:t xml:space="preserve"> </w:t>
      </w:r>
      <w:r w:rsidR="003957B4" w:rsidRPr="000C30F5">
        <w:rPr>
          <w:rFonts w:cstheme="minorHAnsi"/>
          <w:sz w:val="20"/>
          <w:szCs w:val="20"/>
        </w:rPr>
        <w:t>3.</w:t>
      </w:r>
    </w:p>
    <w:p w14:paraId="02F97E53" w14:textId="2E50182C" w:rsidR="007F460A" w:rsidRPr="000C30F5" w:rsidRDefault="007F460A" w:rsidP="005A30A6">
      <w:pPr>
        <w:pStyle w:val="Ttulo2"/>
        <w:spacing w:before="120"/>
      </w:pPr>
      <w:bookmarkStart w:id="112" w:name="_Toc184926712"/>
      <w:r w:rsidRPr="000C30F5">
        <w:lastRenderedPageBreak/>
        <w:t>3</w:t>
      </w:r>
      <w:r w:rsidR="00E769CD">
        <w:t>8</w:t>
      </w:r>
      <w:r w:rsidRPr="000C30F5">
        <w:t xml:space="preserve">.5 – </w:t>
      </w:r>
      <w:r w:rsidR="007A5B88" w:rsidRPr="000C30F5">
        <w:t xml:space="preserve">Interesse </w:t>
      </w:r>
      <w:r w:rsidR="00F6048A" w:rsidRPr="000C30F5">
        <w:t>P</w:t>
      </w:r>
      <w:r w:rsidR="007A5B88" w:rsidRPr="000C30F5">
        <w:t>úblico</w:t>
      </w:r>
      <w:bookmarkEnd w:id="112"/>
    </w:p>
    <w:p w14:paraId="2143544C" w14:textId="77777777" w:rsidR="0054385C" w:rsidRPr="000C30F5" w:rsidRDefault="0054385C" w:rsidP="000C30F5">
      <w:pPr>
        <w:spacing w:before="120" w:line="240" w:lineRule="auto"/>
        <w:jc w:val="both"/>
        <w:rPr>
          <w:rFonts w:cstheme="minorHAnsi"/>
          <w:sz w:val="20"/>
        </w:rPr>
      </w:pPr>
      <w:r w:rsidRPr="000C30F5">
        <w:rPr>
          <w:rFonts w:cstheme="minorHAnsi"/>
          <w:sz w:val="20"/>
        </w:rPr>
        <w:t>Nos termos do art. 7º do Estatuto Social, a Companhia poderá ter suas atividades, sempre que consentâneas com seu objeto social, orientadas pela União de modo a contribuir para o interesse público que justificou a sua criação, podendo a União orientar a Companhia a assumir obrigações ou responsabilidades em condições diversas às de qualquer outra sociedade do setor privado que atue no mesmo mercado.</w:t>
      </w:r>
    </w:p>
    <w:p w14:paraId="2F05ADD2" w14:textId="54A94682" w:rsidR="0054385C" w:rsidRPr="000C30F5" w:rsidRDefault="0054385C" w:rsidP="000C30F5">
      <w:pPr>
        <w:spacing w:before="120" w:line="240" w:lineRule="auto"/>
        <w:jc w:val="both"/>
        <w:rPr>
          <w:rFonts w:cstheme="minorHAnsi"/>
          <w:sz w:val="20"/>
        </w:rPr>
      </w:pPr>
      <w:r w:rsidRPr="000C30F5">
        <w:rPr>
          <w:rFonts w:cstheme="minorHAnsi"/>
          <w:sz w:val="20"/>
        </w:rPr>
        <w:t>Referido dispositivo decorre do disposto no § 2º do art. 8º da Lei nº 13.303/2016, aplicável às empresas que explorem atividade econômica, o que não se aplica à Valec dada a natureza de suas atividades, sendo ela qualificada por vezes pelo Supremo Tribunal Federal como empresa estatal prestadora de serviços públicos.</w:t>
      </w:r>
    </w:p>
    <w:p w14:paraId="0AA0DB26" w14:textId="3AD4F6B4" w:rsidR="009F1F3A" w:rsidRDefault="0054385C" w:rsidP="005A30A6">
      <w:pPr>
        <w:spacing w:before="120" w:after="0" w:line="240" w:lineRule="auto"/>
        <w:jc w:val="both"/>
        <w:rPr>
          <w:sz w:val="20"/>
          <w:szCs w:val="20"/>
        </w:rPr>
      </w:pPr>
      <w:r w:rsidRPr="695F3B06">
        <w:rPr>
          <w:sz w:val="20"/>
          <w:szCs w:val="20"/>
        </w:rPr>
        <w:t>O entendimento se estende às receitas obtidas por esta estatal decorrentes dos serviços dispostos na Lei nº 12.404/2011, a qual autorizou a constituição da EPL, atual Infra S.A. após sua incorporação, visto que trata-se de planejamento governamental, atividade típica de Estado conforme art. 174 da Constituição Federal e, assim, não se dão em concorrência com empresas privadas, mas sim por autorização específica em lei para que a estatal seja contratada para prestar estes serviços (vide o art. 7º da referida Lei).</w:t>
      </w:r>
    </w:p>
    <w:p w14:paraId="560CB784" w14:textId="77777777" w:rsidR="00CB5EE5" w:rsidRPr="000E6031" w:rsidRDefault="00CB5EE5" w:rsidP="005A30A6">
      <w:pPr>
        <w:spacing w:after="0" w:line="240" w:lineRule="auto"/>
        <w:jc w:val="both"/>
        <w:rPr>
          <w:rFonts w:cstheme="minorHAnsi"/>
          <w:sz w:val="20"/>
        </w:rPr>
      </w:pPr>
    </w:p>
    <w:p w14:paraId="014AACFD" w14:textId="37FCB396" w:rsidR="00C04DAF" w:rsidRPr="000C30F5" w:rsidRDefault="00DB7973" w:rsidP="000C30F5">
      <w:pPr>
        <w:pStyle w:val="Ttulo1"/>
      </w:pPr>
      <w:bookmarkStart w:id="113" w:name="_Toc139478699"/>
      <w:bookmarkStart w:id="114" w:name="_Toc184926713"/>
      <w:r w:rsidRPr="000C30F5">
        <w:t>3</w:t>
      </w:r>
      <w:r w:rsidR="00E769CD">
        <w:t>9</w:t>
      </w:r>
      <w:r w:rsidR="00C04DAF" w:rsidRPr="000C30F5">
        <w:t xml:space="preserve"> – </w:t>
      </w:r>
      <w:r w:rsidR="00E50E8A" w:rsidRPr="000C30F5">
        <w:t xml:space="preserve">Conciliação entre a Lei </w:t>
      </w:r>
      <w:r w:rsidR="00CE47C6" w:rsidRPr="000C30F5">
        <w:t>n</w:t>
      </w:r>
      <w:r w:rsidR="003216EF" w:rsidRPr="000C30F5">
        <w:t>º</w:t>
      </w:r>
      <w:r w:rsidR="00E50E8A" w:rsidRPr="000C30F5">
        <w:t xml:space="preserve"> 6.404/</w:t>
      </w:r>
      <w:r w:rsidR="001E59D6" w:rsidRPr="000C30F5">
        <w:t>19</w:t>
      </w:r>
      <w:r w:rsidR="00E50E8A" w:rsidRPr="000C30F5">
        <w:t xml:space="preserve">76 e a Lei </w:t>
      </w:r>
      <w:r w:rsidR="00CE47C6" w:rsidRPr="000C30F5">
        <w:t>n</w:t>
      </w:r>
      <w:r w:rsidR="003216EF" w:rsidRPr="000C30F5">
        <w:t>º</w:t>
      </w:r>
      <w:r w:rsidR="00E50E8A" w:rsidRPr="000C30F5">
        <w:t xml:space="preserve"> 4.320/</w:t>
      </w:r>
      <w:r w:rsidR="001E59D6" w:rsidRPr="000C30F5">
        <w:t>19</w:t>
      </w:r>
      <w:r w:rsidR="00E50E8A" w:rsidRPr="000C30F5">
        <w:t>64 (Nota Não Auditada)</w:t>
      </w:r>
      <w:bookmarkEnd w:id="113"/>
      <w:bookmarkEnd w:id="114"/>
    </w:p>
    <w:p w14:paraId="28DB0A8D" w14:textId="357CF8F2" w:rsidR="00AF59F7" w:rsidRPr="000C30F5" w:rsidRDefault="00AF59F7" w:rsidP="000C30F5">
      <w:pPr>
        <w:suppressAutoHyphens/>
        <w:autoSpaceDN w:val="0"/>
        <w:spacing w:before="120"/>
        <w:jc w:val="both"/>
        <w:rPr>
          <w:rFonts w:cstheme="minorHAnsi"/>
          <w:sz w:val="20"/>
          <w:szCs w:val="20"/>
        </w:rPr>
      </w:pPr>
      <w:r w:rsidRPr="000C30F5">
        <w:rPr>
          <w:rFonts w:cstheme="minorHAnsi"/>
          <w:sz w:val="20"/>
          <w:szCs w:val="20"/>
        </w:rPr>
        <w:t xml:space="preserve">Em atendimento ao Acórdão n° 2016/2006 do Tribunal de Contas da União – TCU, apresenta-se a conciliação de saldos do Balanço Patrimonial e da Demonstração o Resultado do Exercício – DRE, contabilizados conforme preceitos da Lei n° 6.404/1976, aplicadas às empresas sociedades anônimas e a Lei n° 4.320/1964, aplicada ao Setor Público. </w:t>
      </w:r>
    </w:p>
    <w:p w14:paraId="7630963E" w14:textId="7376D075" w:rsidR="00AF59F7" w:rsidRPr="000C30F5" w:rsidRDefault="00AF59F7" w:rsidP="000C30F5">
      <w:pPr>
        <w:suppressAutoHyphens/>
        <w:autoSpaceDN w:val="0"/>
        <w:spacing w:before="120"/>
        <w:jc w:val="both"/>
        <w:rPr>
          <w:rFonts w:cstheme="minorHAnsi"/>
          <w:sz w:val="20"/>
          <w:szCs w:val="20"/>
        </w:rPr>
      </w:pPr>
      <w:r w:rsidRPr="000C30F5">
        <w:rPr>
          <w:rFonts w:cstheme="minorHAnsi"/>
          <w:sz w:val="20"/>
          <w:szCs w:val="20"/>
        </w:rPr>
        <w:t>Conforme divulgado na Nota Explicativa 2-e, os registros contábeis da empresa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4100B7C1" w14:textId="55E6E2F6" w:rsidR="00AF59F7" w:rsidRPr="000C30F5" w:rsidRDefault="00AF59F7" w:rsidP="000C30F5">
      <w:pPr>
        <w:suppressAutoHyphens/>
        <w:autoSpaceDN w:val="0"/>
        <w:spacing w:before="120"/>
        <w:jc w:val="both"/>
        <w:rPr>
          <w:rFonts w:cstheme="minorHAnsi"/>
          <w:sz w:val="20"/>
          <w:szCs w:val="20"/>
        </w:rPr>
      </w:pPr>
      <w:r w:rsidRPr="000C30F5">
        <w:rPr>
          <w:rFonts w:cstheme="minorHAnsi"/>
          <w:sz w:val="20"/>
          <w:szCs w:val="20"/>
        </w:rPr>
        <w:t>Os dados para a elaboração das Demonstrações conforme a Lei 4.320/1964 foram extraídos do SIAFI.</w:t>
      </w:r>
    </w:p>
    <w:p w14:paraId="539646A5" w14:textId="1667190F" w:rsidR="00AF59F7" w:rsidRPr="000C30F5" w:rsidRDefault="00AF59F7" w:rsidP="000C30F5">
      <w:pPr>
        <w:suppressAutoHyphens/>
        <w:autoSpaceDN w:val="0"/>
        <w:spacing w:before="120"/>
        <w:jc w:val="both"/>
        <w:rPr>
          <w:rFonts w:cstheme="minorHAnsi"/>
          <w:sz w:val="20"/>
          <w:szCs w:val="20"/>
        </w:rPr>
      </w:pPr>
      <w:r w:rsidRPr="000C30F5">
        <w:rPr>
          <w:rFonts w:cstheme="minorHAnsi"/>
          <w:sz w:val="20"/>
          <w:szCs w:val="20"/>
        </w:rPr>
        <w:t>A conciliação apresentada nos itens (i) Balanço Patrimonial; e (</w:t>
      </w:r>
      <w:proofErr w:type="spellStart"/>
      <w:r w:rsidRPr="000C30F5">
        <w:rPr>
          <w:rFonts w:cstheme="minorHAnsi"/>
          <w:sz w:val="20"/>
          <w:szCs w:val="20"/>
        </w:rPr>
        <w:t>ii</w:t>
      </w:r>
      <w:proofErr w:type="spellEnd"/>
      <w:r w:rsidRPr="000C30F5">
        <w:rPr>
          <w:rFonts w:cstheme="minorHAnsi"/>
          <w:sz w:val="20"/>
          <w:szCs w:val="20"/>
        </w:rPr>
        <w:t xml:space="preserve">) Demonstração do Resultado do Exercício possui as seguintes características: </w:t>
      </w:r>
    </w:p>
    <w:p w14:paraId="7EF48AF2" w14:textId="77777777" w:rsidR="00F1787E" w:rsidRPr="000C30F5" w:rsidRDefault="00F1787E" w:rsidP="00C000AF">
      <w:pPr>
        <w:pStyle w:val="PargrafodaLista"/>
        <w:numPr>
          <w:ilvl w:val="0"/>
          <w:numId w:val="13"/>
        </w:numPr>
        <w:suppressAutoHyphens/>
        <w:autoSpaceDN w:val="0"/>
        <w:spacing w:before="120"/>
        <w:jc w:val="both"/>
        <w:rPr>
          <w:rFonts w:cs="Calibri"/>
          <w:sz w:val="20"/>
          <w:szCs w:val="20"/>
        </w:rPr>
      </w:pPr>
      <w:r w:rsidRPr="000C30F5">
        <w:rPr>
          <w:rFonts w:cs="Calibri"/>
          <w:sz w:val="20"/>
          <w:szCs w:val="20"/>
        </w:rPr>
        <w:t>Tempestivas, que foram registradas ou reclassificadas no SIAFI em momento posterior ao de competência. Referências: (3), (4), (5), (6), (10), (11), (12);</w:t>
      </w:r>
    </w:p>
    <w:p w14:paraId="06835377" w14:textId="3EEDA16E" w:rsidR="00F1787E" w:rsidRPr="000C30F5" w:rsidRDefault="00F1787E" w:rsidP="00C000AF">
      <w:pPr>
        <w:pStyle w:val="PargrafodaLista"/>
        <w:numPr>
          <w:ilvl w:val="0"/>
          <w:numId w:val="13"/>
        </w:numPr>
        <w:suppressAutoHyphens/>
        <w:autoSpaceDN w:val="0"/>
        <w:spacing w:before="120"/>
        <w:ind w:right="57"/>
        <w:contextualSpacing w:val="0"/>
        <w:jc w:val="both"/>
        <w:rPr>
          <w:sz w:val="22"/>
          <w:szCs w:val="22"/>
        </w:rPr>
      </w:pPr>
      <w:r w:rsidRPr="000C30F5">
        <w:rPr>
          <w:rFonts w:cs="Calibri"/>
          <w:sz w:val="20"/>
          <w:szCs w:val="20"/>
        </w:rPr>
        <w:t>Normativas, que correspondem a diferenças entre contabilidade pública e societária. Referências: (1), (2), (</w:t>
      </w:r>
      <w:r w:rsidR="00525003">
        <w:rPr>
          <w:rFonts w:cs="Calibri"/>
          <w:sz w:val="20"/>
          <w:szCs w:val="20"/>
        </w:rPr>
        <w:t>3),</w:t>
      </w:r>
      <w:r w:rsidRPr="000C30F5">
        <w:rPr>
          <w:rFonts w:cs="Calibri"/>
          <w:sz w:val="20"/>
          <w:szCs w:val="20"/>
        </w:rPr>
        <w:t xml:space="preserve"> (7), (8), (9), (13), (14), (15), (16) e (17).</w:t>
      </w:r>
    </w:p>
    <w:p w14:paraId="66CBA8AC" w14:textId="77777777" w:rsidR="001228FA" w:rsidRDefault="001228FA" w:rsidP="000C30F5">
      <w:pPr>
        <w:tabs>
          <w:tab w:val="left" w:pos="2655"/>
        </w:tabs>
        <w:rPr>
          <w:rFonts w:ascii="Calibri" w:hAnsi="Calibri" w:cs="Calibri"/>
          <w:bCs/>
          <w:color w:val="FF0000"/>
          <w:sz w:val="18"/>
          <w:szCs w:val="18"/>
        </w:rPr>
      </w:pPr>
      <w:r>
        <w:rPr>
          <w:rFonts w:ascii="Calibri" w:hAnsi="Calibri" w:cs="Calibri"/>
          <w:bCs/>
          <w:color w:val="FF0000"/>
          <w:sz w:val="18"/>
          <w:szCs w:val="18"/>
        </w:rPr>
        <w:tab/>
      </w:r>
    </w:p>
    <w:p w14:paraId="620E9041" w14:textId="77777777" w:rsidR="007F008F" w:rsidRDefault="007F008F" w:rsidP="007F008F">
      <w:pPr>
        <w:ind w:firstLine="567"/>
        <w:rPr>
          <w:rFonts w:ascii="Calibri" w:hAnsi="Calibri" w:cs="Calibri"/>
          <w:bCs/>
          <w:color w:val="FF0000"/>
          <w:sz w:val="18"/>
          <w:szCs w:val="18"/>
        </w:rPr>
        <w:sectPr w:rsidR="007F008F" w:rsidSect="00A36920">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20911723" w14:textId="77777777" w:rsidR="008B44A1" w:rsidRDefault="008B44A1" w:rsidP="008B44A1">
      <w:pPr>
        <w:ind w:right="-142"/>
        <w:rPr>
          <w:rFonts w:eastAsia="Yu Gothic Light" w:cs="Times New Roman"/>
          <w:color w:val="2E74B5"/>
          <w:sz w:val="24"/>
          <w:szCs w:val="28"/>
        </w:rPr>
      </w:pPr>
      <w:r>
        <w:rPr>
          <w:rFonts w:eastAsia="Yu Gothic Light" w:cs="Times New Roman"/>
          <w:color w:val="2E74B5"/>
          <w:sz w:val="24"/>
          <w:szCs w:val="28"/>
        </w:rPr>
        <w:lastRenderedPageBreak/>
        <w:t>I – BALANÇO PATRIMONIAL</w:t>
      </w:r>
    </w:p>
    <w:tbl>
      <w:tblPr>
        <w:tblW w:w="5063" w:type="pct"/>
        <w:tblLayout w:type="fixed"/>
        <w:tblCellMar>
          <w:left w:w="70" w:type="dxa"/>
          <w:right w:w="70" w:type="dxa"/>
        </w:tblCellMar>
        <w:tblLook w:val="04A0" w:firstRow="1" w:lastRow="0" w:firstColumn="1" w:lastColumn="0" w:noHBand="0" w:noVBand="1"/>
      </w:tblPr>
      <w:tblGrid>
        <w:gridCol w:w="160"/>
        <w:gridCol w:w="3102"/>
        <w:gridCol w:w="1397"/>
        <w:gridCol w:w="1297"/>
        <w:gridCol w:w="989"/>
        <w:gridCol w:w="667"/>
        <w:gridCol w:w="190"/>
        <w:gridCol w:w="3262"/>
        <w:gridCol w:w="1276"/>
        <w:gridCol w:w="1276"/>
        <w:gridCol w:w="1276"/>
        <w:gridCol w:w="702"/>
      </w:tblGrid>
      <w:tr w:rsidR="002641B5" w:rsidRPr="00D90AC3" w14:paraId="6890498A" w14:textId="77777777" w:rsidTr="002641B5">
        <w:trPr>
          <w:trHeight w:hRule="exact" w:val="400"/>
        </w:trPr>
        <w:tc>
          <w:tcPr>
            <w:tcW w:w="1046" w:type="pct"/>
            <w:gridSpan w:val="2"/>
            <w:tcBorders>
              <w:top w:val="nil"/>
              <w:left w:val="nil"/>
              <w:bottom w:val="single" w:sz="4" w:space="0" w:color="156082"/>
              <w:right w:val="nil"/>
            </w:tcBorders>
            <w:shd w:val="clear" w:color="auto" w:fill="auto"/>
            <w:noWrap/>
            <w:vAlign w:val="center"/>
            <w:hideMark/>
          </w:tcPr>
          <w:p w14:paraId="1DB14B26"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ATIVO</w:t>
            </w:r>
          </w:p>
        </w:tc>
        <w:tc>
          <w:tcPr>
            <w:tcW w:w="448" w:type="pct"/>
            <w:tcBorders>
              <w:top w:val="nil"/>
              <w:left w:val="nil"/>
              <w:bottom w:val="single" w:sz="4" w:space="0" w:color="156082"/>
              <w:right w:val="nil"/>
            </w:tcBorders>
            <w:shd w:val="clear" w:color="auto" w:fill="auto"/>
            <w:vAlign w:val="center"/>
            <w:hideMark/>
          </w:tcPr>
          <w:p w14:paraId="359CBC7C"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SOCIETÁRIA</w:t>
            </w:r>
            <w:r w:rsidRPr="00D90AC3">
              <w:rPr>
                <w:rFonts w:ascii="Calibri" w:eastAsia="Times New Roman" w:hAnsi="Calibri" w:cs="Calibri"/>
                <w:b/>
                <w:bCs/>
                <w:color w:val="000000"/>
                <w:sz w:val="16"/>
                <w:szCs w:val="16"/>
              </w:rPr>
              <w:br/>
              <w:t>31/03/2024</w:t>
            </w:r>
          </w:p>
        </w:tc>
        <w:tc>
          <w:tcPr>
            <w:tcW w:w="416" w:type="pct"/>
            <w:tcBorders>
              <w:top w:val="nil"/>
              <w:left w:val="nil"/>
              <w:bottom w:val="single" w:sz="4" w:space="0" w:color="156082"/>
              <w:right w:val="nil"/>
            </w:tcBorders>
            <w:shd w:val="clear" w:color="auto" w:fill="auto"/>
            <w:vAlign w:val="center"/>
            <w:hideMark/>
          </w:tcPr>
          <w:p w14:paraId="58F7A60E"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SIAFI</w:t>
            </w:r>
            <w:r w:rsidRPr="00D90AC3">
              <w:rPr>
                <w:rFonts w:ascii="Calibri" w:eastAsia="Times New Roman" w:hAnsi="Calibri" w:cs="Calibri"/>
                <w:b/>
                <w:bCs/>
                <w:color w:val="000000"/>
                <w:sz w:val="16"/>
                <w:szCs w:val="16"/>
              </w:rPr>
              <w:br/>
              <w:t>31/03/2024</w:t>
            </w:r>
          </w:p>
        </w:tc>
        <w:tc>
          <w:tcPr>
            <w:tcW w:w="317" w:type="pct"/>
            <w:tcBorders>
              <w:top w:val="nil"/>
              <w:left w:val="nil"/>
              <w:bottom w:val="single" w:sz="4" w:space="0" w:color="156082"/>
              <w:right w:val="nil"/>
            </w:tcBorders>
            <w:shd w:val="clear" w:color="auto" w:fill="auto"/>
            <w:noWrap/>
            <w:vAlign w:val="center"/>
            <w:hideMark/>
          </w:tcPr>
          <w:p w14:paraId="2FAA4C17"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Diferença</w:t>
            </w:r>
          </w:p>
        </w:tc>
        <w:tc>
          <w:tcPr>
            <w:tcW w:w="214" w:type="pct"/>
            <w:tcBorders>
              <w:top w:val="nil"/>
              <w:left w:val="nil"/>
              <w:bottom w:val="single" w:sz="4" w:space="0" w:color="156082"/>
              <w:right w:val="nil"/>
            </w:tcBorders>
            <w:shd w:val="clear" w:color="auto" w:fill="auto"/>
            <w:vAlign w:val="center"/>
            <w:hideMark/>
          </w:tcPr>
          <w:p w14:paraId="3335E280" w14:textId="77777777" w:rsidR="00D90AC3" w:rsidRPr="00D90AC3" w:rsidRDefault="00D90AC3" w:rsidP="00D51EE7">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w:t>
            </w:r>
          </w:p>
        </w:tc>
        <w:tc>
          <w:tcPr>
            <w:tcW w:w="1107" w:type="pct"/>
            <w:gridSpan w:val="2"/>
            <w:tcBorders>
              <w:top w:val="nil"/>
              <w:left w:val="single" w:sz="4" w:space="0" w:color="156082"/>
              <w:bottom w:val="single" w:sz="4" w:space="0" w:color="156082"/>
              <w:right w:val="nil"/>
            </w:tcBorders>
            <w:shd w:val="clear" w:color="auto" w:fill="auto"/>
            <w:noWrap/>
            <w:vAlign w:val="center"/>
            <w:hideMark/>
          </w:tcPr>
          <w:p w14:paraId="353F21AA"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PASSIVO E PATRIMÔNIO LÍQUIDO</w:t>
            </w:r>
          </w:p>
        </w:tc>
        <w:tc>
          <w:tcPr>
            <w:tcW w:w="409" w:type="pct"/>
            <w:tcBorders>
              <w:top w:val="nil"/>
              <w:left w:val="nil"/>
              <w:bottom w:val="single" w:sz="4" w:space="0" w:color="156082"/>
              <w:right w:val="nil"/>
            </w:tcBorders>
            <w:shd w:val="clear" w:color="auto" w:fill="auto"/>
            <w:vAlign w:val="center"/>
            <w:hideMark/>
          </w:tcPr>
          <w:p w14:paraId="51FB5671"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SOCIETÁRIA</w:t>
            </w:r>
            <w:r w:rsidRPr="00D90AC3">
              <w:rPr>
                <w:rFonts w:ascii="Calibri" w:eastAsia="Times New Roman" w:hAnsi="Calibri" w:cs="Calibri"/>
                <w:b/>
                <w:bCs/>
                <w:color w:val="000000"/>
                <w:sz w:val="16"/>
                <w:szCs w:val="16"/>
              </w:rPr>
              <w:br/>
              <w:t>31/03/2024</w:t>
            </w:r>
          </w:p>
        </w:tc>
        <w:tc>
          <w:tcPr>
            <w:tcW w:w="409" w:type="pct"/>
            <w:tcBorders>
              <w:top w:val="nil"/>
              <w:left w:val="nil"/>
              <w:bottom w:val="single" w:sz="4" w:space="0" w:color="156082"/>
              <w:right w:val="nil"/>
            </w:tcBorders>
            <w:shd w:val="clear" w:color="auto" w:fill="auto"/>
            <w:vAlign w:val="center"/>
            <w:hideMark/>
          </w:tcPr>
          <w:p w14:paraId="3230052B"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SIAFI</w:t>
            </w:r>
            <w:r w:rsidRPr="00D90AC3">
              <w:rPr>
                <w:rFonts w:ascii="Calibri" w:eastAsia="Times New Roman" w:hAnsi="Calibri" w:cs="Calibri"/>
                <w:b/>
                <w:bCs/>
                <w:color w:val="000000"/>
                <w:sz w:val="16"/>
                <w:szCs w:val="16"/>
              </w:rPr>
              <w:br/>
              <w:t>31/03/2024</w:t>
            </w:r>
          </w:p>
        </w:tc>
        <w:tc>
          <w:tcPr>
            <w:tcW w:w="409" w:type="pct"/>
            <w:tcBorders>
              <w:top w:val="nil"/>
              <w:left w:val="nil"/>
              <w:bottom w:val="single" w:sz="4" w:space="0" w:color="156082"/>
              <w:right w:val="nil"/>
            </w:tcBorders>
            <w:shd w:val="clear" w:color="auto" w:fill="auto"/>
            <w:noWrap/>
            <w:vAlign w:val="center"/>
            <w:hideMark/>
          </w:tcPr>
          <w:p w14:paraId="77430D79"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Diferença</w:t>
            </w:r>
          </w:p>
        </w:tc>
        <w:tc>
          <w:tcPr>
            <w:tcW w:w="225" w:type="pct"/>
            <w:tcBorders>
              <w:top w:val="nil"/>
              <w:left w:val="nil"/>
              <w:bottom w:val="nil"/>
              <w:right w:val="nil"/>
            </w:tcBorders>
            <w:shd w:val="clear" w:color="auto" w:fill="auto"/>
            <w:vAlign w:val="center"/>
            <w:hideMark/>
          </w:tcPr>
          <w:p w14:paraId="6268C667" w14:textId="77777777" w:rsidR="00D90AC3" w:rsidRPr="00D90AC3" w:rsidRDefault="00D90AC3" w:rsidP="00D90AC3">
            <w:pPr>
              <w:spacing w:after="0" w:line="240" w:lineRule="auto"/>
              <w:jc w:val="right"/>
              <w:rPr>
                <w:rFonts w:ascii="Calibri" w:eastAsia="Times New Roman" w:hAnsi="Calibri" w:cs="Calibri"/>
                <w:b/>
                <w:bCs/>
                <w:color w:val="000000"/>
                <w:sz w:val="16"/>
                <w:szCs w:val="16"/>
              </w:rPr>
            </w:pPr>
          </w:p>
        </w:tc>
      </w:tr>
      <w:tr w:rsidR="002641B5" w:rsidRPr="00D90AC3" w14:paraId="65461045" w14:textId="77777777" w:rsidTr="002641B5">
        <w:trPr>
          <w:trHeight w:hRule="exact" w:val="227"/>
        </w:trPr>
        <w:tc>
          <w:tcPr>
            <w:tcW w:w="51" w:type="pct"/>
            <w:tcBorders>
              <w:top w:val="nil"/>
              <w:left w:val="nil"/>
              <w:bottom w:val="nil"/>
              <w:right w:val="nil"/>
            </w:tcBorders>
            <w:shd w:val="clear" w:color="auto" w:fill="auto"/>
            <w:noWrap/>
            <w:vAlign w:val="center"/>
            <w:hideMark/>
          </w:tcPr>
          <w:p w14:paraId="02621119"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07369705"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448" w:type="pct"/>
            <w:tcBorders>
              <w:top w:val="nil"/>
              <w:left w:val="nil"/>
              <w:bottom w:val="nil"/>
              <w:right w:val="nil"/>
            </w:tcBorders>
            <w:shd w:val="clear" w:color="auto" w:fill="auto"/>
            <w:noWrap/>
            <w:vAlign w:val="center"/>
            <w:hideMark/>
          </w:tcPr>
          <w:p w14:paraId="544C515E"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16" w:type="pct"/>
            <w:tcBorders>
              <w:top w:val="nil"/>
              <w:left w:val="nil"/>
              <w:bottom w:val="nil"/>
              <w:right w:val="nil"/>
            </w:tcBorders>
            <w:shd w:val="clear" w:color="auto" w:fill="auto"/>
            <w:noWrap/>
            <w:vAlign w:val="center"/>
            <w:hideMark/>
          </w:tcPr>
          <w:p w14:paraId="0EDA569D"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317" w:type="pct"/>
            <w:tcBorders>
              <w:top w:val="nil"/>
              <w:left w:val="nil"/>
              <w:bottom w:val="nil"/>
              <w:right w:val="nil"/>
            </w:tcBorders>
            <w:shd w:val="clear" w:color="auto" w:fill="auto"/>
            <w:noWrap/>
            <w:vAlign w:val="center"/>
            <w:hideMark/>
          </w:tcPr>
          <w:p w14:paraId="69397690"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14" w:type="pct"/>
            <w:tcBorders>
              <w:top w:val="nil"/>
              <w:left w:val="nil"/>
              <w:bottom w:val="nil"/>
              <w:right w:val="nil"/>
            </w:tcBorders>
            <w:shd w:val="clear" w:color="auto" w:fill="auto"/>
            <w:vAlign w:val="center"/>
            <w:hideMark/>
          </w:tcPr>
          <w:p w14:paraId="5C864E9F" w14:textId="77777777" w:rsidR="00D90AC3" w:rsidRPr="00D90AC3" w:rsidRDefault="00D90AC3" w:rsidP="00D51EE7">
            <w:pPr>
              <w:spacing w:after="0" w:line="240" w:lineRule="auto"/>
              <w:rPr>
                <w:rFonts w:ascii="Times New Roman" w:eastAsia="Times New Roman" w:hAnsi="Times New Roman" w:cs="Times New Roman"/>
                <w:sz w:val="20"/>
                <w:szCs w:val="20"/>
              </w:rPr>
            </w:pPr>
          </w:p>
        </w:tc>
        <w:tc>
          <w:tcPr>
            <w:tcW w:w="61" w:type="pct"/>
            <w:tcBorders>
              <w:top w:val="nil"/>
              <w:left w:val="single" w:sz="4" w:space="0" w:color="156082"/>
              <w:bottom w:val="nil"/>
              <w:right w:val="nil"/>
            </w:tcBorders>
            <w:shd w:val="clear" w:color="auto" w:fill="auto"/>
            <w:noWrap/>
            <w:vAlign w:val="center"/>
            <w:hideMark/>
          </w:tcPr>
          <w:p w14:paraId="27832193" w14:textId="1E3CFECD"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6CABC8E2" w14:textId="2507C38F"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1546870E" w14:textId="77777777"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4DB7EECA"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245098E5"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4306570B"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3392E90B"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4BEB07A6"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ATIVO CIRCULANTE</w:t>
            </w:r>
          </w:p>
        </w:tc>
        <w:tc>
          <w:tcPr>
            <w:tcW w:w="448" w:type="pct"/>
            <w:tcBorders>
              <w:top w:val="nil"/>
              <w:left w:val="nil"/>
              <w:bottom w:val="nil"/>
              <w:right w:val="nil"/>
            </w:tcBorders>
            <w:shd w:val="clear" w:color="auto" w:fill="auto"/>
            <w:noWrap/>
            <w:vAlign w:val="center"/>
            <w:hideMark/>
          </w:tcPr>
          <w:p w14:paraId="12914A51" w14:textId="23ACBD78"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203.808.670</w:t>
            </w:r>
          </w:p>
        </w:tc>
        <w:tc>
          <w:tcPr>
            <w:tcW w:w="416" w:type="pct"/>
            <w:tcBorders>
              <w:top w:val="nil"/>
              <w:left w:val="nil"/>
              <w:bottom w:val="nil"/>
              <w:right w:val="nil"/>
            </w:tcBorders>
            <w:shd w:val="clear" w:color="auto" w:fill="auto"/>
            <w:noWrap/>
            <w:vAlign w:val="center"/>
            <w:hideMark/>
          </w:tcPr>
          <w:p w14:paraId="6ADCC530" w14:textId="6F4AE214"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200.010.262</w:t>
            </w:r>
          </w:p>
        </w:tc>
        <w:tc>
          <w:tcPr>
            <w:tcW w:w="317" w:type="pct"/>
            <w:tcBorders>
              <w:top w:val="nil"/>
              <w:left w:val="nil"/>
              <w:bottom w:val="nil"/>
              <w:right w:val="nil"/>
            </w:tcBorders>
            <w:shd w:val="clear" w:color="auto" w:fill="auto"/>
            <w:noWrap/>
            <w:vAlign w:val="center"/>
            <w:hideMark/>
          </w:tcPr>
          <w:p w14:paraId="3285B262" w14:textId="3BAA22E7"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3.798.408</w:t>
            </w:r>
          </w:p>
        </w:tc>
        <w:tc>
          <w:tcPr>
            <w:tcW w:w="214" w:type="pct"/>
            <w:tcBorders>
              <w:top w:val="nil"/>
              <w:left w:val="nil"/>
              <w:bottom w:val="nil"/>
              <w:right w:val="nil"/>
            </w:tcBorders>
            <w:shd w:val="clear" w:color="auto" w:fill="auto"/>
            <w:vAlign w:val="center"/>
            <w:hideMark/>
          </w:tcPr>
          <w:p w14:paraId="4E191B77"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1107" w:type="pct"/>
            <w:gridSpan w:val="2"/>
            <w:tcBorders>
              <w:top w:val="nil"/>
              <w:left w:val="single" w:sz="4" w:space="0" w:color="156082"/>
              <w:bottom w:val="nil"/>
              <w:right w:val="nil"/>
            </w:tcBorders>
            <w:shd w:val="clear" w:color="auto" w:fill="auto"/>
            <w:noWrap/>
            <w:vAlign w:val="center"/>
            <w:hideMark/>
          </w:tcPr>
          <w:p w14:paraId="343F711C"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PASSIVO CIRCULANTE</w:t>
            </w:r>
          </w:p>
        </w:tc>
        <w:tc>
          <w:tcPr>
            <w:tcW w:w="409" w:type="pct"/>
            <w:tcBorders>
              <w:top w:val="nil"/>
              <w:left w:val="nil"/>
              <w:bottom w:val="nil"/>
              <w:right w:val="nil"/>
            </w:tcBorders>
            <w:shd w:val="clear" w:color="auto" w:fill="auto"/>
            <w:noWrap/>
            <w:vAlign w:val="center"/>
            <w:hideMark/>
          </w:tcPr>
          <w:p w14:paraId="00E30097" w14:textId="4FB85AE1"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171.781.</w:t>
            </w:r>
            <w:r w:rsidR="00CA4BC9">
              <w:rPr>
                <w:rFonts w:ascii="Calibri" w:eastAsia="Times New Roman" w:hAnsi="Calibri" w:cs="Calibri"/>
                <w:b/>
                <w:bCs/>
                <w:color w:val="000000"/>
                <w:sz w:val="16"/>
                <w:szCs w:val="16"/>
              </w:rPr>
              <w:t>118</w:t>
            </w:r>
          </w:p>
        </w:tc>
        <w:tc>
          <w:tcPr>
            <w:tcW w:w="409" w:type="pct"/>
            <w:tcBorders>
              <w:top w:val="nil"/>
              <w:left w:val="nil"/>
              <w:bottom w:val="nil"/>
              <w:right w:val="nil"/>
            </w:tcBorders>
            <w:shd w:val="clear" w:color="auto" w:fill="auto"/>
            <w:noWrap/>
            <w:vAlign w:val="center"/>
            <w:hideMark/>
          </w:tcPr>
          <w:p w14:paraId="1F9A43ED" w14:textId="3D07CA08"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190.932.266</w:t>
            </w:r>
          </w:p>
        </w:tc>
        <w:tc>
          <w:tcPr>
            <w:tcW w:w="409" w:type="pct"/>
            <w:tcBorders>
              <w:top w:val="nil"/>
              <w:left w:val="nil"/>
              <w:bottom w:val="nil"/>
              <w:right w:val="nil"/>
            </w:tcBorders>
            <w:shd w:val="clear" w:color="auto" w:fill="auto"/>
            <w:noWrap/>
            <w:vAlign w:val="center"/>
            <w:hideMark/>
          </w:tcPr>
          <w:p w14:paraId="7C2C8EDF" w14:textId="3B9F23A1"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(19.151.14</w:t>
            </w:r>
            <w:r w:rsidR="00CA4BC9">
              <w:rPr>
                <w:rFonts w:ascii="Calibri" w:eastAsia="Times New Roman" w:hAnsi="Calibri" w:cs="Calibri"/>
                <w:b/>
                <w:bCs/>
                <w:color w:val="000000"/>
                <w:sz w:val="16"/>
                <w:szCs w:val="16"/>
              </w:rPr>
              <w:t>8</w:t>
            </w:r>
            <w:r w:rsidRPr="00D90AC3">
              <w:rPr>
                <w:rFonts w:ascii="Calibri" w:eastAsia="Times New Roman" w:hAnsi="Calibri" w:cs="Calibri"/>
                <w:b/>
                <w:bCs/>
                <w:color w:val="000000"/>
                <w:sz w:val="16"/>
                <w:szCs w:val="16"/>
              </w:rPr>
              <w:t>)</w:t>
            </w:r>
          </w:p>
        </w:tc>
        <w:tc>
          <w:tcPr>
            <w:tcW w:w="225" w:type="pct"/>
            <w:tcBorders>
              <w:top w:val="nil"/>
              <w:left w:val="nil"/>
              <w:bottom w:val="nil"/>
              <w:right w:val="nil"/>
            </w:tcBorders>
            <w:shd w:val="clear" w:color="auto" w:fill="auto"/>
            <w:vAlign w:val="center"/>
            <w:hideMark/>
          </w:tcPr>
          <w:p w14:paraId="5471FA0F" w14:textId="77777777" w:rsidR="00D90AC3" w:rsidRPr="00D90AC3" w:rsidRDefault="00D90AC3" w:rsidP="00D51EE7">
            <w:pPr>
              <w:spacing w:after="0" w:line="240" w:lineRule="auto"/>
              <w:rPr>
                <w:rFonts w:ascii="Calibri" w:eastAsia="Times New Roman" w:hAnsi="Calibri" w:cs="Calibri"/>
                <w:b/>
                <w:bCs/>
                <w:color w:val="000000"/>
                <w:sz w:val="16"/>
                <w:szCs w:val="16"/>
              </w:rPr>
            </w:pPr>
          </w:p>
        </w:tc>
      </w:tr>
      <w:tr w:rsidR="002641B5" w:rsidRPr="00D90AC3" w14:paraId="1A76B673" w14:textId="77777777" w:rsidTr="002641B5">
        <w:trPr>
          <w:trHeight w:hRule="exact" w:val="227"/>
        </w:trPr>
        <w:tc>
          <w:tcPr>
            <w:tcW w:w="51" w:type="pct"/>
            <w:tcBorders>
              <w:top w:val="nil"/>
              <w:left w:val="nil"/>
              <w:bottom w:val="nil"/>
              <w:right w:val="nil"/>
            </w:tcBorders>
            <w:shd w:val="clear" w:color="auto" w:fill="auto"/>
            <w:noWrap/>
            <w:vAlign w:val="center"/>
            <w:hideMark/>
          </w:tcPr>
          <w:p w14:paraId="26030B70"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5DDA8341" w14:textId="10E3DC4C" w:rsidR="00D90AC3" w:rsidRPr="00D90AC3" w:rsidRDefault="00D51EE7"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Caixa e Equivalentes de Caixa</w:t>
            </w:r>
          </w:p>
        </w:tc>
        <w:tc>
          <w:tcPr>
            <w:tcW w:w="448" w:type="pct"/>
            <w:tcBorders>
              <w:top w:val="nil"/>
              <w:left w:val="nil"/>
              <w:bottom w:val="nil"/>
              <w:right w:val="nil"/>
            </w:tcBorders>
            <w:shd w:val="clear" w:color="auto" w:fill="auto"/>
            <w:noWrap/>
            <w:vAlign w:val="center"/>
            <w:hideMark/>
          </w:tcPr>
          <w:p w14:paraId="22EA3DF7" w14:textId="1D143F9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130.290.917</w:t>
            </w:r>
          </w:p>
        </w:tc>
        <w:tc>
          <w:tcPr>
            <w:tcW w:w="416" w:type="pct"/>
            <w:tcBorders>
              <w:top w:val="nil"/>
              <w:left w:val="nil"/>
              <w:bottom w:val="nil"/>
              <w:right w:val="nil"/>
            </w:tcBorders>
            <w:shd w:val="clear" w:color="auto" w:fill="auto"/>
            <w:noWrap/>
            <w:vAlign w:val="center"/>
            <w:hideMark/>
          </w:tcPr>
          <w:p w14:paraId="0F57EF0C" w14:textId="7AA9BD6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131.052.423</w:t>
            </w:r>
          </w:p>
        </w:tc>
        <w:tc>
          <w:tcPr>
            <w:tcW w:w="317" w:type="pct"/>
            <w:tcBorders>
              <w:top w:val="nil"/>
              <w:left w:val="nil"/>
              <w:bottom w:val="nil"/>
              <w:right w:val="nil"/>
            </w:tcBorders>
            <w:shd w:val="clear" w:color="auto" w:fill="auto"/>
            <w:noWrap/>
            <w:vAlign w:val="center"/>
            <w:hideMark/>
          </w:tcPr>
          <w:p w14:paraId="3B7A4952" w14:textId="6DF759E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(761.506)</w:t>
            </w:r>
          </w:p>
        </w:tc>
        <w:tc>
          <w:tcPr>
            <w:tcW w:w="214" w:type="pct"/>
            <w:tcBorders>
              <w:top w:val="nil"/>
              <w:left w:val="nil"/>
              <w:bottom w:val="nil"/>
              <w:right w:val="nil"/>
            </w:tcBorders>
            <w:shd w:val="clear" w:color="auto" w:fill="auto"/>
            <w:vAlign w:val="center"/>
            <w:hideMark/>
          </w:tcPr>
          <w:p w14:paraId="5D5B9DD6"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(1)</w:t>
            </w:r>
          </w:p>
        </w:tc>
        <w:tc>
          <w:tcPr>
            <w:tcW w:w="61" w:type="pct"/>
            <w:tcBorders>
              <w:top w:val="nil"/>
              <w:left w:val="single" w:sz="4" w:space="0" w:color="156082"/>
              <w:bottom w:val="nil"/>
              <w:right w:val="nil"/>
            </w:tcBorders>
            <w:shd w:val="clear" w:color="auto" w:fill="auto"/>
            <w:noWrap/>
            <w:vAlign w:val="center"/>
            <w:hideMark/>
          </w:tcPr>
          <w:p w14:paraId="1EC30CC9" w14:textId="1078916C"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3BCE4007" w14:textId="77777777"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Fornecedores</w:t>
            </w:r>
          </w:p>
        </w:tc>
        <w:tc>
          <w:tcPr>
            <w:tcW w:w="409" w:type="pct"/>
            <w:tcBorders>
              <w:top w:val="nil"/>
              <w:left w:val="nil"/>
              <w:bottom w:val="nil"/>
              <w:right w:val="nil"/>
            </w:tcBorders>
            <w:shd w:val="clear" w:color="auto" w:fill="auto"/>
            <w:noWrap/>
            <w:vAlign w:val="center"/>
            <w:hideMark/>
          </w:tcPr>
          <w:p w14:paraId="727B318B" w14:textId="4624F0F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1.265.795</w:t>
            </w:r>
          </w:p>
        </w:tc>
        <w:tc>
          <w:tcPr>
            <w:tcW w:w="409" w:type="pct"/>
            <w:tcBorders>
              <w:top w:val="nil"/>
              <w:left w:val="nil"/>
              <w:bottom w:val="nil"/>
              <w:right w:val="nil"/>
            </w:tcBorders>
            <w:shd w:val="clear" w:color="auto" w:fill="auto"/>
            <w:noWrap/>
            <w:vAlign w:val="center"/>
            <w:hideMark/>
          </w:tcPr>
          <w:p w14:paraId="7B289C00" w14:textId="5ADBB88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743.401</w:t>
            </w:r>
          </w:p>
        </w:tc>
        <w:tc>
          <w:tcPr>
            <w:tcW w:w="409" w:type="pct"/>
            <w:tcBorders>
              <w:top w:val="nil"/>
              <w:left w:val="nil"/>
              <w:bottom w:val="nil"/>
              <w:right w:val="nil"/>
            </w:tcBorders>
            <w:shd w:val="clear" w:color="auto" w:fill="auto"/>
            <w:noWrap/>
            <w:vAlign w:val="center"/>
            <w:hideMark/>
          </w:tcPr>
          <w:p w14:paraId="5FF5AB9A" w14:textId="39F7FE5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522.394</w:t>
            </w:r>
          </w:p>
        </w:tc>
        <w:tc>
          <w:tcPr>
            <w:tcW w:w="225" w:type="pct"/>
            <w:tcBorders>
              <w:top w:val="nil"/>
              <w:left w:val="nil"/>
              <w:bottom w:val="nil"/>
              <w:right w:val="nil"/>
            </w:tcBorders>
            <w:shd w:val="clear" w:color="auto" w:fill="auto"/>
            <w:vAlign w:val="center"/>
            <w:hideMark/>
          </w:tcPr>
          <w:p w14:paraId="6EC519AB"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(11)</w:t>
            </w:r>
          </w:p>
        </w:tc>
      </w:tr>
      <w:tr w:rsidR="002641B5" w:rsidRPr="00D90AC3" w14:paraId="44927C12" w14:textId="77777777" w:rsidTr="002641B5">
        <w:trPr>
          <w:trHeight w:hRule="exact" w:val="227"/>
        </w:trPr>
        <w:tc>
          <w:tcPr>
            <w:tcW w:w="51" w:type="pct"/>
            <w:tcBorders>
              <w:top w:val="nil"/>
              <w:left w:val="nil"/>
              <w:bottom w:val="nil"/>
              <w:right w:val="nil"/>
            </w:tcBorders>
            <w:shd w:val="clear" w:color="auto" w:fill="auto"/>
            <w:noWrap/>
            <w:vAlign w:val="center"/>
            <w:hideMark/>
          </w:tcPr>
          <w:p w14:paraId="57422108"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1EFA2625" w14:textId="50BDFCA7"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Permissões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para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Uso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Pátios</w:t>
            </w:r>
          </w:p>
        </w:tc>
        <w:tc>
          <w:tcPr>
            <w:tcW w:w="448" w:type="pct"/>
            <w:tcBorders>
              <w:top w:val="nil"/>
              <w:left w:val="nil"/>
              <w:bottom w:val="nil"/>
              <w:right w:val="nil"/>
            </w:tcBorders>
            <w:shd w:val="clear" w:color="auto" w:fill="auto"/>
            <w:noWrap/>
            <w:vAlign w:val="center"/>
            <w:hideMark/>
          </w:tcPr>
          <w:p w14:paraId="7D96250A" w14:textId="1F491D4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4.448.226</w:t>
            </w:r>
          </w:p>
        </w:tc>
        <w:tc>
          <w:tcPr>
            <w:tcW w:w="416" w:type="pct"/>
            <w:tcBorders>
              <w:top w:val="nil"/>
              <w:left w:val="nil"/>
              <w:bottom w:val="nil"/>
              <w:right w:val="nil"/>
            </w:tcBorders>
            <w:shd w:val="clear" w:color="auto" w:fill="auto"/>
            <w:noWrap/>
            <w:vAlign w:val="center"/>
            <w:hideMark/>
          </w:tcPr>
          <w:p w14:paraId="0417FB67" w14:textId="70D843F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317" w:type="pct"/>
            <w:tcBorders>
              <w:top w:val="nil"/>
              <w:left w:val="nil"/>
              <w:bottom w:val="nil"/>
              <w:right w:val="nil"/>
            </w:tcBorders>
            <w:shd w:val="clear" w:color="auto" w:fill="auto"/>
            <w:noWrap/>
            <w:vAlign w:val="center"/>
            <w:hideMark/>
          </w:tcPr>
          <w:p w14:paraId="2714612E" w14:textId="02048B5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4.448.226</w:t>
            </w:r>
          </w:p>
        </w:tc>
        <w:tc>
          <w:tcPr>
            <w:tcW w:w="214" w:type="pct"/>
            <w:tcBorders>
              <w:top w:val="nil"/>
              <w:left w:val="nil"/>
              <w:bottom w:val="nil"/>
              <w:right w:val="nil"/>
            </w:tcBorders>
            <w:shd w:val="clear" w:color="auto" w:fill="auto"/>
            <w:vAlign w:val="center"/>
            <w:hideMark/>
          </w:tcPr>
          <w:p w14:paraId="53E0F57B"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(2)</w:t>
            </w:r>
          </w:p>
        </w:tc>
        <w:tc>
          <w:tcPr>
            <w:tcW w:w="61" w:type="pct"/>
            <w:tcBorders>
              <w:top w:val="nil"/>
              <w:left w:val="single" w:sz="4" w:space="0" w:color="156082"/>
              <w:bottom w:val="nil"/>
              <w:right w:val="nil"/>
            </w:tcBorders>
            <w:shd w:val="clear" w:color="auto" w:fill="auto"/>
            <w:noWrap/>
            <w:vAlign w:val="center"/>
            <w:hideMark/>
          </w:tcPr>
          <w:p w14:paraId="78364C5E" w14:textId="7C6F861E"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561CA670" w14:textId="490AC782"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Obrigações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com</w:t>
            </w:r>
            <w:r w:rsidR="00D51EE7">
              <w:rPr>
                <w:rFonts w:ascii="Calibri" w:eastAsia="Times New Roman" w:hAnsi="Calibri" w:cs="Calibri"/>
                <w:color w:val="000000"/>
                <w:sz w:val="16"/>
                <w:szCs w:val="16"/>
              </w:rPr>
              <w:t xml:space="preserve"> P</w:t>
            </w:r>
            <w:r w:rsidRPr="00D90AC3">
              <w:rPr>
                <w:rFonts w:ascii="Calibri" w:eastAsia="Times New Roman" w:hAnsi="Calibri" w:cs="Calibri"/>
                <w:color w:val="000000"/>
                <w:sz w:val="16"/>
                <w:szCs w:val="16"/>
              </w:rPr>
              <w:t>essoal</w:t>
            </w:r>
          </w:p>
        </w:tc>
        <w:tc>
          <w:tcPr>
            <w:tcW w:w="409" w:type="pct"/>
            <w:tcBorders>
              <w:top w:val="nil"/>
              <w:left w:val="nil"/>
              <w:bottom w:val="nil"/>
              <w:right w:val="nil"/>
            </w:tcBorders>
            <w:shd w:val="clear" w:color="auto" w:fill="auto"/>
            <w:noWrap/>
            <w:vAlign w:val="center"/>
            <w:hideMark/>
          </w:tcPr>
          <w:p w14:paraId="2429ECEF" w14:textId="2A6E3E9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24.023.373</w:t>
            </w:r>
          </w:p>
        </w:tc>
        <w:tc>
          <w:tcPr>
            <w:tcW w:w="409" w:type="pct"/>
            <w:tcBorders>
              <w:top w:val="nil"/>
              <w:left w:val="nil"/>
              <w:bottom w:val="nil"/>
              <w:right w:val="nil"/>
            </w:tcBorders>
            <w:shd w:val="clear" w:color="auto" w:fill="auto"/>
            <w:noWrap/>
            <w:vAlign w:val="center"/>
            <w:hideMark/>
          </w:tcPr>
          <w:p w14:paraId="777342EB" w14:textId="7F343CB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24.023.373</w:t>
            </w:r>
          </w:p>
        </w:tc>
        <w:tc>
          <w:tcPr>
            <w:tcW w:w="409" w:type="pct"/>
            <w:tcBorders>
              <w:top w:val="nil"/>
              <w:left w:val="nil"/>
              <w:bottom w:val="nil"/>
              <w:right w:val="nil"/>
            </w:tcBorders>
            <w:shd w:val="clear" w:color="auto" w:fill="auto"/>
            <w:noWrap/>
            <w:vAlign w:val="center"/>
            <w:hideMark/>
          </w:tcPr>
          <w:p w14:paraId="1BDB371F" w14:textId="4A98CCF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43DE5C94"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3353287D" w14:textId="77777777" w:rsidTr="002641B5">
        <w:trPr>
          <w:trHeight w:hRule="exact" w:val="227"/>
        </w:trPr>
        <w:tc>
          <w:tcPr>
            <w:tcW w:w="51" w:type="pct"/>
            <w:tcBorders>
              <w:top w:val="nil"/>
              <w:left w:val="nil"/>
              <w:bottom w:val="nil"/>
              <w:right w:val="nil"/>
            </w:tcBorders>
            <w:shd w:val="clear" w:color="auto" w:fill="auto"/>
            <w:noWrap/>
            <w:vAlign w:val="center"/>
            <w:hideMark/>
          </w:tcPr>
          <w:p w14:paraId="42AEA45E"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40E47E38" w14:textId="2392689D"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Adiantamentos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Concedidos</w:t>
            </w:r>
          </w:p>
        </w:tc>
        <w:tc>
          <w:tcPr>
            <w:tcW w:w="448" w:type="pct"/>
            <w:tcBorders>
              <w:top w:val="nil"/>
              <w:left w:val="nil"/>
              <w:bottom w:val="nil"/>
              <w:right w:val="nil"/>
            </w:tcBorders>
            <w:shd w:val="clear" w:color="auto" w:fill="auto"/>
            <w:noWrap/>
            <w:vAlign w:val="center"/>
            <w:hideMark/>
          </w:tcPr>
          <w:p w14:paraId="18CAFC8B" w14:textId="1729066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1.383.979</w:t>
            </w:r>
          </w:p>
        </w:tc>
        <w:tc>
          <w:tcPr>
            <w:tcW w:w="416" w:type="pct"/>
            <w:tcBorders>
              <w:top w:val="nil"/>
              <w:left w:val="nil"/>
              <w:bottom w:val="nil"/>
              <w:right w:val="nil"/>
            </w:tcBorders>
            <w:shd w:val="clear" w:color="auto" w:fill="auto"/>
            <w:noWrap/>
            <w:vAlign w:val="center"/>
            <w:hideMark/>
          </w:tcPr>
          <w:p w14:paraId="3E471DF0" w14:textId="0F9BEB3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1.383.979</w:t>
            </w:r>
          </w:p>
        </w:tc>
        <w:tc>
          <w:tcPr>
            <w:tcW w:w="317" w:type="pct"/>
            <w:tcBorders>
              <w:top w:val="nil"/>
              <w:left w:val="nil"/>
              <w:bottom w:val="nil"/>
              <w:right w:val="nil"/>
            </w:tcBorders>
            <w:shd w:val="clear" w:color="auto" w:fill="auto"/>
            <w:noWrap/>
            <w:vAlign w:val="center"/>
            <w:hideMark/>
          </w:tcPr>
          <w:p w14:paraId="495457EE" w14:textId="5959172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43BE13D6"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6E0BD26E" w14:textId="5D791B57"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5694B00F" w14:textId="46EFF2AA"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Tributos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R</w:t>
            </w:r>
            <w:r w:rsidRPr="00D90AC3">
              <w:rPr>
                <w:rFonts w:ascii="Calibri" w:eastAsia="Times New Roman" w:hAnsi="Calibri" w:cs="Calibri"/>
                <w:color w:val="000000"/>
                <w:sz w:val="16"/>
                <w:szCs w:val="16"/>
              </w:rPr>
              <w:t>ecolher</w:t>
            </w:r>
          </w:p>
        </w:tc>
        <w:tc>
          <w:tcPr>
            <w:tcW w:w="409" w:type="pct"/>
            <w:tcBorders>
              <w:top w:val="nil"/>
              <w:left w:val="nil"/>
              <w:bottom w:val="nil"/>
              <w:right w:val="nil"/>
            </w:tcBorders>
            <w:shd w:val="clear" w:color="auto" w:fill="auto"/>
            <w:noWrap/>
            <w:vAlign w:val="center"/>
            <w:hideMark/>
          </w:tcPr>
          <w:p w14:paraId="21331115" w14:textId="4F3E4C35"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3.777.536</w:t>
            </w:r>
          </w:p>
        </w:tc>
        <w:tc>
          <w:tcPr>
            <w:tcW w:w="409" w:type="pct"/>
            <w:tcBorders>
              <w:top w:val="nil"/>
              <w:left w:val="nil"/>
              <w:bottom w:val="nil"/>
              <w:right w:val="nil"/>
            </w:tcBorders>
            <w:shd w:val="clear" w:color="auto" w:fill="auto"/>
            <w:noWrap/>
            <w:vAlign w:val="center"/>
            <w:hideMark/>
          </w:tcPr>
          <w:p w14:paraId="3F23201B" w14:textId="40C9919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1.015.236</w:t>
            </w:r>
          </w:p>
        </w:tc>
        <w:tc>
          <w:tcPr>
            <w:tcW w:w="409" w:type="pct"/>
            <w:tcBorders>
              <w:top w:val="nil"/>
              <w:left w:val="nil"/>
              <w:bottom w:val="nil"/>
              <w:right w:val="nil"/>
            </w:tcBorders>
            <w:shd w:val="clear" w:color="auto" w:fill="auto"/>
            <w:noWrap/>
            <w:vAlign w:val="center"/>
            <w:hideMark/>
          </w:tcPr>
          <w:p w14:paraId="41937E9B" w14:textId="78074D64"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2.762.300</w:t>
            </w:r>
          </w:p>
        </w:tc>
        <w:tc>
          <w:tcPr>
            <w:tcW w:w="225" w:type="pct"/>
            <w:tcBorders>
              <w:top w:val="nil"/>
              <w:left w:val="nil"/>
              <w:bottom w:val="nil"/>
              <w:right w:val="nil"/>
            </w:tcBorders>
            <w:shd w:val="clear" w:color="auto" w:fill="auto"/>
            <w:vAlign w:val="center"/>
            <w:hideMark/>
          </w:tcPr>
          <w:p w14:paraId="526CCF22"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(11;12)</w:t>
            </w:r>
          </w:p>
        </w:tc>
      </w:tr>
      <w:tr w:rsidR="002641B5" w:rsidRPr="00D90AC3" w14:paraId="2AAFFB11" w14:textId="77777777" w:rsidTr="002641B5">
        <w:trPr>
          <w:trHeight w:hRule="exact" w:val="227"/>
        </w:trPr>
        <w:tc>
          <w:tcPr>
            <w:tcW w:w="51" w:type="pct"/>
            <w:tcBorders>
              <w:top w:val="nil"/>
              <w:left w:val="nil"/>
              <w:bottom w:val="nil"/>
              <w:right w:val="nil"/>
            </w:tcBorders>
            <w:shd w:val="clear" w:color="auto" w:fill="auto"/>
            <w:noWrap/>
            <w:vAlign w:val="center"/>
            <w:hideMark/>
          </w:tcPr>
          <w:p w14:paraId="184514C9"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2D3B208A" w14:textId="48749F98"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Créditos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Tributários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Compensar</w:t>
            </w:r>
          </w:p>
        </w:tc>
        <w:tc>
          <w:tcPr>
            <w:tcW w:w="448" w:type="pct"/>
            <w:tcBorders>
              <w:top w:val="nil"/>
              <w:left w:val="nil"/>
              <w:bottom w:val="nil"/>
              <w:right w:val="nil"/>
            </w:tcBorders>
            <w:shd w:val="clear" w:color="auto" w:fill="auto"/>
            <w:noWrap/>
            <w:vAlign w:val="center"/>
            <w:hideMark/>
          </w:tcPr>
          <w:p w14:paraId="505C067A" w14:textId="5318CEB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72.070</w:t>
            </w:r>
          </w:p>
        </w:tc>
        <w:tc>
          <w:tcPr>
            <w:tcW w:w="416" w:type="pct"/>
            <w:tcBorders>
              <w:top w:val="nil"/>
              <w:left w:val="nil"/>
              <w:bottom w:val="nil"/>
              <w:right w:val="nil"/>
            </w:tcBorders>
            <w:shd w:val="clear" w:color="auto" w:fill="auto"/>
            <w:noWrap/>
            <w:vAlign w:val="center"/>
            <w:hideMark/>
          </w:tcPr>
          <w:p w14:paraId="757166EF" w14:textId="589BFD1F"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72.070</w:t>
            </w:r>
          </w:p>
        </w:tc>
        <w:tc>
          <w:tcPr>
            <w:tcW w:w="317" w:type="pct"/>
            <w:tcBorders>
              <w:top w:val="nil"/>
              <w:left w:val="nil"/>
              <w:bottom w:val="nil"/>
              <w:right w:val="nil"/>
            </w:tcBorders>
            <w:shd w:val="clear" w:color="auto" w:fill="auto"/>
            <w:noWrap/>
            <w:vAlign w:val="center"/>
            <w:hideMark/>
          </w:tcPr>
          <w:p w14:paraId="1A86DF41" w14:textId="465D253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432F80FA"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1073D1C9" w14:textId="0A1ACEEC"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4643D320" w14:textId="7D5E3DDD"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Receita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Diferir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Pátios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Terminais</w:t>
            </w:r>
          </w:p>
        </w:tc>
        <w:tc>
          <w:tcPr>
            <w:tcW w:w="409" w:type="pct"/>
            <w:tcBorders>
              <w:top w:val="nil"/>
              <w:left w:val="nil"/>
              <w:bottom w:val="nil"/>
              <w:right w:val="nil"/>
            </w:tcBorders>
            <w:shd w:val="clear" w:color="auto" w:fill="auto"/>
            <w:noWrap/>
            <w:vAlign w:val="center"/>
            <w:hideMark/>
          </w:tcPr>
          <w:p w14:paraId="33075AED" w14:textId="370AE8D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4.284.558</w:t>
            </w:r>
          </w:p>
        </w:tc>
        <w:tc>
          <w:tcPr>
            <w:tcW w:w="409" w:type="pct"/>
            <w:tcBorders>
              <w:top w:val="nil"/>
              <w:left w:val="nil"/>
              <w:bottom w:val="nil"/>
              <w:right w:val="nil"/>
            </w:tcBorders>
            <w:shd w:val="clear" w:color="auto" w:fill="auto"/>
            <w:noWrap/>
            <w:vAlign w:val="center"/>
            <w:hideMark/>
          </w:tcPr>
          <w:p w14:paraId="3C3809F1" w14:textId="0ECC956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4CE24634" w14:textId="5DC95E1A"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4.284.558</w:t>
            </w:r>
          </w:p>
        </w:tc>
        <w:tc>
          <w:tcPr>
            <w:tcW w:w="225" w:type="pct"/>
            <w:tcBorders>
              <w:top w:val="nil"/>
              <w:left w:val="nil"/>
              <w:bottom w:val="nil"/>
              <w:right w:val="nil"/>
            </w:tcBorders>
            <w:shd w:val="clear" w:color="auto" w:fill="auto"/>
            <w:vAlign w:val="center"/>
            <w:hideMark/>
          </w:tcPr>
          <w:p w14:paraId="1FAC2910"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(2)</w:t>
            </w:r>
          </w:p>
        </w:tc>
      </w:tr>
      <w:tr w:rsidR="002641B5" w:rsidRPr="00D90AC3" w14:paraId="540DE55F" w14:textId="77777777" w:rsidTr="002641B5">
        <w:trPr>
          <w:trHeight w:hRule="exact" w:val="227"/>
        </w:trPr>
        <w:tc>
          <w:tcPr>
            <w:tcW w:w="51" w:type="pct"/>
            <w:tcBorders>
              <w:top w:val="nil"/>
              <w:left w:val="nil"/>
              <w:bottom w:val="nil"/>
              <w:right w:val="nil"/>
            </w:tcBorders>
            <w:shd w:val="clear" w:color="auto" w:fill="auto"/>
            <w:noWrap/>
            <w:vAlign w:val="center"/>
            <w:hideMark/>
          </w:tcPr>
          <w:p w14:paraId="3C3F941E"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6E220DAD" w14:textId="61304A38"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TEDs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Acordos</w:t>
            </w:r>
          </w:p>
        </w:tc>
        <w:tc>
          <w:tcPr>
            <w:tcW w:w="448" w:type="pct"/>
            <w:tcBorders>
              <w:top w:val="nil"/>
              <w:left w:val="nil"/>
              <w:bottom w:val="nil"/>
              <w:right w:val="nil"/>
            </w:tcBorders>
            <w:shd w:val="clear" w:color="auto" w:fill="auto"/>
            <w:noWrap/>
            <w:vAlign w:val="center"/>
            <w:hideMark/>
          </w:tcPr>
          <w:p w14:paraId="2B738A54" w14:textId="43D40B6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65.676.539</w:t>
            </w:r>
          </w:p>
        </w:tc>
        <w:tc>
          <w:tcPr>
            <w:tcW w:w="416" w:type="pct"/>
            <w:tcBorders>
              <w:top w:val="nil"/>
              <w:left w:val="nil"/>
              <w:bottom w:val="nil"/>
              <w:right w:val="nil"/>
            </w:tcBorders>
            <w:shd w:val="clear" w:color="auto" w:fill="auto"/>
            <w:noWrap/>
            <w:vAlign w:val="center"/>
            <w:hideMark/>
          </w:tcPr>
          <w:p w14:paraId="0A8E8253" w14:textId="50C501F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65.676.539</w:t>
            </w:r>
          </w:p>
        </w:tc>
        <w:tc>
          <w:tcPr>
            <w:tcW w:w="317" w:type="pct"/>
            <w:tcBorders>
              <w:top w:val="nil"/>
              <w:left w:val="nil"/>
              <w:bottom w:val="nil"/>
              <w:right w:val="nil"/>
            </w:tcBorders>
            <w:shd w:val="clear" w:color="auto" w:fill="auto"/>
            <w:noWrap/>
            <w:vAlign w:val="center"/>
            <w:hideMark/>
          </w:tcPr>
          <w:p w14:paraId="182A5A69" w14:textId="05F876E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2BDB20B9"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108323FD" w14:textId="4180DFF1"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12085F07" w14:textId="0CFDED39"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Receita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Diferir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Subconcessão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FIOL</w:t>
            </w:r>
          </w:p>
        </w:tc>
        <w:tc>
          <w:tcPr>
            <w:tcW w:w="409" w:type="pct"/>
            <w:tcBorders>
              <w:top w:val="nil"/>
              <w:left w:val="nil"/>
              <w:bottom w:val="nil"/>
              <w:right w:val="nil"/>
            </w:tcBorders>
            <w:shd w:val="clear" w:color="auto" w:fill="auto"/>
            <w:noWrap/>
            <w:vAlign w:val="center"/>
            <w:hideMark/>
          </w:tcPr>
          <w:p w14:paraId="66325945" w14:textId="6FDBA02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935.143</w:t>
            </w:r>
          </w:p>
        </w:tc>
        <w:tc>
          <w:tcPr>
            <w:tcW w:w="409" w:type="pct"/>
            <w:tcBorders>
              <w:top w:val="nil"/>
              <w:left w:val="nil"/>
              <w:bottom w:val="nil"/>
              <w:right w:val="nil"/>
            </w:tcBorders>
            <w:shd w:val="clear" w:color="auto" w:fill="auto"/>
            <w:noWrap/>
            <w:vAlign w:val="center"/>
            <w:hideMark/>
          </w:tcPr>
          <w:p w14:paraId="3497A214" w14:textId="3BB81B3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3831B654" w14:textId="40A6248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935.143</w:t>
            </w:r>
          </w:p>
        </w:tc>
        <w:tc>
          <w:tcPr>
            <w:tcW w:w="225" w:type="pct"/>
            <w:tcBorders>
              <w:top w:val="nil"/>
              <w:left w:val="nil"/>
              <w:bottom w:val="nil"/>
              <w:right w:val="nil"/>
            </w:tcBorders>
            <w:shd w:val="clear" w:color="auto" w:fill="auto"/>
            <w:vAlign w:val="center"/>
            <w:hideMark/>
          </w:tcPr>
          <w:p w14:paraId="662C7EEB"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(13)</w:t>
            </w:r>
          </w:p>
        </w:tc>
      </w:tr>
      <w:tr w:rsidR="002641B5" w:rsidRPr="00D90AC3" w14:paraId="7D513D20" w14:textId="77777777" w:rsidTr="002641B5">
        <w:trPr>
          <w:trHeight w:hRule="exact" w:val="227"/>
        </w:trPr>
        <w:tc>
          <w:tcPr>
            <w:tcW w:w="51" w:type="pct"/>
            <w:tcBorders>
              <w:top w:val="nil"/>
              <w:left w:val="nil"/>
              <w:bottom w:val="nil"/>
              <w:right w:val="nil"/>
            </w:tcBorders>
            <w:shd w:val="clear" w:color="auto" w:fill="auto"/>
            <w:noWrap/>
            <w:vAlign w:val="center"/>
            <w:hideMark/>
          </w:tcPr>
          <w:p w14:paraId="34254BD9"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15DB919C" w14:textId="55731DD6"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Demais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Créditos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Valores</w:t>
            </w:r>
          </w:p>
        </w:tc>
        <w:tc>
          <w:tcPr>
            <w:tcW w:w="448" w:type="pct"/>
            <w:tcBorders>
              <w:top w:val="nil"/>
              <w:left w:val="nil"/>
              <w:bottom w:val="nil"/>
              <w:right w:val="nil"/>
            </w:tcBorders>
            <w:shd w:val="clear" w:color="auto" w:fill="auto"/>
            <w:noWrap/>
            <w:vAlign w:val="center"/>
            <w:hideMark/>
          </w:tcPr>
          <w:p w14:paraId="236DD5FB" w14:textId="66DB498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1.936.939</w:t>
            </w:r>
          </w:p>
        </w:tc>
        <w:tc>
          <w:tcPr>
            <w:tcW w:w="416" w:type="pct"/>
            <w:tcBorders>
              <w:top w:val="nil"/>
              <w:left w:val="nil"/>
              <w:bottom w:val="nil"/>
              <w:right w:val="nil"/>
            </w:tcBorders>
            <w:shd w:val="clear" w:color="auto" w:fill="auto"/>
            <w:noWrap/>
            <w:vAlign w:val="center"/>
            <w:hideMark/>
          </w:tcPr>
          <w:p w14:paraId="47B6BC86" w14:textId="498F509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1.825.251</w:t>
            </w:r>
          </w:p>
        </w:tc>
        <w:tc>
          <w:tcPr>
            <w:tcW w:w="317" w:type="pct"/>
            <w:tcBorders>
              <w:top w:val="nil"/>
              <w:left w:val="nil"/>
              <w:bottom w:val="nil"/>
              <w:right w:val="nil"/>
            </w:tcBorders>
            <w:shd w:val="clear" w:color="auto" w:fill="auto"/>
            <w:noWrap/>
            <w:vAlign w:val="center"/>
            <w:hideMark/>
          </w:tcPr>
          <w:p w14:paraId="486B3F50" w14:textId="4073C7E1"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111.688</w:t>
            </w:r>
          </w:p>
        </w:tc>
        <w:tc>
          <w:tcPr>
            <w:tcW w:w="214" w:type="pct"/>
            <w:tcBorders>
              <w:top w:val="nil"/>
              <w:left w:val="nil"/>
              <w:bottom w:val="nil"/>
              <w:right w:val="nil"/>
            </w:tcBorders>
            <w:shd w:val="clear" w:color="auto" w:fill="auto"/>
            <w:vAlign w:val="center"/>
            <w:hideMark/>
          </w:tcPr>
          <w:p w14:paraId="5568C9B6"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(3;4)</w:t>
            </w:r>
          </w:p>
        </w:tc>
        <w:tc>
          <w:tcPr>
            <w:tcW w:w="61" w:type="pct"/>
            <w:tcBorders>
              <w:top w:val="nil"/>
              <w:left w:val="single" w:sz="4" w:space="0" w:color="156082"/>
              <w:bottom w:val="nil"/>
              <w:right w:val="nil"/>
            </w:tcBorders>
            <w:shd w:val="clear" w:color="auto" w:fill="auto"/>
            <w:noWrap/>
            <w:vAlign w:val="center"/>
            <w:hideMark/>
          </w:tcPr>
          <w:p w14:paraId="300F294E" w14:textId="081C00D6"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50B0552D" w14:textId="173AB90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TEDs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Convênios</w:t>
            </w:r>
          </w:p>
        </w:tc>
        <w:tc>
          <w:tcPr>
            <w:tcW w:w="409" w:type="pct"/>
            <w:tcBorders>
              <w:top w:val="nil"/>
              <w:left w:val="nil"/>
              <w:bottom w:val="nil"/>
              <w:right w:val="nil"/>
            </w:tcBorders>
            <w:shd w:val="clear" w:color="auto" w:fill="auto"/>
            <w:noWrap/>
            <w:vAlign w:val="center"/>
            <w:hideMark/>
          </w:tcPr>
          <w:p w14:paraId="17C06FE6" w14:textId="417543D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22.658.898</w:t>
            </w:r>
          </w:p>
        </w:tc>
        <w:tc>
          <w:tcPr>
            <w:tcW w:w="409" w:type="pct"/>
            <w:tcBorders>
              <w:top w:val="nil"/>
              <w:left w:val="nil"/>
              <w:bottom w:val="nil"/>
              <w:right w:val="nil"/>
            </w:tcBorders>
            <w:shd w:val="clear" w:color="auto" w:fill="auto"/>
            <w:noWrap/>
            <w:vAlign w:val="center"/>
            <w:hideMark/>
          </w:tcPr>
          <w:p w14:paraId="4C918825" w14:textId="552C5125"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22.658.898</w:t>
            </w:r>
          </w:p>
        </w:tc>
        <w:tc>
          <w:tcPr>
            <w:tcW w:w="409" w:type="pct"/>
            <w:tcBorders>
              <w:top w:val="nil"/>
              <w:left w:val="nil"/>
              <w:bottom w:val="nil"/>
              <w:right w:val="nil"/>
            </w:tcBorders>
            <w:shd w:val="clear" w:color="auto" w:fill="auto"/>
            <w:noWrap/>
            <w:vAlign w:val="center"/>
            <w:hideMark/>
          </w:tcPr>
          <w:p w14:paraId="0620D91F" w14:textId="1E92EB3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35364065"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52D14DD7" w14:textId="77777777" w:rsidTr="002641B5">
        <w:trPr>
          <w:trHeight w:hRule="exact" w:val="227"/>
        </w:trPr>
        <w:tc>
          <w:tcPr>
            <w:tcW w:w="51" w:type="pct"/>
            <w:tcBorders>
              <w:top w:val="nil"/>
              <w:left w:val="nil"/>
              <w:bottom w:val="nil"/>
              <w:right w:val="nil"/>
            </w:tcBorders>
            <w:shd w:val="clear" w:color="auto" w:fill="auto"/>
            <w:noWrap/>
            <w:vAlign w:val="center"/>
            <w:hideMark/>
          </w:tcPr>
          <w:p w14:paraId="30A2FE0B"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77F8CAED"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448" w:type="pct"/>
            <w:tcBorders>
              <w:top w:val="nil"/>
              <w:left w:val="nil"/>
              <w:bottom w:val="nil"/>
              <w:right w:val="nil"/>
            </w:tcBorders>
            <w:shd w:val="clear" w:color="auto" w:fill="auto"/>
            <w:noWrap/>
            <w:vAlign w:val="center"/>
            <w:hideMark/>
          </w:tcPr>
          <w:p w14:paraId="1E8DEB9F" w14:textId="7D9280E4"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416" w:type="pct"/>
            <w:tcBorders>
              <w:top w:val="nil"/>
              <w:left w:val="nil"/>
              <w:bottom w:val="nil"/>
              <w:right w:val="nil"/>
            </w:tcBorders>
            <w:shd w:val="clear" w:color="auto" w:fill="auto"/>
            <w:noWrap/>
            <w:vAlign w:val="center"/>
            <w:hideMark/>
          </w:tcPr>
          <w:p w14:paraId="4595009D" w14:textId="77777777"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317" w:type="pct"/>
            <w:tcBorders>
              <w:top w:val="nil"/>
              <w:left w:val="nil"/>
              <w:bottom w:val="nil"/>
              <w:right w:val="nil"/>
            </w:tcBorders>
            <w:shd w:val="clear" w:color="auto" w:fill="auto"/>
            <w:noWrap/>
            <w:vAlign w:val="center"/>
            <w:hideMark/>
          </w:tcPr>
          <w:p w14:paraId="00455650"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14" w:type="pct"/>
            <w:tcBorders>
              <w:top w:val="nil"/>
              <w:left w:val="nil"/>
              <w:bottom w:val="nil"/>
              <w:right w:val="nil"/>
            </w:tcBorders>
            <w:shd w:val="clear" w:color="auto" w:fill="auto"/>
            <w:vAlign w:val="center"/>
            <w:hideMark/>
          </w:tcPr>
          <w:p w14:paraId="7F0CF547" w14:textId="77777777" w:rsidR="00D90AC3" w:rsidRPr="00D90AC3" w:rsidRDefault="00D90AC3" w:rsidP="00D51EE7">
            <w:pPr>
              <w:spacing w:after="0" w:line="240" w:lineRule="auto"/>
              <w:rPr>
                <w:rFonts w:ascii="Times New Roman" w:eastAsia="Times New Roman" w:hAnsi="Times New Roman" w:cs="Times New Roman"/>
                <w:sz w:val="20"/>
                <w:szCs w:val="20"/>
              </w:rPr>
            </w:pPr>
          </w:p>
        </w:tc>
        <w:tc>
          <w:tcPr>
            <w:tcW w:w="61" w:type="pct"/>
            <w:tcBorders>
              <w:top w:val="nil"/>
              <w:left w:val="single" w:sz="4" w:space="0" w:color="156082"/>
              <w:bottom w:val="nil"/>
              <w:right w:val="nil"/>
            </w:tcBorders>
            <w:shd w:val="clear" w:color="auto" w:fill="auto"/>
            <w:noWrap/>
            <w:vAlign w:val="center"/>
            <w:hideMark/>
          </w:tcPr>
          <w:p w14:paraId="2F2AAA2B" w14:textId="3558D4E1"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12CF01C6" w14:textId="216C1408"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Arrendamentos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Ativos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Direito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Uso</w:t>
            </w:r>
          </w:p>
        </w:tc>
        <w:tc>
          <w:tcPr>
            <w:tcW w:w="409" w:type="pct"/>
            <w:tcBorders>
              <w:top w:val="nil"/>
              <w:left w:val="nil"/>
              <w:bottom w:val="nil"/>
              <w:right w:val="nil"/>
            </w:tcBorders>
            <w:shd w:val="clear" w:color="auto" w:fill="auto"/>
            <w:noWrap/>
            <w:vAlign w:val="center"/>
            <w:hideMark/>
          </w:tcPr>
          <w:p w14:paraId="2A83CDB7" w14:textId="750F222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4.146.204</w:t>
            </w:r>
          </w:p>
        </w:tc>
        <w:tc>
          <w:tcPr>
            <w:tcW w:w="409" w:type="pct"/>
            <w:tcBorders>
              <w:top w:val="nil"/>
              <w:left w:val="nil"/>
              <w:bottom w:val="nil"/>
              <w:right w:val="nil"/>
            </w:tcBorders>
            <w:shd w:val="clear" w:color="auto" w:fill="auto"/>
            <w:noWrap/>
            <w:vAlign w:val="center"/>
            <w:hideMark/>
          </w:tcPr>
          <w:p w14:paraId="1D77B595" w14:textId="0B91E24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4.146.204</w:t>
            </w:r>
          </w:p>
        </w:tc>
        <w:tc>
          <w:tcPr>
            <w:tcW w:w="409" w:type="pct"/>
            <w:tcBorders>
              <w:top w:val="nil"/>
              <w:left w:val="nil"/>
              <w:bottom w:val="nil"/>
              <w:right w:val="nil"/>
            </w:tcBorders>
            <w:shd w:val="clear" w:color="auto" w:fill="auto"/>
            <w:noWrap/>
            <w:vAlign w:val="center"/>
            <w:hideMark/>
          </w:tcPr>
          <w:p w14:paraId="147DCF47" w14:textId="21C94A01"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39858879"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5286C3A6"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42A420AD"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ATIVO NÃO CIRCULANTE</w:t>
            </w:r>
          </w:p>
        </w:tc>
        <w:tc>
          <w:tcPr>
            <w:tcW w:w="448" w:type="pct"/>
            <w:tcBorders>
              <w:top w:val="nil"/>
              <w:left w:val="nil"/>
              <w:bottom w:val="nil"/>
              <w:right w:val="nil"/>
            </w:tcBorders>
            <w:shd w:val="clear" w:color="auto" w:fill="auto"/>
            <w:noWrap/>
            <w:vAlign w:val="center"/>
            <w:hideMark/>
          </w:tcPr>
          <w:p w14:paraId="2D865215" w14:textId="4D898721"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6.154.367.492</w:t>
            </w:r>
          </w:p>
        </w:tc>
        <w:tc>
          <w:tcPr>
            <w:tcW w:w="416" w:type="pct"/>
            <w:tcBorders>
              <w:top w:val="nil"/>
              <w:left w:val="nil"/>
              <w:bottom w:val="nil"/>
              <w:right w:val="nil"/>
            </w:tcBorders>
            <w:shd w:val="clear" w:color="auto" w:fill="auto"/>
            <w:noWrap/>
            <w:vAlign w:val="center"/>
            <w:hideMark/>
          </w:tcPr>
          <w:p w14:paraId="1507C32D" w14:textId="44EEDB30"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6.075.880.8</w:t>
            </w:r>
            <w:r w:rsidR="00D849D0">
              <w:rPr>
                <w:rFonts w:ascii="Calibri" w:eastAsia="Times New Roman" w:hAnsi="Calibri" w:cs="Calibri"/>
                <w:b/>
                <w:bCs/>
                <w:color w:val="000000"/>
                <w:sz w:val="16"/>
                <w:szCs w:val="16"/>
              </w:rPr>
              <w:t>60</w:t>
            </w:r>
          </w:p>
        </w:tc>
        <w:tc>
          <w:tcPr>
            <w:tcW w:w="317" w:type="pct"/>
            <w:tcBorders>
              <w:top w:val="nil"/>
              <w:left w:val="nil"/>
              <w:bottom w:val="nil"/>
              <w:right w:val="nil"/>
            </w:tcBorders>
            <w:shd w:val="clear" w:color="auto" w:fill="auto"/>
            <w:noWrap/>
            <w:vAlign w:val="center"/>
            <w:hideMark/>
          </w:tcPr>
          <w:p w14:paraId="65D75D21" w14:textId="45CD57E4"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78.486.63</w:t>
            </w:r>
            <w:r w:rsidR="00D849D0">
              <w:rPr>
                <w:rFonts w:ascii="Calibri" w:eastAsia="Times New Roman" w:hAnsi="Calibri" w:cs="Calibri"/>
                <w:b/>
                <w:bCs/>
                <w:color w:val="000000"/>
                <w:sz w:val="16"/>
                <w:szCs w:val="16"/>
              </w:rPr>
              <w:t>2</w:t>
            </w:r>
          </w:p>
        </w:tc>
        <w:tc>
          <w:tcPr>
            <w:tcW w:w="214" w:type="pct"/>
            <w:tcBorders>
              <w:top w:val="nil"/>
              <w:left w:val="nil"/>
              <w:bottom w:val="nil"/>
              <w:right w:val="nil"/>
            </w:tcBorders>
            <w:shd w:val="clear" w:color="auto" w:fill="auto"/>
            <w:vAlign w:val="center"/>
            <w:hideMark/>
          </w:tcPr>
          <w:p w14:paraId="121C9548"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6D9799E9"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w:t>
            </w:r>
          </w:p>
        </w:tc>
        <w:tc>
          <w:tcPr>
            <w:tcW w:w="1046" w:type="pct"/>
            <w:tcBorders>
              <w:top w:val="nil"/>
              <w:left w:val="nil"/>
              <w:bottom w:val="nil"/>
              <w:right w:val="nil"/>
            </w:tcBorders>
            <w:shd w:val="clear" w:color="auto" w:fill="auto"/>
            <w:noWrap/>
            <w:vAlign w:val="center"/>
            <w:hideMark/>
          </w:tcPr>
          <w:p w14:paraId="6BF866AB" w14:textId="204E03D6"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Provisões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para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Contingências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Judiciais</w:t>
            </w:r>
          </w:p>
        </w:tc>
        <w:tc>
          <w:tcPr>
            <w:tcW w:w="409" w:type="pct"/>
            <w:tcBorders>
              <w:top w:val="nil"/>
              <w:left w:val="nil"/>
              <w:bottom w:val="nil"/>
              <w:right w:val="nil"/>
            </w:tcBorders>
            <w:shd w:val="clear" w:color="auto" w:fill="auto"/>
            <w:noWrap/>
            <w:vAlign w:val="center"/>
            <w:hideMark/>
          </w:tcPr>
          <w:p w14:paraId="3387A509" w14:textId="01EBBD2F"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110.689.611</w:t>
            </w:r>
          </w:p>
        </w:tc>
        <w:tc>
          <w:tcPr>
            <w:tcW w:w="409" w:type="pct"/>
            <w:tcBorders>
              <w:top w:val="nil"/>
              <w:left w:val="nil"/>
              <w:bottom w:val="nil"/>
              <w:right w:val="nil"/>
            </w:tcBorders>
            <w:shd w:val="clear" w:color="auto" w:fill="auto"/>
            <w:noWrap/>
            <w:vAlign w:val="center"/>
            <w:hideMark/>
          </w:tcPr>
          <w:p w14:paraId="75D307EF" w14:textId="7DFFD4F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110.689.611</w:t>
            </w:r>
          </w:p>
        </w:tc>
        <w:tc>
          <w:tcPr>
            <w:tcW w:w="409" w:type="pct"/>
            <w:tcBorders>
              <w:top w:val="nil"/>
              <w:left w:val="nil"/>
              <w:bottom w:val="nil"/>
              <w:right w:val="nil"/>
            </w:tcBorders>
            <w:shd w:val="clear" w:color="auto" w:fill="auto"/>
            <w:noWrap/>
            <w:vAlign w:val="center"/>
            <w:hideMark/>
          </w:tcPr>
          <w:p w14:paraId="3BE44879" w14:textId="2EC398C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3FBD0C1E"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4E4BEFFC"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170C8E99"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xml:space="preserve">      Realizável a Longo Prazo</w:t>
            </w:r>
          </w:p>
        </w:tc>
        <w:tc>
          <w:tcPr>
            <w:tcW w:w="448" w:type="pct"/>
            <w:tcBorders>
              <w:top w:val="nil"/>
              <w:left w:val="nil"/>
              <w:bottom w:val="nil"/>
              <w:right w:val="nil"/>
            </w:tcBorders>
            <w:shd w:val="clear" w:color="auto" w:fill="auto"/>
            <w:noWrap/>
            <w:vAlign w:val="center"/>
            <w:hideMark/>
          </w:tcPr>
          <w:p w14:paraId="57C74E82" w14:textId="5244A21C"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174.854.286</w:t>
            </w:r>
          </w:p>
        </w:tc>
        <w:tc>
          <w:tcPr>
            <w:tcW w:w="416" w:type="pct"/>
            <w:tcBorders>
              <w:top w:val="nil"/>
              <w:left w:val="nil"/>
              <w:bottom w:val="nil"/>
              <w:right w:val="nil"/>
            </w:tcBorders>
            <w:shd w:val="clear" w:color="auto" w:fill="auto"/>
            <w:noWrap/>
            <w:vAlign w:val="center"/>
            <w:hideMark/>
          </w:tcPr>
          <w:p w14:paraId="141BC3A5" w14:textId="002B9CDF"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97.562.799</w:t>
            </w:r>
          </w:p>
        </w:tc>
        <w:tc>
          <w:tcPr>
            <w:tcW w:w="317" w:type="pct"/>
            <w:tcBorders>
              <w:top w:val="nil"/>
              <w:left w:val="nil"/>
              <w:bottom w:val="nil"/>
              <w:right w:val="nil"/>
            </w:tcBorders>
            <w:shd w:val="clear" w:color="auto" w:fill="auto"/>
            <w:noWrap/>
            <w:vAlign w:val="center"/>
            <w:hideMark/>
          </w:tcPr>
          <w:p w14:paraId="082D526F" w14:textId="2775B46D"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77.291.487</w:t>
            </w:r>
          </w:p>
        </w:tc>
        <w:tc>
          <w:tcPr>
            <w:tcW w:w="214" w:type="pct"/>
            <w:tcBorders>
              <w:top w:val="nil"/>
              <w:left w:val="nil"/>
              <w:bottom w:val="nil"/>
              <w:right w:val="nil"/>
            </w:tcBorders>
            <w:shd w:val="clear" w:color="auto" w:fill="auto"/>
            <w:vAlign w:val="center"/>
            <w:hideMark/>
          </w:tcPr>
          <w:p w14:paraId="4DC0165C"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5D269D70"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w:t>
            </w:r>
          </w:p>
        </w:tc>
        <w:tc>
          <w:tcPr>
            <w:tcW w:w="1046" w:type="pct"/>
            <w:tcBorders>
              <w:top w:val="nil"/>
              <w:left w:val="nil"/>
              <w:bottom w:val="nil"/>
              <w:right w:val="nil"/>
            </w:tcBorders>
            <w:shd w:val="clear" w:color="auto" w:fill="auto"/>
            <w:noWrap/>
            <w:vAlign w:val="center"/>
            <w:hideMark/>
          </w:tcPr>
          <w:p w14:paraId="2D72BF9C" w14:textId="07291F4A"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Depósitos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Retidos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Fornecedores</w:t>
            </w:r>
          </w:p>
        </w:tc>
        <w:tc>
          <w:tcPr>
            <w:tcW w:w="409" w:type="pct"/>
            <w:tcBorders>
              <w:top w:val="nil"/>
              <w:left w:val="nil"/>
              <w:bottom w:val="nil"/>
              <w:right w:val="nil"/>
            </w:tcBorders>
            <w:shd w:val="clear" w:color="auto" w:fill="auto"/>
            <w:noWrap/>
            <w:vAlign w:val="center"/>
            <w:hideMark/>
          </w:tcPr>
          <w:p w14:paraId="262D890F" w14:textId="54443EB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3BEFBF91" w14:textId="361B9E4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27.655.543</w:t>
            </w:r>
          </w:p>
        </w:tc>
        <w:tc>
          <w:tcPr>
            <w:tcW w:w="409" w:type="pct"/>
            <w:tcBorders>
              <w:top w:val="nil"/>
              <w:left w:val="nil"/>
              <w:bottom w:val="nil"/>
              <w:right w:val="nil"/>
            </w:tcBorders>
            <w:shd w:val="clear" w:color="auto" w:fill="auto"/>
            <w:noWrap/>
            <w:vAlign w:val="center"/>
            <w:hideMark/>
          </w:tcPr>
          <w:p w14:paraId="77950393" w14:textId="12ED4F5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(27.655.543)</w:t>
            </w:r>
          </w:p>
        </w:tc>
        <w:tc>
          <w:tcPr>
            <w:tcW w:w="225" w:type="pct"/>
            <w:tcBorders>
              <w:top w:val="nil"/>
              <w:left w:val="nil"/>
              <w:bottom w:val="nil"/>
              <w:right w:val="nil"/>
            </w:tcBorders>
            <w:shd w:val="clear" w:color="auto" w:fill="auto"/>
            <w:vAlign w:val="center"/>
            <w:hideMark/>
          </w:tcPr>
          <w:p w14:paraId="2AB71FCE"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(14)</w:t>
            </w:r>
          </w:p>
        </w:tc>
      </w:tr>
      <w:tr w:rsidR="002641B5" w:rsidRPr="00D90AC3" w14:paraId="2CEFECC0" w14:textId="77777777" w:rsidTr="002641B5">
        <w:trPr>
          <w:trHeight w:hRule="exact" w:val="227"/>
        </w:trPr>
        <w:tc>
          <w:tcPr>
            <w:tcW w:w="51" w:type="pct"/>
            <w:tcBorders>
              <w:top w:val="nil"/>
              <w:left w:val="nil"/>
              <w:bottom w:val="nil"/>
              <w:right w:val="nil"/>
            </w:tcBorders>
            <w:shd w:val="clear" w:color="auto" w:fill="auto"/>
            <w:noWrap/>
            <w:vAlign w:val="center"/>
            <w:hideMark/>
          </w:tcPr>
          <w:p w14:paraId="524281B2"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5C7659C3" w14:textId="3C4C83A4"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Depósitos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Judiciais</w:t>
            </w:r>
          </w:p>
        </w:tc>
        <w:tc>
          <w:tcPr>
            <w:tcW w:w="448" w:type="pct"/>
            <w:tcBorders>
              <w:top w:val="nil"/>
              <w:left w:val="nil"/>
              <w:bottom w:val="nil"/>
              <w:right w:val="nil"/>
            </w:tcBorders>
            <w:shd w:val="clear" w:color="auto" w:fill="auto"/>
            <w:noWrap/>
            <w:vAlign w:val="center"/>
            <w:hideMark/>
          </w:tcPr>
          <w:p w14:paraId="435E6E59" w14:textId="42D3C014"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108.727.164</w:t>
            </w:r>
          </w:p>
        </w:tc>
        <w:tc>
          <w:tcPr>
            <w:tcW w:w="416" w:type="pct"/>
            <w:tcBorders>
              <w:top w:val="nil"/>
              <w:left w:val="nil"/>
              <w:bottom w:val="nil"/>
              <w:right w:val="nil"/>
            </w:tcBorders>
            <w:shd w:val="clear" w:color="auto" w:fill="auto"/>
            <w:noWrap/>
            <w:vAlign w:val="center"/>
            <w:hideMark/>
          </w:tcPr>
          <w:p w14:paraId="18BC2460" w14:textId="796E6FA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96.292.784</w:t>
            </w:r>
          </w:p>
        </w:tc>
        <w:tc>
          <w:tcPr>
            <w:tcW w:w="317" w:type="pct"/>
            <w:tcBorders>
              <w:top w:val="nil"/>
              <w:left w:val="nil"/>
              <w:bottom w:val="nil"/>
              <w:right w:val="nil"/>
            </w:tcBorders>
            <w:shd w:val="clear" w:color="auto" w:fill="auto"/>
            <w:noWrap/>
            <w:vAlign w:val="center"/>
            <w:hideMark/>
          </w:tcPr>
          <w:p w14:paraId="04CC3AC4" w14:textId="49C36E4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12.434.380</w:t>
            </w:r>
          </w:p>
        </w:tc>
        <w:tc>
          <w:tcPr>
            <w:tcW w:w="214" w:type="pct"/>
            <w:tcBorders>
              <w:top w:val="nil"/>
              <w:left w:val="nil"/>
              <w:bottom w:val="nil"/>
              <w:right w:val="nil"/>
            </w:tcBorders>
            <w:shd w:val="clear" w:color="auto" w:fill="auto"/>
            <w:vAlign w:val="center"/>
            <w:hideMark/>
          </w:tcPr>
          <w:p w14:paraId="29F7140C"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(3)</w:t>
            </w:r>
          </w:p>
        </w:tc>
        <w:tc>
          <w:tcPr>
            <w:tcW w:w="61" w:type="pct"/>
            <w:tcBorders>
              <w:top w:val="nil"/>
              <w:left w:val="single" w:sz="4" w:space="0" w:color="156082"/>
              <w:bottom w:val="nil"/>
              <w:right w:val="nil"/>
            </w:tcBorders>
            <w:shd w:val="clear" w:color="auto" w:fill="auto"/>
            <w:noWrap/>
            <w:vAlign w:val="center"/>
            <w:hideMark/>
          </w:tcPr>
          <w:p w14:paraId="06C8D599" w14:textId="7AE0CFED"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61B6FBC3" w14:textId="77777777"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43E555FC"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50207ED6"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09AEACDD"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0D2A5AF4"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363DF643" w14:textId="77777777" w:rsidTr="002641B5">
        <w:trPr>
          <w:trHeight w:hRule="exact" w:val="227"/>
        </w:trPr>
        <w:tc>
          <w:tcPr>
            <w:tcW w:w="51" w:type="pct"/>
            <w:tcBorders>
              <w:top w:val="nil"/>
              <w:left w:val="nil"/>
              <w:bottom w:val="nil"/>
              <w:right w:val="nil"/>
            </w:tcBorders>
            <w:shd w:val="clear" w:color="auto" w:fill="auto"/>
            <w:noWrap/>
            <w:vAlign w:val="center"/>
            <w:hideMark/>
          </w:tcPr>
          <w:p w14:paraId="0B5A5EBD"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24F13C19" w14:textId="27108883"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Permissões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para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Uso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Pátios</w:t>
            </w:r>
          </w:p>
        </w:tc>
        <w:tc>
          <w:tcPr>
            <w:tcW w:w="448" w:type="pct"/>
            <w:tcBorders>
              <w:top w:val="nil"/>
              <w:left w:val="nil"/>
              <w:bottom w:val="nil"/>
              <w:right w:val="nil"/>
            </w:tcBorders>
            <w:shd w:val="clear" w:color="auto" w:fill="auto"/>
            <w:noWrap/>
            <w:vAlign w:val="center"/>
            <w:hideMark/>
          </w:tcPr>
          <w:p w14:paraId="559B50D7" w14:textId="2172442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64.565.436</w:t>
            </w:r>
          </w:p>
        </w:tc>
        <w:tc>
          <w:tcPr>
            <w:tcW w:w="416" w:type="pct"/>
            <w:tcBorders>
              <w:top w:val="nil"/>
              <w:left w:val="nil"/>
              <w:bottom w:val="nil"/>
              <w:right w:val="nil"/>
            </w:tcBorders>
            <w:shd w:val="clear" w:color="auto" w:fill="auto"/>
            <w:noWrap/>
            <w:vAlign w:val="center"/>
            <w:hideMark/>
          </w:tcPr>
          <w:p w14:paraId="42792611" w14:textId="01FD5B6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317" w:type="pct"/>
            <w:tcBorders>
              <w:top w:val="nil"/>
              <w:left w:val="nil"/>
              <w:bottom w:val="nil"/>
              <w:right w:val="nil"/>
            </w:tcBorders>
            <w:shd w:val="clear" w:color="auto" w:fill="auto"/>
            <w:noWrap/>
            <w:vAlign w:val="center"/>
            <w:hideMark/>
          </w:tcPr>
          <w:p w14:paraId="3CB62B79" w14:textId="0AE0C2A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64.565.436</w:t>
            </w:r>
          </w:p>
        </w:tc>
        <w:tc>
          <w:tcPr>
            <w:tcW w:w="214" w:type="pct"/>
            <w:tcBorders>
              <w:top w:val="nil"/>
              <w:left w:val="nil"/>
              <w:bottom w:val="nil"/>
              <w:right w:val="nil"/>
            </w:tcBorders>
            <w:shd w:val="clear" w:color="auto" w:fill="auto"/>
            <w:vAlign w:val="center"/>
            <w:hideMark/>
          </w:tcPr>
          <w:p w14:paraId="33AE9DDF"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(2)</w:t>
            </w:r>
          </w:p>
        </w:tc>
        <w:tc>
          <w:tcPr>
            <w:tcW w:w="1107" w:type="pct"/>
            <w:gridSpan w:val="2"/>
            <w:tcBorders>
              <w:top w:val="nil"/>
              <w:left w:val="single" w:sz="4" w:space="0" w:color="156082"/>
              <w:bottom w:val="nil"/>
              <w:right w:val="nil"/>
            </w:tcBorders>
            <w:shd w:val="clear" w:color="auto" w:fill="auto"/>
            <w:noWrap/>
            <w:vAlign w:val="center"/>
            <w:hideMark/>
          </w:tcPr>
          <w:p w14:paraId="4CEB307A" w14:textId="47C747E9"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PASSIVO</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NÃO</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CIRCULANTE</w:t>
            </w:r>
          </w:p>
        </w:tc>
        <w:tc>
          <w:tcPr>
            <w:tcW w:w="409" w:type="pct"/>
            <w:tcBorders>
              <w:top w:val="nil"/>
              <w:left w:val="nil"/>
              <w:bottom w:val="nil"/>
              <w:right w:val="nil"/>
            </w:tcBorders>
            <w:shd w:val="clear" w:color="auto" w:fill="auto"/>
            <w:noWrap/>
            <w:vAlign w:val="center"/>
            <w:hideMark/>
          </w:tcPr>
          <w:p w14:paraId="75AFA88F" w14:textId="73D2E27E"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3.492.396.11</w:t>
            </w:r>
            <w:r w:rsidR="006825CA">
              <w:rPr>
                <w:rFonts w:ascii="Calibri" w:eastAsia="Times New Roman" w:hAnsi="Calibri" w:cs="Calibri"/>
                <w:b/>
                <w:bCs/>
                <w:color w:val="000000"/>
                <w:sz w:val="16"/>
                <w:szCs w:val="16"/>
              </w:rPr>
              <w:t>3</w:t>
            </w:r>
          </w:p>
        </w:tc>
        <w:tc>
          <w:tcPr>
            <w:tcW w:w="409" w:type="pct"/>
            <w:tcBorders>
              <w:top w:val="nil"/>
              <w:left w:val="nil"/>
              <w:bottom w:val="nil"/>
              <w:right w:val="nil"/>
            </w:tcBorders>
            <w:shd w:val="clear" w:color="auto" w:fill="auto"/>
            <w:noWrap/>
            <w:vAlign w:val="center"/>
            <w:hideMark/>
          </w:tcPr>
          <w:p w14:paraId="6EE279E5" w14:textId="6E5B916E"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1.937.440.13</w:t>
            </w:r>
            <w:r w:rsidR="006825CA">
              <w:rPr>
                <w:rFonts w:ascii="Calibri" w:eastAsia="Times New Roman" w:hAnsi="Calibri" w:cs="Calibri"/>
                <w:b/>
                <w:bCs/>
                <w:color w:val="000000"/>
                <w:sz w:val="16"/>
                <w:szCs w:val="16"/>
              </w:rPr>
              <w:t>3</w:t>
            </w:r>
          </w:p>
        </w:tc>
        <w:tc>
          <w:tcPr>
            <w:tcW w:w="409" w:type="pct"/>
            <w:tcBorders>
              <w:top w:val="nil"/>
              <w:left w:val="nil"/>
              <w:bottom w:val="nil"/>
              <w:right w:val="nil"/>
            </w:tcBorders>
            <w:shd w:val="clear" w:color="auto" w:fill="auto"/>
            <w:noWrap/>
            <w:vAlign w:val="center"/>
            <w:hideMark/>
          </w:tcPr>
          <w:p w14:paraId="016B4174" w14:textId="6F471F9F"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1.554.955.98</w:t>
            </w:r>
            <w:r w:rsidR="006825CA">
              <w:rPr>
                <w:rFonts w:ascii="Calibri" w:eastAsia="Times New Roman" w:hAnsi="Calibri" w:cs="Calibri"/>
                <w:b/>
                <w:bCs/>
                <w:color w:val="000000"/>
                <w:sz w:val="16"/>
                <w:szCs w:val="16"/>
              </w:rPr>
              <w:t>0</w:t>
            </w:r>
          </w:p>
        </w:tc>
        <w:tc>
          <w:tcPr>
            <w:tcW w:w="225" w:type="pct"/>
            <w:tcBorders>
              <w:top w:val="nil"/>
              <w:left w:val="nil"/>
              <w:bottom w:val="nil"/>
              <w:right w:val="nil"/>
            </w:tcBorders>
            <w:shd w:val="clear" w:color="auto" w:fill="auto"/>
            <w:vAlign w:val="center"/>
            <w:hideMark/>
          </w:tcPr>
          <w:p w14:paraId="0ABAAAFA" w14:textId="77777777" w:rsidR="00D90AC3" w:rsidRPr="00D90AC3" w:rsidRDefault="00D90AC3" w:rsidP="00D51EE7">
            <w:pPr>
              <w:spacing w:after="0" w:line="240" w:lineRule="auto"/>
              <w:rPr>
                <w:rFonts w:ascii="Calibri" w:eastAsia="Times New Roman" w:hAnsi="Calibri" w:cs="Calibri"/>
                <w:b/>
                <w:bCs/>
                <w:color w:val="000000"/>
                <w:sz w:val="16"/>
                <w:szCs w:val="16"/>
              </w:rPr>
            </w:pPr>
          </w:p>
        </w:tc>
      </w:tr>
      <w:tr w:rsidR="002641B5" w:rsidRPr="00D90AC3" w14:paraId="3C18FF96" w14:textId="77777777" w:rsidTr="002641B5">
        <w:trPr>
          <w:trHeight w:hRule="exact" w:val="227"/>
        </w:trPr>
        <w:tc>
          <w:tcPr>
            <w:tcW w:w="51" w:type="pct"/>
            <w:tcBorders>
              <w:top w:val="nil"/>
              <w:left w:val="nil"/>
              <w:bottom w:val="nil"/>
              <w:right w:val="nil"/>
            </w:tcBorders>
            <w:shd w:val="clear" w:color="auto" w:fill="auto"/>
            <w:noWrap/>
            <w:vAlign w:val="center"/>
            <w:hideMark/>
          </w:tcPr>
          <w:p w14:paraId="021D4B96"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38E97031" w14:textId="4051D724"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Despesas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Antecipadas</w:t>
            </w:r>
          </w:p>
        </w:tc>
        <w:tc>
          <w:tcPr>
            <w:tcW w:w="448" w:type="pct"/>
            <w:tcBorders>
              <w:top w:val="nil"/>
              <w:left w:val="nil"/>
              <w:bottom w:val="nil"/>
              <w:right w:val="nil"/>
            </w:tcBorders>
            <w:shd w:val="clear" w:color="auto" w:fill="auto"/>
            <w:noWrap/>
            <w:vAlign w:val="center"/>
            <w:hideMark/>
          </w:tcPr>
          <w:p w14:paraId="6E81D234" w14:textId="000F5E6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1.066.46</w:t>
            </w:r>
            <w:r w:rsidR="0078191C">
              <w:rPr>
                <w:rFonts w:ascii="Calibri" w:eastAsia="Times New Roman" w:hAnsi="Calibri" w:cs="Calibri"/>
                <w:color w:val="000000"/>
                <w:sz w:val="16"/>
                <w:szCs w:val="16"/>
              </w:rPr>
              <w:t>7</w:t>
            </w:r>
          </w:p>
        </w:tc>
        <w:tc>
          <w:tcPr>
            <w:tcW w:w="416" w:type="pct"/>
            <w:tcBorders>
              <w:top w:val="nil"/>
              <w:left w:val="nil"/>
              <w:bottom w:val="nil"/>
              <w:right w:val="nil"/>
            </w:tcBorders>
            <w:shd w:val="clear" w:color="auto" w:fill="auto"/>
            <w:noWrap/>
            <w:vAlign w:val="center"/>
            <w:hideMark/>
          </w:tcPr>
          <w:p w14:paraId="056A13E6" w14:textId="780CC971"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1.254.666</w:t>
            </w:r>
          </w:p>
        </w:tc>
        <w:tc>
          <w:tcPr>
            <w:tcW w:w="317" w:type="pct"/>
            <w:tcBorders>
              <w:top w:val="nil"/>
              <w:left w:val="nil"/>
              <w:bottom w:val="nil"/>
              <w:right w:val="nil"/>
            </w:tcBorders>
            <w:shd w:val="clear" w:color="auto" w:fill="auto"/>
            <w:noWrap/>
            <w:vAlign w:val="center"/>
            <w:hideMark/>
          </w:tcPr>
          <w:p w14:paraId="518A0D89" w14:textId="12824D8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(188.</w:t>
            </w:r>
            <w:r w:rsidR="00DF31A8">
              <w:rPr>
                <w:rFonts w:ascii="Calibri" w:eastAsia="Times New Roman" w:hAnsi="Calibri" w:cs="Calibri"/>
                <w:color w:val="000000"/>
                <w:sz w:val="16"/>
                <w:szCs w:val="16"/>
              </w:rPr>
              <w:t>199</w:t>
            </w: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38361657"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(4)</w:t>
            </w:r>
          </w:p>
        </w:tc>
        <w:tc>
          <w:tcPr>
            <w:tcW w:w="61" w:type="pct"/>
            <w:tcBorders>
              <w:top w:val="nil"/>
              <w:left w:val="single" w:sz="4" w:space="0" w:color="156082"/>
              <w:bottom w:val="nil"/>
              <w:right w:val="nil"/>
            </w:tcBorders>
            <w:shd w:val="clear" w:color="auto" w:fill="auto"/>
            <w:noWrap/>
            <w:vAlign w:val="center"/>
            <w:hideMark/>
          </w:tcPr>
          <w:p w14:paraId="0E03CBB8" w14:textId="236C0117"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42AB0997" w14:textId="77777777"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Fornecedores</w:t>
            </w:r>
          </w:p>
        </w:tc>
        <w:tc>
          <w:tcPr>
            <w:tcW w:w="409" w:type="pct"/>
            <w:tcBorders>
              <w:top w:val="nil"/>
              <w:left w:val="nil"/>
              <w:bottom w:val="nil"/>
              <w:right w:val="nil"/>
            </w:tcBorders>
            <w:shd w:val="clear" w:color="auto" w:fill="auto"/>
            <w:noWrap/>
            <w:vAlign w:val="center"/>
            <w:hideMark/>
          </w:tcPr>
          <w:p w14:paraId="369BC517" w14:textId="44F9DF7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3.077.451</w:t>
            </w:r>
          </w:p>
        </w:tc>
        <w:tc>
          <w:tcPr>
            <w:tcW w:w="409" w:type="pct"/>
            <w:tcBorders>
              <w:top w:val="nil"/>
              <w:left w:val="nil"/>
              <w:bottom w:val="nil"/>
              <w:right w:val="nil"/>
            </w:tcBorders>
            <w:shd w:val="clear" w:color="auto" w:fill="auto"/>
            <w:noWrap/>
            <w:vAlign w:val="center"/>
            <w:hideMark/>
          </w:tcPr>
          <w:p w14:paraId="10E4D807" w14:textId="7ABA85E5"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3.077.451</w:t>
            </w:r>
          </w:p>
        </w:tc>
        <w:tc>
          <w:tcPr>
            <w:tcW w:w="409" w:type="pct"/>
            <w:tcBorders>
              <w:top w:val="nil"/>
              <w:left w:val="nil"/>
              <w:bottom w:val="nil"/>
              <w:right w:val="nil"/>
            </w:tcBorders>
            <w:shd w:val="clear" w:color="auto" w:fill="auto"/>
            <w:noWrap/>
            <w:vAlign w:val="center"/>
            <w:hideMark/>
          </w:tcPr>
          <w:p w14:paraId="364041C3" w14:textId="60910A4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5A2798AD"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21B98430" w14:textId="77777777" w:rsidTr="002641B5">
        <w:trPr>
          <w:trHeight w:hRule="exact" w:val="227"/>
        </w:trPr>
        <w:tc>
          <w:tcPr>
            <w:tcW w:w="51" w:type="pct"/>
            <w:tcBorders>
              <w:top w:val="nil"/>
              <w:left w:val="nil"/>
              <w:bottom w:val="nil"/>
              <w:right w:val="nil"/>
            </w:tcBorders>
            <w:shd w:val="clear" w:color="auto" w:fill="auto"/>
            <w:noWrap/>
            <w:vAlign w:val="center"/>
            <w:hideMark/>
          </w:tcPr>
          <w:p w14:paraId="2611F60F"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1A196BC0" w14:textId="7AFE7E2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Depósitos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Cauções</w:t>
            </w:r>
          </w:p>
        </w:tc>
        <w:tc>
          <w:tcPr>
            <w:tcW w:w="448" w:type="pct"/>
            <w:tcBorders>
              <w:top w:val="nil"/>
              <w:left w:val="nil"/>
              <w:bottom w:val="nil"/>
              <w:right w:val="nil"/>
            </w:tcBorders>
            <w:shd w:val="clear" w:color="auto" w:fill="auto"/>
            <w:noWrap/>
            <w:vAlign w:val="center"/>
            <w:hideMark/>
          </w:tcPr>
          <w:p w14:paraId="5C477778" w14:textId="29C06C1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481.453</w:t>
            </w:r>
          </w:p>
        </w:tc>
        <w:tc>
          <w:tcPr>
            <w:tcW w:w="416" w:type="pct"/>
            <w:tcBorders>
              <w:top w:val="nil"/>
              <w:left w:val="nil"/>
              <w:bottom w:val="nil"/>
              <w:right w:val="nil"/>
            </w:tcBorders>
            <w:shd w:val="clear" w:color="auto" w:fill="auto"/>
            <w:noWrap/>
            <w:vAlign w:val="center"/>
            <w:hideMark/>
          </w:tcPr>
          <w:p w14:paraId="3CBF24D0" w14:textId="458A46A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317" w:type="pct"/>
            <w:tcBorders>
              <w:top w:val="nil"/>
              <w:left w:val="nil"/>
              <w:bottom w:val="nil"/>
              <w:right w:val="nil"/>
            </w:tcBorders>
            <w:shd w:val="clear" w:color="auto" w:fill="auto"/>
            <w:noWrap/>
            <w:vAlign w:val="center"/>
            <w:hideMark/>
          </w:tcPr>
          <w:p w14:paraId="0BF420D3" w14:textId="386039B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481.453</w:t>
            </w:r>
          </w:p>
        </w:tc>
        <w:tc>
          <w:tcPr>
            <w:tcW w:w="214" w:type="pct"/>
            <w:tcBorders>
              <w:top w:val="nil"/>
              <w:left w:val="nil"/>
              <w:bottom w:val="nil"/>
              <w:right w:val="nil"/>
            </w:tcBorders>
            <w:shd w:val="clear" w:color="auto" w:fill="auto"/>
            <w:vAlign w:val="center"/>
            <w:hideMark/>
          </w:tcPr>
          <w:p w14:paraId="2F9BE94A"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(1)</w:t>
            </w:r>
          </w:p>
        </w:tc>
        <w:tc>
          <w:tcPr>
            <w:tcW w:w="61" w:type="pct"/>
            <w:tcBorders>
              <w:top w:val="nil"/>
              <w:left w:val="single" w:sz="4" w:space="0" w:color="156082"/>
              <w:bottom w:val="nil"/>
              <w:right w:val="nil"/>
            </w:tcBorders>
            <w:shd w:val="clear" w:color="auto" w:fill="auto"/>
            <w:noWrap/>
            <w:vAlign w:val="center"/>
            <w:hideMark/>
          </w:tcPr>
          <w:p w14:paraId="0B517CED" w14:textId="01729FC2"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503236AF" w14:textId="1825E251"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Depósitos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retidos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sobre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fornecedores</w:t>
            </w:r>
          </w:p>
        </w:tc>
        <w:tc>
          <w:tcPr>
            <w:tcW w:w="409" w:type="pct"/>
            <w:tcBorders>
              <w:top w:val="nil"/>
              <w:left w:val="nil"/>
              <w:bottom w:val="nil"/>
              <w:right w:val="nil"/>
            </w:tcBorders>
            <w:shd w:val="clear" w:color="auto" w:fill="auto"/>
            <w:noWrap/>
            <w:vAlign w:val="center"/>
            <w:hideMark/>
          </w:tcPr>
          <w:p w14:paraId="3168C652" w14:textId="6002287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27.655.543</w:t>
            </w:r>
          </w:p>
        </w:tc>
        <w:tc>
          <w:tcPr>
            <w:tcW w:w="409" w:type="pct"/>
            <w:tcBorders>
              <w:top w:val="nil"/>
              <w:left w:val="nil"/>
              <w:bottom w:val="nil"/>
              <w:right w:val="nil"/>
            </w:tcBorders>
            <w:shd w:val="clear" w:color="auto" w:fill="auto"/>
            <w:noWrap/>
            <w:vAlign w:val="center"/>
            <w:hideMark/>
          </w:tcPr>
          <w:p w14:paraId="1B8CFD1A" w14:textId="75CB0ED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0AD68299" w14:textId="20098D8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27.655.543</w:t>
            </w:r>
          </w:p>
        </w:tc>
        <w:tc>
          <w:tcPr>
            <w:tcW w:w="225" w:type="pct"/>
            <w:tcBorders>
              <w:top w:val="nil"/>
              <w:left w:val="nil"/>
              <w:bottom w:val="nil"/>
              <w:right w:val="nil"/>
            </w:tcBorders>
            <w:shd w:val="clear" w:color="auto" w:fill="auto"/>
            <w:vAlign w:val="center"/>
            <w:hideMark/>
          </w:tcPr>
          <w:p w14:paraId="625CEB3E"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(14)</w:t>
            </w:r>
          </w:p>
        </w:tc>
      </w:tr>
      <w:tr w:rsidR="002641B5" w:rsidRPr="00D90AC3" w14:paraId="01B83EF0" w14:textId="77777777" w:rsidTr="002641B5">
        <w:trPr>
          <w:trHeight w:hRule="exact" w:val="227"/>
        </w:trPr>
        <w:tc>
          <w:tcPr>
            <w:tcW w:w="51" w:type="pct"/>
            <w:tcBorders>
              <w:top w:val="nil"/>
              <w:left w:val="nil"/>
              <w:bottom w:val="nil"/>
              <w:right w:val="nil"/>
            </w:tcBorders>
            <w:shd w:val="clear" w:color="auto" w:fill="auto"/>
            <w:noWrap/>
            <w:vAlign w:val="center"/>
            <w:hideMark/>
          </w:tcPr>
          <w:p w14:paraId="6510F708"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56E1E6B1" w14:textId="0D730AAF"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Valores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Receber</w:t>
            </w:r>
          </w:p>
        </w:tc>
        <w:tc>
          <w:tcPr>
            <w:tcW w:w="448" w:type="pct"/>
            <w:tcBorders>
              <w:top w:val="nil"/>
              <w:left w:val="nil"/>
              <w:bottom w:val="nil"/>
              <w:right w:val="nil"/>
            </w:tcBorders>
            <w:shd w:val="clear" w:color="auto" w:fill="auto"/>
            <w:noWrap/>
            <w:vAlign w:val="center"/>
            <w:hideMark/>
          </w:tcPr>
          <w:p w14:paraId="335BE6A6" w14:textId="38C1EF5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13.766</w:t>
            </w:r>
          </w:p>
        </w:tc>
        <w:tc>
          <w:tcPr>
            <w:tcW w:w="416" w:type="pct"/>
            <w:tcBorders>
              <w:top w:val="nil"/>
              <w:left w:val="nil"/>
              <w:bottom w:val="nil"/>
              <w:right w:val="nil"/>
            </w:tcBorders>
            <w:shd w:val="clear" w:color="auto" w:fill="auto"/>
            <w:noWrap/>
            <w:vAlign w:val="center"/>
            <w:hideMark/>
          </w:tcPr>
          <w:p w14:paraId="67AC39AE" w14:textId="372B9BB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15.349</w:t>
            </w:r>
          </w:p>
        </w:tc>
        <w:tc>
          <w:tcPr>
            <w:tcW w:w="317" w:type="pct"/>
            <w:tcBorders>
              <w:top w:val="nil"/>
              <w:left w:val="nil"/>
              <w:bottom w:val="nil"/>
              <w:right w:val="nil"/>
            </w:tcBorders>
            <w:shd w:val="clear" w:color="auto" w:fill="auto"/>
            <w:noWrap/>
            <w:vAlign w:val="center"/>
            <w:hideMark/>
          </w:tcPr>
          <w:p w14:paraId="552DBE12" w14:textId="1129599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(1.58</w:t>
            </w:r>
            <w:r w:rsidR="0027379B">
              <w:rPr>
                <w:rFonts w:ascii="Calibri" w:eastAsia="Times New Roman" w:hAnsi="Calibri" w:cs="Calibri"/>
                <w:color w:val="000000"/>
                <w:sz w:val="16"/>
                <w:szCs w:val="16"/>
              </w:rPr>
              <w:t>3</w:t>
            </w: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56E1AE07"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(5)</w:t>
            </w:r>
          </w:p>
        </w:tc>
        <w:tc>
          <w:tcPr>
            <w:tcW w:w="61" w:type="pct"/>
            <w:tcBorders>
              <w:top w:val="nil"/>
              <w:left w:val="single" w:sz="4" w:space="0" w:color="156082"/>
              <w:bottom w:val="nil"/>
              <w:right w:val="nil"/>
            </w:tcBorders>
            <w:shd w:val="clear" w:color="auto" w:fill="auto"/>
            <w:noWrap/>
            <w:vAlign w:val="center"/>
            <w:hideMark/>
          </w:tcPr>
          <w:p w14:paraId="2ADE1531" w14:textId="25678522" w:rsidR="00D90AC3" w:rsidRPr="00D90AC3" w:rsidRDefault="00D90AC3" w:rsidP="00D90AC3">
            <w:pPr>
              <w:spacing w:after="0" w:line="240" w:lineRule="auto"/>
              <w:rPr>
                <w:rFonts w:ascii="Calibri" w:eastAsia="Times New Roman" w:hAnsi="Calibri" w:cs="Calibri"/>
                <w:b/>
                <w:bCs/>
                <w:color w:val="000000"/>
                <w:sz w:val="16"/>
                <w:szCs w:val="16"/>
              </w:rPr>
            </w:pPr>
          </w:p>
        </w:tc>
        <w:tc>
          <w:tcPr>
            <w:tcW w:w="1046" w:type="pct"/>
            <w:tcBorders>
              <w:top w:val="nil"/>
              <w:left w:val="nil"/>
              <w:bottom w:val="nil"/>
              <w:right w:val="nil"/>
            </w:tcBorders>
            <w:shd w:val="clear" w:color="auto" w:fill="auto"/>
            <w:noWrap/>
            <w:vAlign w:val="center"/>
            <w:hideMark/>
          </w:tcPr>
          <w:p w14:paraId="24DFB9B1" w14:textId="5AC15E0C"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Provisões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para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Contingências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Judiciais</w:t>
            </w:r>
          </w:p>
        </w:tc>
        <w:tc>
          <w:tcPr>
            <w:tcW w:w="409" w:type="pct"/>
            <w:tcBorders>
              <w:top w:val="nil"/>
              <w:left w:val="nil"/>
              <w:bottom w:val="nil"/>
              <w:right w:val="nil"/>
            </w:tcBorders>
            <w:shd w:val="clear" w:color="auto" w:fill="auto"/>
            <w:noWrap/>
            <w:vAlign w:val="center"/>
            <w:hideMark/>
          </w:tcPr>
          <w:p w14:paraId="35E37A51" w14:textId="7D0F424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1.927.661.923</w:t>
            </w:r>
          </w:p>
        </w:tc>
        <w:tc>
          <w:tcPr>
            <w:tcW w:w="409" w:type="pct"/>
            <w:tcBorders>
              <w:top w:val="nil"/>
              <w:left w:val="nil"/>
              <w:bottom w:val="nil"/>
              <w:right w:val="nil"/>
            </w:tcBorders>
            <w:shd w:val="clear" w:color="auto" w:fill="auto"/>
            <w:noWrap/>
            <w:vAlign w:val="center"/>
            <w:hideMark/>
          </w:tcPr>
          <w:p w14:paraId="72D8460C" w14:textId="4EF7BF6E"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1.927.661.923</w:t>
            </w:r>
          </w:p>
        </w:tc>
        <w:tc>
          <w:tcPr>
            <w:tcW w:w="409" w:type="pct"/>
            <w:tcBorders>
              <w:top w:val="nil"/>
              <w:left w:val="nil"/>
              <w:bottom w:val="nil"/>
              <w:right w:val="nil"/>
            </w:tcBorders>
            <w:shd w:val="clear" w:color="auto" w:fill="auto"/>
            <w:noWrap/>
            <w:vAlign w:val="center"/>
            <w:hideMark/>
          </w:tcPr>
          <w:p w14:paraId="6E042548" w14:textId="2404D12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30171CCA"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57E8969D"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567BDB8F" w14:textId="70600F01"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Investimentos</w:t>
            </w:r>
            <w:r w:rsidR="006D239E" w:rsidRPr="00D90AC3">
              <w:rPr>
                <w:rFonts w:ascii="Calibri" w:eastAsia="Times New Roman" w:hAnsi="Calibri" w:cs="Calibri"/>
                <w:b/>
                <w:bCs/>
                <w:color w:val="000000"/>
                <w:sz w:val="16"/>
                <w:szCs w:val="16"/>
              </w:rPr>
              <w:t xml:space="preserve">     </w:t>
            </w:r>
          </w:p>
        </w:tc>
        <w:tc>
          <w:tcPr>
            <w:tcW w:w="448" w:type="pct"/>
            <w:tcBorders>
              <w:top w:val="nil"/>
              <w:left w:val="nil"/>
              <w:bottom w:val="nil"/>
              <w:right w:val="nil"/>
            </w:tcBorders>
            <w:shd w:val="clear" w:color="auto" w:fill="auto"/>
            <w:noWrap/>
            <w:vAlign w:val="center"/>
            <w:hideMark/>
          </w:tcPr>
          <w:p w14:paraId="68A2F176" w14:textId="573518C8"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876.346.402</w:t>
            </w:r>
          </w:p>
        </w:tc>
        <w:tc>
          <w:tcPr>
            <w:tcW w:w="416" w:type="pct"/>
            <w:tcBorders>
              <w:top w:val="nil"/>
              <w:left w:val="nil"/>
              <w:bottom w:val="nil"/>
              <w:right w:val="nil"/>
            </w:tcBorders>
            <w:shd w:val="clear" w:color="auto" w:fill="auto"/>
            <w:noWrap/>
            <w:vAlign w:val="center"/>
            <w:hideMark/>
          </w:tcPr>
          <w:p w14:paraId="4E162704" w14:textId="12E72427"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881.391.</w:t>
            </w:r>
            <w:r w:rsidR="006D239E" w:rsidRPr="00D90AC3">
              <w:rPr>
                <w:rFonts w:ascii="Calibri" w:eastAsia="Times New Roman" w:hAnsi="Calibri" w:cs="Calibri"/>
                <w:b/>
                <w:bCs/>
                <w:color w:val="000000"/>
                <w:sz w:val="16"/>
                <w:szCs w:val="16"/>
              </w:rPr>
              <w:t>29</w:t>
            </w:r>
            <w:r w:rsidR="0045403B">
              <w:rPr>
                <w:rFonts w:ascii="Calibri" w:eastAsia="Times New Roman" w:hAnsi="Calibri" w:cs="Calibri"/>
                <w:b/>
                <w:bCs/>
                <w:color w:val="000000"/>
                <w:sz w:val="16"/>
                <w:szCs w:val="16"/>
              </w:rPr>
              <w:t>8</w:t>
            </w:r>
          </w:p>
        </w:tc>
        <w:tc>
          <w:tcPr>
            <w:tcW w:w="317" w:type="pct"/>
            <w:tcBorders>
              <w:top w:val="nil"/>
              <w:left w:val="nil"/>
              <w:bottom w:val="nil"/>
              <w:right w:val="nil"/>
            </w:tcBorders>
            <w:shd w:val="clear" w:color="auto" w:fill="auto"/>
            <w:noWrap/>
            <w:vAlign w:val="center"/>
            <w:hideMark/>
          </w:tcPr>
          <w:p w14:paraId="42E3948D" w14:textId="0E9B4030"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(5.044.</w:t>
            </w:r>
            <w:r w:rsidR="006D239E" w:rsidRPr="00D90AC3">
              <w:rPr>
                <w:rFonts w:ascii="Calibri" w:eastAsia="Times New Roman" w:hAnsi="Calibri" w:cs="Calibri"/>
                <w:b/>
                <w:bCs/>
                <w:color w:val="000000"/>
                <w:sz w:val="16"/>
                <w:szCs w:val="16"/>
              </w:rPr>
              <w:t>89</w:t>
            </w:r>
            <w:r w:rsidR="0045403B">
              <w:rPr>
                <w:rFonts w:ascii="Calibri" w:eastAsia="Times New Roman" w:hAnsi="Calibri" w:cs="Calibri"/>
                <w:b/>
                <w:bCs/>
                <w:color w:val="000000"/>
                <w:sz w:val="16"/>
                <w:szCs w:val="16"/>
              </w:rPr>
              <w:t>6</w:t>
            </w:r>
            <w:r w:rsidRPr="00D90AC3">
              <w:rPr>
                <w:rFonts w:ascii="Calibri" w:eastAsia="Times New Roman" w:hAnsi="Calibri" w:cs="Calibri"/>
                <w:b/>
                <w:bCs/>
                <w:color w:val="000000"/>
                <w:sz w:val="16"/>
                <w:szCs w:val="16"/>
              </w:rPr>
              <w:t>)</w:t>
            </w:r>
          </w:p>
        </w:tc>
        <w:tc>
          <w:tcPr>
            <w:tcW w:w="214" w:type="pct"/>
            <w:tcBorders>
              <w:top w:val="nil"/>
              <w:left w:val="nil"/>
              <w:bottom w:val="nil"/>
              <w:right w:val="nil"/>
            </w:tcBorders>
            <w:shd w:val="clear" w:color="auto" w:fill="auto"/>
            <w:vAlign w:val="center"/>
            <w:hideMark/>
          </w:tcPr>
          <w:p w14:paraId="2FC6C5BB"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(6)</w:t>
            </w:r>
          </w:p>
        </w:tc>
        <w:tc>
          <w:tcPr>
            <w:tcW w:w="61" w:type="pct"/>
            <w:tcBorders>
              <w:top w:val="nil"/>
              <w:left w:val="single" w:sz="4" w:space="0" w:color="156082"/>
              <w:bottom w:val="nil"/>
              <w:right w:val="nil"/>
            </w:tcBorders>
            <w:shd w:val="clear" w:color="auto" w:fill="auto"/>
            <w:noWrap/>
            <w:vAlign w:val="center"/>
            <w:hideMark/>
          </w:tcPr>
          <w:p w14:paraId="779C6EF9" w14:textId="0F6B30EA"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475A30B5" w14:textId="41DEF6BA"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Depósitos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Cauções</w:t>
            </w:r>
          </w:p>
        </w:tc>
        <w:tc>
          <w:tcPr>
            <w:tcW w:w="409" w:type="pct"/>
            <w:tcBorders>
              <w:top w:val="nil"/>
              <w:left w:val="nil"/>
              <w:bottom w:val="nil"/>
              <w:right w:val="nil"/>
            </w:tcBorders>
            <w:shd w:val="clear" w:color="auto" w:fill="auto"/>
            <w:noWrap/>
            <w:vAlign w:val="center"/>
            <w:hideMark/>
          </w:tcPr>
          <w:p w14:paraId="6A0B591B" w14:textId="422DDE9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481.453</w:t>
            </w:r>
          </w:p>
        </w:tc>
        <w:tc>
          <w:tcPr>
            <w:tcW w:w="409" w:type="pct"/>
            <w:tcBorders>
              <w:top w:val="nil"/>
              <w:left w:val="nil"/>
              <w:bottom w:val="nil"/>
              <w:right w:val="nil"/>
            </w:tcBorders>
            <w:shd w:val="clear" w:color="auto" w:fill="auto"/>
            <w:noWrap/>
            <w:vAlign w:val="center"/>
            <w:hideMark/>
          </w:tcPr>
          <w:p w14:paraId="50665A57" w14:textId="127ADFB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481.453</w:t>
            </w:r>
          </w:p>
        </w:tc>
        <w:tc>
          <w:tcPr>
            <w:tcW w:w="409" w:type="pct"/>
            <w:tcBorders>
              <w:top w:val="nil"/>
              <w:left w:val="nil"/>
              <w:bottom w:val="nil"/>
              <w:right w:val="nil"/>
            </w:tcBorders>
            <w:shd w:val="clear" w:color="auto" w:fill="auto"/>
            <w:noWrap/>
            <w:vAlign w:val="center"/>
            <w:hideMark/>
          </w:tcPr>
          <w:p w14:paraId="01A4AD47" w14:textId="050A6F7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25981EF6"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10210A89"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10E6E2D0"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Imobilizado</w:t>
            </w:r>
          </w:p>
        </w:tc>
        <w:tc>
          <w:tcPr>
            <w:tcW w:w="448" w:type="pct"/>
            <w:tcBorders>
              <w:top w:val="nil"/>
              <w:left w:val="nil"/>
              <w:bottom w:val="nil"/>
              <w:right w:val="nil"/>
            </w:tcBorders>
            <w:shd w:val="clear" w:color="auto" w:fill="auto"/>
            <w:noWrap/>
            <w:vAlign w:val="center"/>
            <w:hideMark/>
          </w:tcPr>
          <w:p w14:paraId="0497F239" w14:textId="4C7F33B8"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4.968.810.864</w:t>
            </w:r>
          </w:p>
        </w:tc>
        <w:tc>
          <w:tcPr>
            <w:tcW w:w="416" w:type="pct"/>
            <w:tcBorders>
              <w:top w:val="nil"/>
              <w:left w:val="nil"/>
              <w:bottom w:val="nil"/>
              <w:right w:val="nil"/>
            </w:tcBorders>
            <w:shd w:val="clear" w:color="auto" w:fill="auto"/>
            <w:noWrap/>
            <w:vAlign w:val="center"/>
            <w:hideMark/>
          </w:tcPr>
          <w:p w14:paraId="54343213" w14:textId="6A992FCC"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4.</w:t>
            </w:r>
            <w:r w:rsidR="007A386E">
              <w:rPr>
                <w:rFonts w:ascii="Calibri" w:eastAsia="Times New Roman" w:hAnsi="Calibri" w:cs="Calibri"/>
                <w:b/>
                <w:bCs/>
                <w:color w:val="000000"/>
                <w:sz w:val="16"/>
                <w:szCs w:val="16"/>
              </w:rPr>
              <w:t>954.760.85</w:t>
            </w:r>
            <w:r w:rsidR="00193ADF">
              <w:rPr>
                <w:rFonts w:ascii="Calibri" w:eastAsia="Times New Roman" w:hAnsi="Calibri" w:cs="Calibri"/>
                <w:b/>
                <w:bCs/>
                <w:color w:val="000000"/>
                <w:sz w:val="16"/>
                <w:szCs w:val="16"/>
              </w:rPr>
              <w:t>7</w:t>
            </w:r>
          </w:p>
        </w:tc>
        <w:tc>
          <w:tcPr>
            <w:tcW w:w="317" w:type="pct"/>
            <w:tcBorders>
              <w:top w:val="nil"/>
              <w:left w:val="nil"/>
              <w:bottom w:val="nil"/>
              <w:right w:val="nil"/>
            </w:tcBorders>
            <w:shd w:val="clear" w:color="auto" w:fill="auto"/>
            <w:noWrap/>
            <w:vAlign w:val="center"/>
            <w:hideMark/>
          </w:tcPr>
          <w:p w14:paraId="7171D3AC" w14:textId="4C949F9B" w:rsidR="00D90AC3" w:rsidRPr="00D90AC3" w:rsidRDefault="00EA1A20" w:rsidP="00D51EE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14.050.00</w:t>
            </w:r>
            <w:r w:rsidR="00193ADF">
              <w:rPr>
                <w:rFonts w:ascii="Calibri" w:eastAsia="Times New Roman" w:hAnsi="Calibri" w:cs="Calibri"/>
                <w:b/>
                <w:bCs/>
                <w:color w:val="000000"/>
                <w:sz w:val="16"/>
                <w:szCs w:val="16"/>
              </w:rPr>
              <w:t>7</w:t>
            </w:r>
          </w:p>
        </w:tc>
        <w:tc>
          <w:tcPr>
            <w:tcW w:w="214" w:type="pct"/>
            <w:tcBorders>
              <w:top w:val="nil"/>
              <w:left w:val="nil"/>
              <w:bottom w:val="nil"/>
              <w:right w:val="nil"/>
            </w:tcBorders>
            <w:shd w:val="clear" w:color="auto" w:fill="auto"/>
            <w:vAlign w:val="center"/>
            <w:hideMark/>
          </w:tcPr>
          <w:p w14:paraId="36D26658"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40AD175C" w14:textId="77777777"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 </w:t>
            </w:r>
          </w:p>
        </w:tc>
        <w:tc>
          <w:tcPr>
            <w:tcW w:w="1046" w:type="pct"/>
            <w:tcBorders>
              <w:top w:val="nil"/>
              <w:left w:val="nil"/>
              <w:bottom w:val="nil"/>
              <w:right w:val="nil"/>
            </w:tcBorders>
            <w:shd w:val="clear" w:color="auto" w:fill="auto"/>
            <w:noWrap/>
            <w:vAlign w:val="center"/>
            <w:hideMark/>
          </w:tcPr>
          <w:p w14:paraId="4B65F2A6" w14:textId="01B5066F"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Receita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Diferir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Pátios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Terminais</w:t>
            </w:r>
          </w:p>
        </w:tc>
        <w:tc>
          <w:tcPr>
            <w:tcW w:w="409" w:type="pct"/>
            <w:tcBorders>
              <w:top w:val="nil"/>
              <w:left w:val="nil"/>
              <w:bottom w:val="nil"/>
              <w:right w:val="nil"/>
            </w:tcBorders>
            <w:shd w:val="clear" w:color="auto" w:fill="auto"/>
            <w:noWrap/>
            <w:vAlign w:val="center"/>
            <w:hideMark/>
          </w:tcPr>
          <w:p w14:paraId="211A960F" w14:textId="6F76C0B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46.558.71</w:t>
            </w:r>
            <w:r w:rsidR="006825CA">
              <w:rPr>
                <w:rFonts w:ascii="Calibri" w:eastAsia="Times New Roman" w:hAnsi="Calibri" w:cs="Calibri"/>
                <w:color w:val="000000"/>
                <w:sz w:val="16"/>
                <w:szCs w:val="16"/>
              </w:rPr>
              <w:t>5</w:t>
            </w:r>
          </w:p>
        </w:tc>
        <w:tc>
          <w:tcPr>
            <w:tcW w:w="409" w:type="pct"/>
            <w:tcBorders>
              <w:top w:val="nil"/>
              <w:left w:val="nil"/>
              <w:bottom w:val="nil"/>
              <w:right w:val="nil"/>
            </w:tcBorders>
            <w:shd w:val="clear" w:color="auto" w:fill="auto"/>
            <w:noWrap/>
            <w:vAlign w:val="center"/>
            <w:hideMark/>
          </w:tcPr>
          <w:p w14:paraId="13FB896E" w14:textId="11E29435"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33D3FB7B" w14:textId="6EE861B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46.558.71</w:t>
            </w:r>
            <w:r w:rsidR="006825CA">
              <w:rPr>
                <w:rFonts w:ascii="Calibri" w:eastAsia="Times New Roman" w:hAnsi="Calibri" w:cs="Calibri"/>
                <w:color w:val="000000"/>
                <w:sz w:val="16"/>
                <w:szCs w:val="16"/>
              </w:rPr>
              <w:t>5</w:t>
            </w:r>
          </w:p>
        </w:tc>
        <w:tc>
          <w:tcPr>
            <w:tcW w:w="225" w:type="pct"/>
            <w:tcBorders>
              <w:top w:val="nil"/>
              <w:left w:val="nil"/>
              <w:bottom w:val="nil"/>
              <w:right w:val="nil"/>
            </w:tcBorders>
            <w:shd w:val="clear" w:color="auto" w:fill="auto"/>
            <w:vAlign w:val="center"/>
            <w:hideMark/>
          </w:tcPr>
          <w:p w14:paraId="66637233"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(2)</w:t>
            </w:r>
          </w:p>
        </w:tc>
      </w:tr>
      <w:tr w:rsidR="002641B5" w:rsidRPr="00D90AC3" w14:paraId="3A535965"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5E9DF4D9"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xml:space="preserve"> Bens Móveis</w:t>
            </w:r>
          </w:p>
        </w:tc>
        <w:tc>
          <w:tcPr>
            <w:tcW w:w="448" w:type="pct"/>
            <w:tcBorders>
              <w:top w:val="nil"/>
              <w:left w:val="nil"/>
              <w:bottom w:val="nil"/>
              <w:right w:val="nil"/>
            </w:tcBorders>
            <w:shd w:val="clear" w:color="auto" w:fill="auto"/>
            <w:noWrap/>
            <w:vAlign w:val="center"/>
            <w:hideMark/>
          </w:tcPr>
          <w:p w14:paraId="6CC702D2" w14:textId="4D13DEDB"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5.669.027</w:t>
            </w:r>
          </w:p>
        </w:tc>
        <w:tc>
          <w:tcPr>
            <w:tcW w:w="416" w:type="pct"/>
            <w:tcBorders>
              <w:top w:val="nil"/>
              <w:left w:val="nil"/>
              <w:bottom w:val="nil"/>
              <w:right w:val="nil"/>
            </w:tcBorders>
            <w:shd w:val="clear" w:color="auto" w:fill="auto"/>
            <w:noWrap/>
            <w:vAlign w:val="center"/>
            <w:hideMark/>
          </w:tcPr>
          <w:p w14:paraId="29C411E6" w14:textId="182DF05C"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1.984.529</w:t>
            </w:r>
          </w:p>
        </w:tc>
        <w:tc>
          <w:tcPr>
            <w:tcW w:w="317" w:type="pct"/>
            <w:tcBorders>
              <w:top w:val="nil"/>
              <w:left w:val="nil"/>
              <w:bottom w:val="nil"/>
              <w:right w:val="nil"/>
            </w:tcBorders>
            <w:shd w:val="clear" w:color="auto" w:fill="auto"/>
            <w:noWrap/>
            <w:vAlign w:val="center"/>
            <w:hideMark/>
          </w:tcPr>
          <w:p w14:paraId="61EF75B3" w14:textId="4555F71C"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3.684.498</w:t>
            </w:r>
          </w:p>
        </w:tc>
        <w:tc>
          <w:tcPr>
            <w:tcW w:w="214" w:type="pct"/>
            <w:tcBorders>
              <w:top w:val="nil"/>
              <w:left w:val="nil"/>
              <w:bottom w:val="nil"/>
              <w:right w:val="nil"/>
            </w:tcBorders>
            <w:shd w:val="clear" w:color="auto" w:fill="auto"/>
            <w:vAlign w:val="center"/>
            <w:hideMark/>
          </w:tcPr>
          <w:p w14:paraId="3A83495E"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59A25FDB" w14:textId="77777777"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 </w:t>
            </w:r>
          </w:p>
        </w:tc>
        <w:tc>
          <w:tcPr>
            <w:tcW w:w="1046" w:type="pct"/>
            <w:tcBorders>
              <w:top w:val="nil"/>
              <w:left w:val="nil"/>
              <w:bottom w:val="nil"/>
              <w:right w:val="nil"/>
            </w:tcBorders>
            <w:shd w:val="clear" w:color="auto" w:fill="auto"/>
            <w:noWrap/>
            <w:vAlign w:val="center"/>
            <w:hideMark/>
          </w:tcPr>
          <w:p w14:paraId="4544440D" w14:textId="10C80FB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Receita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Diferir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Subconcessão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FIOL</w:t>
            </w:r>
          </w:p>
        </w:tc>
        <w:tc>
          <w:tcPr>
            <w:tcW w:w="409" w:type="pct"/>
            <w:tcBorders>
              <w:top w:val="nil"/>
              <w:left w:val="nil"/>
              <w:bottom w:val="nil"/>
              <w:right w:val="nil"/>
            </w:tcBorders>
            <w:shd w:val="clear" w:color="auto" w:fill="auto"/>
            <w:noWrap/>
            <w:vAlign w:val="center"/>
            <w:hideMark/>
          </w:tcPr>
          <w:p w14:paraId="66F38B59" w14:textId="0531EF3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29.457.000</w:t>
            </w:r>
          </w:p>
        </w:tc>
        <w:tc>
          <w:tcPr>
            <w:tcW w:w="409" w:type="pct"/>
            <w:tcBorders>
              <w:top w:val="nil"/>
              <w:left w:val="nil"/>
              <w:bottom w:val="nil"/>
              <w:right w:val="nil"/>
            </w:tcBorders>
            <w:shd w:val="clear" w:color="auto" w:fill="auto"/>
            <w:noWrap/>
            <w:vAlign w:val="center"/>
            <w:hideMark/>
          </w:tcPr>
          <w:p w14:paraId="2835D35D" w14:textId="7170C85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33FA5E31" w14:textId="64B70F8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29.457.000</w:t>
            </w:r>
          </w:p>
        </w:tc>
        <w:tc>
          <w:tcPr>
            <w:tcW w:w="225" w:type="pct"/>
            <w:tcBorders>
              <w:top w:val="nil"/>
              <w:left w:val="nil"/>
              <w:bottom w:val="nil"/>
              <w:right w:val="nil"/>
            </w:tcBorders>
            <w:shd w:val="clear" w:color="auto" w:fill="auto"/>
            <w:vAlign w:val="center"/>
            <w:hideMark/>
          </w:tcPr>
          <w:p w14:paraId="26FC5B9D" w14:textId="77777777" w:rsidR="00D90AC3" w:rsidRPr="00D90AC3" w:rsidRDefault="00D90AC3"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(13)</w:t>
            </w:r>
          </w:p>
        </w:tc>
      </w:tr>
      <w:tr w:rsidR="002641B5" w:rsidRPr="00D90AC3" w14:paraId="3626F6D4" w14:textId="77777777" w:rsidTr="002641B5">
        <w:trPr>
          <w:trHeight w:hRule="exact" w:val="227"/>
        </w:trPr>
        <w:tc>
          <w:tcPr>
            <w:tcW w:w="51" w:type="pct"/>
            <w:tcBorders>
              <w:top w:val="nil"/>
              <w:left w:val="nil"/>
              <w:bottom w:val="nil"/>
              <w:right w:val="nil"/>
            </w:tcBorders>
            <w:shd w:val="clear" w:color="auto" w:fill="auto"/>
            <w:noWrap/>
            <w:vAlign w:val="center"/>
            <w:hideMark/>
          </w:tcPr>
          <w:p w14:paraId="2A995CD9"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588BAC8C" w14:textId="4B6644FD"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Móveis</w:t>
            </w:r>
          </w:p>
        </w:tc>
        <w:tc>
          <w:tcPr>
            <w:tcW w:w="448" w:type="pct"/>
            <w:tcBorders>
              <w:top w:val="nil"/>
              <w:left w:val="nil"/>
              <w:bottom w:val="nil"/>
              <w:right w:val="nil"/>
            </w:tcBorders>
            <w:shd w:val="clear" w:color="auto" w:fill="auto"/>
            <w:noWrap/>
            <w:vAlign w:val="center"/>
            <w:hideMark/>
          </w:tcPr>
          <w:p w14:paraId="01676E26" w14:textId="3CD5B2B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49.853.710</w:t>
            </w:r>
          </w:p>
        </w:tc>
        <w:tc>
          <w:tcPr>
            <w:tcW w:w="416" w:type="pct"/>
            <w:tcBorders>
              <w:top w:val="nil"/>
              <w:left w:val="nil"/>
              <w:bottom w:val="nil"/>
              <w:right w:val="nil"/>
            </w:tcBorders>
            <w:shd w:val="clear" w:color="auto" w:fill="auto"/>
            <w:noWrap/>
            <w:vAlign w:val="center"/>
            <w:hideMark/>
          </w:tcPr>
          <w:p w14:paraId="77F961DF" w14:textId="3A7E6B5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49.853.710</w:t>
            </w:r>
          </w:p>
        </w:tc>
        <w:tc>
          <w:tcPr>
            <w:tcW w:w="317" w:type="pct"/>
            <w:tcBorders>
              <w:top w:val="nil"/>
              <w:left w:val="nil"/>
              <w:bottom w:val="nil"/>
              <w:right w:val="nil"/>
            </w:tcBorders>
            <w:shd w:val="clear" w:color="auto" w:fill="auto"/>
            <w:noWrap/>
            <w:vAlign w:val="center"/>
            <w:hideMark/>
          </w:tcPr>
          <w:p w14:paraId="352C9F73" w14:textId="7DCB89B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0BEDD253"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3DAA81EF" w14:textId="3538C830"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5147881D" w14:textId="66102810"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Investimento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Cruzado</w:t>
            </w:r>
          </w:p>
        </w:tc>
        <w:tc>
          <w:tcPr>
            <w:tcW w:w="409" w:type="pct"/>
            <w:tcBorders>
              <w:top w:val="nil"/>
              <w:left w:val="nil"/>
              <w:bottom w:val="nil"/>
              <w:right w:val="nil"/>
            </w:tcBorders>
            <w:shd w:val="clear" w:color="auto" w:fill="auto"/>
            <w:noWrap/>
            <w:vAlign w:val="center"/>
            <w:hideMark/>
          </w:tcPr>
          <w:p w14:paraId="403D95A7" w14:textId="3030B15A"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1.451.284.722</w:t>
            </w:r>
          </w:p>
        </w:tc>
        <w:tc>
          <w:tcPr>
            <w:tcW w:w="409" w:type="pct"/>
            <w:tcBorders>
              <w:top w:val="nil"/>
              <w:left w:val="nil"/>
              <w:bottom w:val="nil"/>
              <w:right w:val="nil"/>
            </w:tcBorders>
            <w:shd w:val="clear" w:color="auto" w:fill="auto"/>
            <w:noWrap/>
            <w:vAlign w:val="center"/>
            <w:hideMark/>
          </w:tcPr>
          <w:p w14:paraId="15A30EB3" w14:textId="3EB03B3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409" w:type="pct"/>
            <w:tcBorders>
              <w:top w:val="nil"/>
              <w:left w:val="nil"/>
              <w:bottom w:val="nil"/>
              <w:right w:val="nil"/>
            </w:tcBorders>
            <w:shd w:val="clear" w:color="auto" w:fill="auto"/>
            <w:noWrap/>
            <w:vAlign w:val="center"/>
            <w:hideMark/>
          </w:tcPr>
          <w:p w14:paraId="2B779323" w14:textId="1FF9A489"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1.451.284.722</w:t>
            </w:r>
          </w:p>
        </w:tc>
        <w:tc>
          <w:tcPr>
            <w:tcW w:w="225" w:type="pct"/>
            <w:tcBorders>
              <w:top w:val="nil"/>
              <w:left w:val="nil"/>
              <w:bottom w:val="nil"/>
              <w:right w:val="nil"/>
            </w:tcBorders>
            <w:shd w:val="clear" w:color="auto" w:fill="auto"/>
            <w:vAlign w:val="center"/>
            <w:hideMark/>
          </w:tcPr>
          <w:p w14:paraId="255482B4" w14:textId="77777777" w:rsidR="00D90AC3" w:rsidRPr="00D90AC3" w:rsidRDefault="00D90AC3" w:rsidP="00D51EE7">
            <w:pPr>
              <w:spacing w:after="0" w:line="240" w:lineRule="auto"/>
              <w:rPr>
                <w:rFonts w:ascii="Calibri" w:eastAsia="Times New Roman" w:hAnsi="Calibri" w:cs="Calibri"/>
                <w:sz w:val="16"/>
                <w:szCs w:val="16"/>
              </w:rPr>
            </w:pPr>
            <w:bookmarkStart w:id="115" w:name="RANGE!M26"/>
            <w:r w:rsidRPr="00D90AC3">
              <w:rPr>
                <w:rFonts w:ascii="Calibri" w:eastAsia="Times New Roman" w:hAnsi="Calibri" w:cs="Calibri"/>
                <w:sz w:val="16"/>
                <w:szCs w:val="16"/>
              </w:rPr>
              <w:t>(15)</w:t>
            </w:r>
            <w:bookmarkEnd w:id="115"/>
          </w:p>
        </w:tc>
      </w:tr>
      <w:tr w:rsidR="002641B5" w:rsidRPr="00D90AC3" w14:paraId="4FE31846" w14:textId="77777777" w:rsidTr="002641B5">
        <w:trPr>
          <w:trHeight w:hRule="exact" w:val="227"/>
        </w:trPr>
        <w:tc>
          <w:tcPr>
            <w:tcW w:w="51" w:type="pct"/>
            <w:tcBorders>
              <w:top w:val="nil"/>
              <w:left w:val="nil"/>
              <w:bottom w:val="nil"/>
              <w:right w:val="nil"/>
            </w:tcBorders>
            <w:shd w:val="clear" w:color="auto" w:fill="auto"/>
            <w:noWrap/>
            <w:vAlign w:val="center"/>
            <w:hideMark/>
          </w:tcPr>
          <w:p w14:paraId="0FD7E8C7"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6909D1E3" w14:textId="51400C4D"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Depreciação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Acumulada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Móveis</w:t>
            </w:r>
          </w:p>
        </w:tc>
        <w:tc>
          <w:tcPr>
            <w:tcW w:w="448" w:type="pct"/>
            <w:tcBorders>
              <w:top w:val="nil"/>
              <w:left w:val="nil"/>
              <w:bottom w:val="nil"/>
              <w:right w:val="nil"/>
            </w:tcBorders>
            <w:shd w:val="clear" w:color="auto" w:fill="auto"/>
            <w:noWrap/>
            <w:vAlign w:val="center"/>
            <w:hideMark/>
          </w:tcPr>
          <w:p w14:paraId="38C5E920" w14:textId="1119538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(44.166.18</w:t>
            </w:r>
            <w:r w:rsidR="00942ADE">
              <w:rPr>
                <w:rFonts w:ascii="Calibri" w:eastAsia="Times New Roman" w:hAnsi="Calibri" w:cs="Calibri"/>
                <w:color w:val="000000"/>
                <w:sz w:val="16"/>
                <w:szCs w:val="16"/>
              </w:rPr>
              <w:t>0</w:t>
            </w:r>
            <w:r w:rsidRPr="00D90AC3">
              <w:rPr>
                <w:rFonts w:ascii="Calibri" w:eastAsia="Times New Roman" w:hAnsi="Calibri" w:cs="Calibri"/>
                <w:color w:val="000000"/>
                <w:sz w:val="16"/>
                <w:szCs w:val="16"/>
              </w:rPr>
              <w:t>)</w:t>
            </w:r>
          </w:p>
        </w:tc>
        <w:tc>
          <w:tcPr>
            <w:tcW w:w="416" w:type="pct"/>
            <w:tcBorders>
              <w:top w:val="nil"/>
              <w:left w:val="nil"/>
              <w:bottom w:val="nil"/>
              <w:right w:val="nil"/>
            </w:tcBorders>
            <w:shd w:val="clear" w:color="auto" w:fill="auto"/>
            <w:noWrap/>
            <w:vAlign w:val="center"/>
            <w:hideMark/>
          </w:tcPr>
          <w:p w14:paraId="1B8D4D8A" w14:textId="32ED83A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(47.869.181)</w:t>
            </w:r>
          </w:p>
        </w:tc>
        <w:tc>
          <w:tcPr>
            <w:tcW w:w="317" w:type="pct"/>
            <w:tcBorders>
              <w:top w:val="nil"/>
              <w:left w:val="nil"/>
              <w:bottom w:val="nil"/>
              <w:right w:val="nil"/>
            </w:tcBorders>
            <w:shd w:val="clear" w:color="auto" w:fill="auto"/>
            <w:noWrap/>
            <w:vAlign w:val="center"/>
            <w:hideMark/>
          </w:tcPr>
          <w:p w14:paraId="16E4639A" w14:textId="3D4D90E1"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3.703.00</w:t>
            </w:r>
            <w:r w:rsidR="00942ADE">
              <w:rPr>
                <w:rFonts w:ascii="Calibri" w:eastAsia="Times New Roman" w:hAnsi="Calibri" w:cs="Calibri"/>
                <w:color w:val="000000"/>
                <w:sz w:val="16"/>
                <w:szCs w:val="16"/>
              </w:rPr>
              <w:t>1</w:t>
            </w:r>
          </w:p>
        </w:tc>
        <w:tc>
          <w:tcPr>
            <w:tcW w:w="214" w:type="pct"/>
            <w:tcBorders>
              <w:top w:val="nil"/>
              <w:left w:val="nil"/>
              <w:bottom w:val="nil"/>
              <w:right w:val="nil"/>
            </w:tcBorders>
            <w:shd w:val="clear" w:color="auto" w:fill="auto"/>
            <w:vAlign w:val="center"/>
            <w:hideMark/>
          </w:tcPr>
          <w:p w14:paraId="52CDD4D3"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(7)</w:t>
            </w:r>
          </w:p>
        </w:tc>
        <w:tc>
          <w:tcPr>
            <w:tcW w:w="61" w:type="pct"/>
            <w:tcBorders>
              <w:top w:val="nil"/>
              <w:left w:val="single" w:sz="4" w:space="0" w:color="156082"/>
              <w:bottom w:val="nil"/>
              <w:right w:val="nil"/>
            </w:tcBorders>
            <w:shd w:val="clear" w:color="auto" w:fill="auto"/>
            <w:noWrap/>
            <w:vAlign w:val="center"/>
            <w:hideMark/>
          </w:tcPr>
          <w:p w14:paraId="3D6A803D" w14:textId="5E64B12D"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39C678FB" w14:textId="2356258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Arrendamentos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Ativos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Direito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Uso</w:t>
            </w:r>
          </w:p>
        </w:tc>
        <w:tc>
          <w:tcPr>
            <w:tcW w:w="409" w:type="pct"/>
            <w:tcBorders>
              <w:top w:val="nil"/>
              <w:left w:val="nil"/>
              <w:bottom w:val="nil"/>
              <w:right w:val="nil"/>
            </w:tcBorders>
            <w:shd w:val="clear" w:color="auto" w:fill="auto"/>
            <w:noWrap/>
            <w:vAlign w:val="center"/>
            <w:hideMark/>
          </w:tcPr>
          <w:p w14:paraId="0E1C0057" w14:textId="5C8EF454"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6.219.306</w:t>
            </w:r>
          </w:p>
        </w:tc>
        <w:tc>
          <w:tcPr>
            <w:tcW w:w="409" w:type="pct"/>
            <w:tcBorders>
              <w:top w:val="nil"/>
              <w:left w:val="nil"/>
              <w:bottom w:val="nil"/>
              <w:right w:val="nil"/>
            </w:tcBorders>
            <w:shd w:val="clear" w:color="auto" w:fill="auto"/>
            <w:noWrap/>
            <w:vAlign w:val="center"/>
            <w:hideMark/>
          </w:tcPr>
          <w:p w14:paraId="6345C433" w14:textId="2A767F27"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6.219.306</w:t>
            </w:r>
          </w:p>
        </w:tc>
        <w:tc>
          <w:tcPr>
            <w:tcW w:w="409" w:type="pct"/>
            <w:tcBorders>
              <w:top w:val="nil"/>
              <w:left w:val="nil"/>
              <w:bottom w:val="nil"/>
              <w:right w:val="nil"/>
            </w:tcBorders>
            <w:shd w:val="clear" w:color="auto" w:fill="auto"/>
            <w:noWrap/>
            <w:vAlign w:val="center"/>
            <w:hideMark/>
          </w:tcPr>
          <w:p w14:paraId="0684B405" w14:textId="0D583D3F"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noWrap/>
            <w:vAlign w:val="center"/>
            <w:hideMark/>
          </w:tcPr>
          <w:p w14:paraId="2BFACEFA"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2532466D" w14:textId="77777777" w:rsidTr="002641B5">
        <w:trPr>
          <w:trHeight w:hRule="exact" w:val="227"/>
        </w:trPr>
        <w:tc>
          <w:tcPr>
            <w:tcW w:w="51" w:type="pct"/>
            <w:tcBorders>
              <w:top w:val="nil"/>
              <w:left w:val="nil"/>
              <w:bottom w:val="nil"/>
              <w:right w:val="nil"/>
            </w:tcBorders>
            <w:shd w:val="clear" w:color="auto" w:fill="auto"/>
            <w:noWrap/>
            <w:vAlign w:val="center"/>
            <w:hideMark/>
          </w:tcPr>
          <w:p w14:paraId="56270BE5"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3300418F" w14:textId="505495EA"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Redução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Valor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Recuperável</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Móveis</w:t>
            </w:r>
          </w:p>
        </w:tc>
        <w:tc>
          <w:tcPr>
            <w:tcW w:w="448" w:type="pct"/>
            <w:tcBorders>
              <w:top w:val="nil"/>
              <w:left w:val="nil"/>
              <w:bottom w:val="nil"/>
              <w:right w:val="nil"/>
            </w:tcBorders>
            <w:shd w:val="clear" w:color="auto" w:fill="auto"/>
            <w:noWrap/>
            <w:vAlign w:val="center"/>
            <w:hideMark/>
          </w:tcPr>
          <w:p w14:paraId="2BDFDDF9" w14:textId="3B92C7E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(18.50</w:t>
            </w:r>
            <w:r w:rsidR="00942ADE">
              <w:rPr>
                <w:rFonts w:ascii="Calibri" w:eastAsia="Times New Roman" w:hAnsi="Calibri" w:cs="Calibri"/>
                <w:color w:val="000000"/>
                <w:sz w:val="16"/>
                <w:szCs w:val="16"/>
              </w:rPr>
              <w:t>3</w:t>
            </w:r>
            <w:r w:rsidRPr="00D90AC3">
              <w:rPr>
                <w:rFonts w:ascii="Calibri" w:eastAsia="Times New Roman" w:hAnsi="Calibri" w:cs="Calibri"/>
                <w:color w:val="000000"/>
                <w:sz w:val="16"/>
                <w:szCs w:val="16"/>
              </w:rPr>
              <w:t>)</w:t>
            </w:r>
          </w:p>
        </w:tc>
        <w:tc>
          <w:tcPr>
            <w:tcW w:w="416" w:type="pct"/>
            <w:tcBorders>
              <w:top w:val="nil"/>
              <w:left w:val="nil"/>
              <w:bottom w:val="nil"/>
              <w:right w:val="nil"/>
            </w:tcBorders>
            <w:shd w:val="clear" w:color="auto" w:fill="auto"/>
            <w:noWrap/>
            <w:vAlign w:val="center"/>
            <w:hideMark/>
          </w:tcPr>
          <w:p w14:paraId="465356D3" w14:textId="224BBAD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317" w:type="pct"/>
            <w:tcBorders>
              <w:top w:val="nil"/>
              <w:left w:val="nil"/>
              <w:bottom w:val="nil"/>
              <w:right w:val="nil"/>
            </w:tcBorders>
            <w:shd w:val="clear" w:color="auto" w:fill="auto"/>
            <w:noWrap/>
            <w:vAlign w:val="center"/>
            <w:hideMark/>
          </w:tcPr>
          <w:p w14:paraId="0636AD6E" w14:textId="7A7613BA"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(18.50</w:t>
            </w:r>
            <w:r w:rsidR="00942ADE">
              <w:rPr>
                <w:rFonts w:ascii="Calibri" w:eastAsia="Times New Roman" w:hAnsi="Calibri" w:cs="Calibri"/>
                <w:color w:val="000000"/>
                <w:sz w:val="16"/>
                <w:szCs w:val="16"/>
              </w:rPr>
              <w:t>3</w:t>
            </w: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7AA80117"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(8)</w:t>
            </w:r>
          </w:p>
        </w:tc>
        <w:tc>
          <w:tcPr>
            <w:tcW w:w="61" w:type="pct"/>
            <w:tcBorders>
              <w:top w:val="nil"/>
              <w:left w:val="single" w:sz="4" w:space="0" w:color="156082"/>
              <w:bottom w:val="nil"/>
              <w:right w:val="nil"/>
            </w:tcBorders>
            <w:shd w:val="clear" w:color="auto" w:fill="auto"/>
            <w:noWrap/>
            <w:vAlign w:val="center"/>
            <w:hideMark/>
          </w:tcPr>
          <w:p w14:paraId="1A3ECF09" w14:textId="57EE0016"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76995386" w14:textId="77777777"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732631EA"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1B55D020"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461E27AD"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0DE4FFB4"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05B2613D" w14:textId="77777777" w:rsidTr="002641B5">
        <w:trPr>
          <w:trHeight w:hRule="exact" w:val="227"/>
        </w:trPr>
        <w:tc>
          <w:tcPr>
            <w:tcW w:w="51" w:type="pct"/>
            <w:tcBorders>
              <w:top w:val="nil"/>
              <w:left w:val="nil"/>
              <w:bottom w:val="nil"/>
              <w:right w:val="nil"/>
            </w:tcBorders>
            <w:shd w:val="clear" w:color="auto" w:fill="auto"/>
            <w:noWrap/>
            <w:vAlign w:val="center"/>
            <w:hideMark/>
          </w:tcPr>
          <w:p w14:paraId="14C4999E"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554609F4" w14:textId="58080C5F"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Bens</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Imóveis</w:t>
            </w:r>
          </w:p>
        </w:tc>
        <w:tc>
          <w:tcPr>
            <w:tcW w:w="448" w:type="pct"/>
            <w:tcBorders>
              <w:top w:val="nil"/>
              <w:left w:val="nil"/>
              <w:bottom w:val="nil"/>
              <w:right w:val="nil"/>
            </w:tcBorders>
            <w:shd w:val="clear" w:color="auto" w:fill="auto"/>
            <w:noWrap/>
            <w:vAlign w:val="center"/>
            <w:hideMark/>
          </w:tcPr>
          <w:p w14:paraId="7AF8C162" w14:textId="6C64C256"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4.963.141.837</w:t>
            </w:r>
          </w:p>
        </w:tc>
        <w:tc>
          <w:tcPr>
            <w:tcW w:w="416" w:type="pct"/>
            <w:tcBorders>
              <w:top w:val="nil"/>
              <w:left w:val="nil"/>
              <w:bottom w:val="nil"/>
              <w:right w:val="nil"/>
            </w:tcBorders>
            <w:shd w:val="clear" w:color="auto" w:fill="auto"/>
            <w:noWrap/>
            <w:vAlign w:val="center"/>
            <w:hideMark/>
          </w:tcPr>
          <w:p w14:paraId="341FD473" w14:textId="784B167F"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4.9</w:t>
            </w:r>
            <w:r w:rsidR="009F3B25">
              <w:rPr>
                <w:rFonts w:ascii="Calibri" w:eastAsia="Times New Roman" w:hAnsi="Calibri" w:cs="Calibri"/>
                <w:b/>
                <w:bCs/>
                <w:color w:val="000000"/>
                <w:sz w:val="16"/>
                <w:szCs w:val="16"/>
              </w:rPr>
              <w:t>52.776.32</w:t>
            </w:r>
            <w:r w:rsidR="00076AFC">
              <w:rPr>
                <w:rFonts w:ascii="Calibri" w:eastAsia="Times New Roman" w:hAnsi="Calibri" w:cs="Calibri"/>
                <w:b/>
                <w:bCs/>
                <w:color w:val="000000"/>
                <w:sz w:val="16"/>
                <w:szCs w:val="16"/>
              </w:rPr>
              <w:t>8</w:t>
            </w:r>
          </w:p>
        </w:tc>
        <w:tc>
          <w:tcPr>
            <w:tcW w:w="317" w:type="pct"/>
            <w:tcBorders>
              <w:top w:val="nil"/>
              <w:left w:val="nil"/>
              <w:bottom w:val="nil"/>
              <w:right w:val="nil"/>
            </w:tcBorders>
            <w:shd w:val="clear" w:color="auto" w:fill="auto"/>
            <w:noWrap/>
            <w:vAlign w:val="center"/>
            <w:hideMark/>
          </w:tcPr>
          <w:p w14:paraId="4425FF64" w14:textId="64131539" w:rsidR="00D90AC3" w:rsidRPr="00D90AC3" w:rsidRDefault="008D6573" w:rsidP="00D51EE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10.365.5</w:t>
            </w:r>
            <w:r w:rsidR="008C04AE">
              <w:rPr>
                <w:rFonts w:ascii="Calibri" w:eastAsia="Times New Roman" w:hAnsi="Calibri" w:cs="Calibri"/>
                <w:b/>
                <w:bCs/>
                <w:color w:val="000000"/>
                <w:sz w:val="16"/>
                <w:szCs w:val="16"/>
              </w:rPr>
              <w:t>09</w:t>
            </w:r>
          </w:p>
        </w:tc>
        <w:tc>
          <w:tcPr>
            <w:tcW w:w="214" w:type="pct"/>
            <w:tcBorders>
              <w:top w:val="nil"/>
              <w:left w:val="nil"/>
              <w:bottom w:val="nil"/>
              <w:right w:val="nil"/>
            </w:tcBorders>
            <w:shd w:val="clear" w:color="auto" w:fill="auto"/>
            <w:vAlign w:val="center"/>
            <w:hideMark/>
          </w:tcPr>
          <w:p w14:paraId="00C38157" w14:textId="26F21D05" w:rsidR="00D90AC3" w:rsidRPr="00D90AC3" w:rsidRDefault="00DC12DB" w:rsidP="00D51EE7">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color w:val="000000"/>
                <w:sz w:val="16"/>
                <w:szCs w:val="16"/>
              </w:rPr>
              <w:t>(9)</w:t>
            </w:r>
          </w:p>
        </w:tc>
        <w:tc>
          <w:tcPr>
            <w:tcW w:w="1107" w:type="pct"/>
            <w:gridSpan w:val="2"/>
            <w:tcBorders>
              <w:top w:val="nil"/>
              <w:left w:val="single" w:sz="4" w:space="0" w:color="156082"/>
              <w:bottom w:val="nil"/>
              <w:right w:val="nil"/>
            </w:tcBorders>
            <w:shd w:val="clear" w:color="auto" w:fill="auto"/>
            <w:noWrap/>
            <w:vAlign w:val="center"/>
            <w:hideMark/>
          </w:tcPr>
          <w:p w14:paraId="67458A32" w14:textId="33FC9821"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TOTAL</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DO</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PASSIVO</w:t>
            </w:r>
          </w:p>
        </w:tc>
        <w:tc>
          <w:tcPr>
            <w:tcW w:w="409" w:type="pct"/>
            <w:tcBorders>
              <w:top w:val="nil"/>
              <w:left w:val="nil"/>
              <w:bottom w:val="nil"/>
              <w:right w:val="nil"/>
            </w:tcBorders>
            <w:shd w:val="clear" w:color="auto" w:fill="auto"/>
            <w:noWrap/>
            <w:vAlign w:val="center"/>
            <w:hideMark/>
          </w:tcPr>
          <w:p w14:paraId="71D384B7" w14:textId="1A3A68E9"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3.664.177.231</w:t>
            </w:r>
          </w:p>
        </w:tc>
        <w:tc>
          <w:tcPr>
            <w:tcW w:w="409" w:type="pct"/>
            <w:tcBorders>
              <w:top w:val="nil"/>
              <w:left w:val="nil"/>
              <w:bottom w:val="nil"/>
              <w:right w:val="nil"/>
            </w:tcBorders>
            <w:shd w:val="clear" w:color="auto" w:fill="auto"/>
            <w:noWrap/>
            <w:vAlign w:val="center"/>
            <w:hideMark/>
          </w:tcPr>
          <w:p w14:paraId="5A976301" w14:textId="427E9E53"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2.128.372.39</w:t>
            </w:r>
            <w:r w:rsidR="00191FCB">
              <w:rPr>
                <w:rFonts w:ascii="Calibri" w:eastAsia="Times New Roman" w:hAnsi="Calibri" w:cs="Calibri"/>
                <w:b/>
                <w:bCs/>
                <w:color w:val="000000"/>
                <w:sz w:val="16"/>
                <w:szCs w:val="16"/>
              </w:rPr>
              <w:t>9</w:t>
            </w:r>
          </w:p>
        </w:tc>
        <w:tc>
          <w:tcPr>
            <w:tcW w:w="409" w:type="pct"/>
            <w:tcBorders>
              <w:top w:val="nil"/>
              <w:left w:val="nil"/>
              <w:bottom w:val="nil"/>
              <w:right w:val="nil"/>
            </w:tcBorders>
            <w:shd w:val="clear" w:color="auto" w:fill="auto"/>
            <w:noWrap/>
            <w:vAlign w:val="center"/>
            <w:hideMark/>
          </w:tcPr>
          <w:p w14:paraId="7CBE0762" w14:textId="476DA7C1"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1.535.804.83</w:t>
            </w:r>
            <w:r w:rsidR="00191FCB">
              <w:rPr>
                <w:rFonts w:ascii="Calibri" w:eastAsia="Times New Roman" w:hAnsi="Calibri" w:cs="Calibri"/>
                <w:b/>
                <w:bCs/>
                <w:color w:val="000000"/>
                <w:sz w:val="16"/>
                <w:szCs w:val="16"/>
              </w:rPr>
              <w:t>2</w:t>
            </w:r>
          </w:p>
        </w:tc>
        <w:tc>
          <w:tcPr>
            <w:tcW w:w="225" w:type="pct"/>
            <w:tcBorders>
              <w:top w:val="nil"/>
              <w:left w:val="nil"/>
              <w:bottom w:val="nil"/>
              <w:right w:val="nil"/>
            </w:tcBorders>
            <w:shd w:val="clear" w:color="auto" w:fill="auto"/>
            <w:vAlign w:val="center"/>
            <w:hideMark/>
          </w:tcPr>
          <w:p w14:paraId="212E3BA1" w14:textId="77777777" w:rsidR="00D90AC3" w:rsidRPr="00D90AC3" w:rsidRDefault="00D90AC3" w:rsidP="00D51EE7">
            <w:pPr>
              <w:spacing w:after="0" w:line="240" w:lineRule="auto"/>
              <w:rPr>
                <w:rFonts w:ascii="Calibri" w:eastAsia="Times New Roman" w:hAnsi="Calibri" w:cs="Calibri"/>
                <w:b/>
                <w:bCs/>
                <w:color w:val="000000"/>
                <w:sz w:val="16"/>
                <w:szCs w:val="16"/>
              </w:rPr>
            </w:pPr>
          </w:p>
        </w:tc>
      </w:tr>
      <w:tr w:rsidR="002641B5" w:rsidRPr="00D90AC3" w14:paraId="1DE98384" w14:textId="77777777" w:rsidTr="002641B5">
        <w:trPr>
          <w:trHeight w:hRule="exact" w:val="227"/>
        </w:trPr>
        <w:tc>
          <w:tcPr>
            <w:tcW w:w="51" w:type="pct"/>
            <w:tcBorders>
              <w:top w:val="nil"/>
              <w:left w:val="nil"/>
              <w:bottom w:val="nil"/>
              <w:right w:val="nil"/>
            </w:tcBorders>
            <w:shd w:val="clear" w:color="auto" w:fill="auto"/>
            <w:noWrap/>
            <w:vAlign w:val="center"/>
            <w:hideMark/>
          </w:tcPr>
          <w:p w14:paraId="27491B28"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3AA397A3" w14:textId="47CF7499"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Imóveis</w:t>
            </w:r>
          </w:p>
        </w:tc>
        <w:tc>
          <w:tcPr>
            <w:tcW w:w="448" w:type="pct"/>
            <w:tcBorders>
              <w:top w:val="nil"/>
              <w:left w:val="nil"/>
              <w:bottom w:val="nil"/>
              <w:right w:val="nil"/>
            </w:tcBorders>
            <w:shd w:val="clear" w:color="auto" w:fill="auto"/>
            <w:noWrap/>
            <w:vAlign w:val="center"/>
            <w:hideMark/>
          </w:tcPr>
          <w:p w14:paraId="30FD1458" w14:textId="5B3D2111"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20.428.433.114</w:t>
            </w:r>
          </w:p>
        </w:tc>
        <w:tc>
          <w:tcPr>
            <w:tcW w:w="416" w:type="pct"/>
            <w:tcBorders>
              <w:top w:val="nil"/>
              <w:left w:val="nil"/>
              <w:bottom w:val="nil"/>
              <w:right w:val="nil"/>
            </w:tcBorders>
            <w:shd w:val="clear" w:color="auto" w:fill="auto"/>
            <w:noWrap/>
            <w:vAlign w:val="center"/>
            <w:hideMark/>
          </w:tcPr>
          <w:p w14:paraId="78023C6C" w14:textId="5D91789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20.</w:t>
            </w:r>
            <w:r w:rsidR="00EA5A44">
              <w:rPr>
                <w:rFonts w:ascii="Calibri" w:eastAsia="Times New Roman" w:hAnsi="Calibri" w:cs="Calibri"/>
                <w:color w:val="000000"/>
                <w:sz w:val="16"/>
                <w:szCs w:val="16"/>
              </w:rPr>
              <w:t>409.079.291</w:t>
            </w:r>
          </w:p>
        </w:tc>
        <w:tc>
          <w:tcPr>
            <w:tcW w:w="317" w:type="pct"/>
            <w:tcBorders>
              <w:top w:val="nil"/>
              <w:left w:val="nil"/>
              <w:bottom w:val="nil"/>
              <w:right w:val="nil"/>
            </w:tcBorders>
            <w:shd w:val="clear" w:color="auto" w:fill="auto"/>
            <w:noWrap/>
            <w:vAlign w:val="center"/>
            <w:hideMark/>
          </w:tcPr>
          <w:p w14:paraId="08D4EDE1" w14:textId="759A223E" w:rsidR="00D90AC3" w:rsidRPr="00D90AC3" w:rsidRDefault="00EA1A20"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19.353.82</w:t>
            </w:r>
            <w:r w:rsidR="008C04AE">
              <w:rPr>
                <w:rFonts w:ascii="Calibri" w:eastAsia="Times New Roman" w:hAnsi="Calibri" w:cs="Calibri"/>
                <w:color w:val="000000"/>
                <w:sz w:val="16"/>
                <w:szCs w:val="16"/>
              </w:rPr>
              <w:t>3</w:t>
            </w:r>
          </w:p>
        </w:tc>
        <w:tc>
          <w:tcPr>
            <w:tcW w:w="214" w:type="pct"/>
            <w:tcBorders>
              <w:top w:val="nil"/>
              <w:left w:val="nil"/>
              <w:bottom w:val="nil"/>
              <w:right w:val="nil"/>
            </w:tcBorders>
            <w:shd w:val="clear" w:color="auto" w:fill="auto"/>
            <w:vAlign w:val="center"/>
            <w:hideMark/>
          </w:tcPr>
          <w:p w14:paraId="6BB680EA"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(9)</w:t>
            </w:r>
          </w:p>
        </w:tc>
        <w:tc>
          <w:tcPr>
            <w:tcW w:w="61" w:type="pct"/>
            <w:tcBorders>
              <w:top w:val="nil"/>
              <w:left w:val="single" w:sz="4" w:space="0" w:color="156082"/>
              <w:bottom w:val="nil"/>
              <w:right w:val="nil"/>
            </w:tcBorders>
            <w:shd w:val="clear" w:color="auto" w:fill="auto"/>
            <w:noWrap/>
            <w:vAlign w:val="center"/>
            <w:hideMark/>
          </w:tcPr>
          <w:p w14:paraId="537C8958" w14:textId="2F74AE55"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6BADC404" w14:textId="77777777"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0445BF7F"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02D0304D"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07D9A031"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42E31D58"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139E74A6" w14:textId="77777777" w:rsidTr="002641B5">
        <w:trPr>
          <w:trHeight w:hRule="exact" w:val="227"/>
        </w:trPr>
        <w:tc>
          <w:tcPr>
            <w:tcW w:w="51" w:type="pct"/>
            <w:tcBorders>
              <w:top w:val="nil"/>
              <w:left w:val="nil"/>
              <w:bottom w:val="nil"/>
              <w:right w:val="nil"/>
            </w:tcBorders>
            <w:shd w:val="clear" w:color="auto" w:fill="auto"/>
            <w:noWrap/>
            <w:vAlign w:val="center"/>
            <w:hideMark/>
          </w:tcPr>
          <w:p w14:paraId="22671F3E"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69266184" w14:textId="4C7B27DF"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Depreciação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Acumulada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Imóveis</w:t>
            </w:r>
          </w:p>
        </w:tc>
        <w:tc>
          <w:tcPr>
            <w:tcW w:w="448" w:type="pct"/>
            <w:tcBorders>
              <w:top w:val="nil"/>
              <w:left w:val="nil"/>
              <w:bottom w:val="nil"/>
              <w:right w:val="nil"/>
            </w:tcBorders>
            <w:shd w:val="clear" w:color="auto" w:fill="auto"/>
            <w:noWrap/>
            <w:vAlign w:val="center"/>
            <w:hideMark/>
          </w:tcPr>
          <w:p w14:paraId="0077F68C" w14:textId="519D40EA"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(930.292.783)</w:t>
            </w:r>
          </w:p>
        </w:tc>
        <w:tc>
          <w:tcPr>
            <w:tcW w:w="416" w:type="pct"/>
            <w:tcBorders>
              <w:top w:val="nil"/>
              <w:left w:val="nil"/>
              <w:bottom w:val="nil"/>
              <w:right w:val="nil"/>
            </w:tcBorders>
            <w:shd w:val="clear" w:color="auto" w:fill="auto"/>
            <w:noWrap/>
            <w:vAlign w:val="center"/>
            <w:hideMark/>
          </w:tcPr>
          <w:p w14:paraId="153A1A6D" w14:textId="36BA1B5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(921.304.469)</w:t>
            </w:r>
          </w:p>
        </w:tc>
        <w:tc>
          <w:tcPr>
            <w:tcW w:w="317" w:type="pct"/>
            <w:tcBorders>
              <w:top w:val="nil"/>
              <w:left w:val="nil"/>
              <w:bottom w:val="nil"/>
              <w:right w:val="nil"/>
            </w:tcBorders>
            <w:shd w:val="clear" w:color="auto" w:fill="auto"/>
            <w:noWrap/>
            <w:vAlign w:val="center"/>
            <w:hideMark/>
          </w:tcPr>
          <w:p w14:paraId="71147899" w14:textId="7D53615B"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(8.988.314)</w:t>
            </w:r>
          </w:p>
        </w:tc>
        <w:tc>
          <w:tcPr>
            <w:tcW w:w="214" w:type="pct"/>
            <w:tcBorders>
              <w:top w:val="nil"/>
              <w:left w:val="nil"/>
              <w:bottom w:val="nil"/>
              <w:right w:val="nil"/>
            </w:tcBorders>
            <w:shd w:val="clear" w:color="auto" w:fill="auto"/>
            <w:vAlign w:val="center"/>
            <w:hideMark/>
          </w:tcPr>
          <w:p w14:paraId="39638958" w14:textId="77777777"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(9)</w:t>
            </w:r>
          </w:p>
        </w:tc>
        <w:tc>
          <w:tcPr>
            <w:tcW w:w="1107" w:type="pct"/>
            <w:gridSpan w:val="2"/>
            <w:tcBorders>
              <w:top w:val="nil"/>
              <w:left w:val="single" w:sz="4" w:space="0" w:color="156082"/>
              <w:bottom w:val="nil"/>
              <w:right w:val="nil"/>
            </w:tcBorders>
            <w:shd w:val="clear" w:color="auto" w:fill="auto"/>
            <w:noWrap/>
            <w:vAlign w:val="center"/>
            <w:hideMark/>
          </w:tcPr>
          <w:p w14:paraId="3A98CBA9" w14:textId="7C64F24A"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PATRIMÔNIO</w:t>
            </w:r>
            <w:r w:rsidR="00D51EE7">
              <w:rPr>
                <w:rFonts w:ascii="Calibri" w:eastAsia="Times New Roman" w:hAnsi="Calibri" w:cs="Calibri"/>
                <w:b/>
                <w:bCs/>
                <w:color w:val="000000"/>
                <w:sz w:val="16"/>
                <w:szCs w:val="16"/>
              </w:rPr>
              <w:t xml:space="preserve"> </w:t>
            </w:r>
            <w:r w:rsidRPr="00D90AC3">
              <w:rPr>
                <w:rFonts w:ascii="Calibri" w:eastAsia="Times New Roman" w:hAnsi="Calibri" w:cs="Calibri"/>
                <w:b/>
                <w:bCs/>
                <w:color w:val="000000"/>
                <w:sz w:val="16"/>
                <w:szCs w:val="16"/>
              </w:rPr>
              <w:t>LÍQUIDO</w:t>
            </w:r>
          </w:p>
        </w:tc>
        <w:tc>
          <w:tcPr>
            <w:tcW w:w="409" w:type="pct"/>
            <w:tcBorders>
              <w:top w:val="nil"/>
              <w:left w:val="nil"/>
              <w:bottom w:val="nil"/>
              <w:right w:val="nil"/>
            </w:tcBorders>
            <w:shd w:val="clear" w:color="auto" w:fill="auto"/>
            <w:noWrap/>
            <w:vAlign w:val="center"/>
            <w:hideMark/>
          </w:tcPr>
          <w:p w14:paraId="12C9F24E" w14:textId="6CA44DA6"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2.693.998.93</w:t>
            </w:r>
            <w:r w:rsidR="006D11F5">
              <w:rPr>
                <w:rFonts w:ascii="Calibri" w:eastAsia="Times New Roman" w:hAnsi="Calibri" w:cs="Calibri"/>
                <w:b/>
                <w:bCs/>
                <w:color w:val="000000"/>
                <w:sz w:val="16"/>
                <w:szCs w:val="16"/>
              </w:rPr>
              <w:t>1</w:t>
            </w:r>
          </w:p>
        </w:tc>
        <w:tc>
          <w:tcPr>
            <w:tcW w:w="409" w:type="pct"/>
            <w:tcBorders>
              <w:top w:val="nil"/>
              <w:left w:val="nil"/>
              <w:bottom w:val="nil"/>
              <w:right w:val="nil"/>
            </w:tcBorders>
            <w:shd w:val="clear" w:color="auto" w:fill="auto"/>
            <w:noWrap/>
            <w:vAlign w:val="center"/>
            <w:hideMark/>
          </w:tcPr>
          <w:p w14:paraId="686160FE" w14:textId="16210948"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4.147.518.723</w:t>
            </w:r>
          </w:p>
        </w:tc>
        <w:tc>
          <w:tcPr>
            <w:tcW w:w="409" w:type="pct"/>
            <w:tcBorders>
              <w:top w:val="nil"/>
              <w:left w:val="nil"/>
              <w:bottom w:val="nil"/>
              <w:right w:val="nil"/>
            </w:tcBorders>
            <w:shd w:val="clear" w:color="auto" w:fill="auto"/>
            <w:noWrap/>
            <w:vAlign w:val="center"/>
            <w:hideMark/>
          </w:tcPr>
          <w:p w14:paraId="7AD2D520" w14:textId="3111BD87"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(1.453.519.792)</w:t>
            </w:r>
          </w:p>
        </w:tc>
        <w:tc>
          <w:tcPr>
            <w:tcW w:w="225" w:type="pct"/>
            <w:tcBorders>
              <w:top w:val="nil"/>
              <w:left w:val="nil"/>
              <w:bottom w:val="nil"/>
              <w:right w:val="nil"/>
            </w:tcBorders>
            <w:shd w:val="clear" w:color="auto" w:fill="auto"/>
            <w:vAlign w:val="center"/>
            <w:hideMark/>
          </w:tcPr>
          <w:p w14:paraId="05471933" w14:textId="77777777" w:rsidR="00D90AC3" w:rsidRPr="00D90AC3" w:rsidRDefault="00D90AC3" w:rsidP="00D51EE7">
            <w:pPr>
              <w:spacing w:after="0" w:line="240" w:lineRule="auto"/>
              <w:rPr>
                <w:rFonts w:ascii="Calibri" w:eastAsia="Times New Roman" w:hAnsi="Calibri" w:cs="Calibri"/>
                <w:b/>
                <w:bCs/>
                <w:color w:val="000000"/>
                <w:sz w:val="16"/>
                <w:szCs w:val="16"/>
              </w:rPr>
            </w:pPr>
          </w:p>
        </w:tc>
      </w:tr>
      <w:tr w:rsidR="002641B5" w:rsidRPr="00D90AC3" w14:paraId="36257C2A" w14:textId="77777777" w:rsidTr="002641B5">
        <w:trPr>
          <w:trHeight w:hRule="exact" w:val="444"/>
        </w:trPr>
        <w:tc>
          <w:tcPr>
            <w:tcW w:w="51" w:type="pct"/>
            <w:tcBorders>
              <w:top w:val="nil"/>
              <w:left w:val="nil"/>
              <w:bottom w:val="nil"/>
              <w:right w:val="nil"/>
            </w:tcBorders>
            <w:shd w:val="clear" w:color="auto" w:fill="auto"/>
            <w:noWrap/>
            <w:vAlign w:val="center"/>
            <w:hideMark/>
          </w:tcPr>
          <w:p w14:paraId="40EDC3D8"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hideMark/>
          </w:tcPr>
          <w:p w14:paraId="7C7F1081" w14:textId="4456A05D"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Redução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Valor</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Recuperável</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Bens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Imóveis</w:t>
            </w:r>
          </w:p>
        </w:tc>
        <w:tc>
          <w:tcPr>
            <w:tcW w:w="448" w:type="pct"/>
            <w:tcBorders>
              <w:top w:val="nil"/>
              <w:left w:val="nil"/>
              <w:bottom w:val="nil"/>
              <w:right w:val="nil"/>
            </w:tcBorders>
            <w:shd w:val="clear" w:color="auto" w:fill="auto"/>
            <w:noWrap/>
            <w:hideMark/>
          </w:tcPr>
          <w:p w14:paraId="31A9194E" w14:textId="6478A242"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(14.534.998.494)</w:t>
            </w:r>
          </w:p>
        </w:tc>
        <w:tc>
          <w:tcPr>
            <w:tcW w:w="416" w:type="pct"/>
            <w:tcBorders>
              <w:top w:val="nil"/>
              <w:left w:val="nil"/>
              <w:bottom w:val="nil"/>
              <w:right w:val="nil"/>
            </w:tcBorders>
            <w:shd w:val="clear" w:color="auto" w:fill="auto"/>
            <w:noWrap/>
            <w:hideMark/>
          </w:tcPr>
          <w:p w14:paraId="3F3C834D" w14:textId="17BB3D3D"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(14.534.998.494)</w:t>
            </w:r>
          </w:p>
        </w:tc>
        <w:tc>
          <w:tcPr>
            <w:tcW w:w="317" w:type="pct"/>
            <w:tcBorders>
              <w:top w:val="nil"/>
              <w:left w:val="nil"/>
              <w:bottom w:val="nil"/>
              <w:right w:val="nil"/>
            </w:tcBorders>
            <w:shd w:val="clear" w:color="auto" w:fill="auto"/>
            <w:noWrap/>
            <w:hideMark/>
          </w:tcPr>
          <w:p w14:paraId="0F860322" w14:textId="793A835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2332E0E2"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71E9F40C" w14:textId="76F035DA"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3744682C" w14:textId="3AEB0B7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Capital</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Social</w:t>
            </w:r>
          </w:p>
        </w:tc>
        <w:tc>
          <w:tcPr>
            <w:tcW w:w="409" w:type="pct"/>
            <w:tcBorders>
              <w:top w:val="nil"/>
              <w:left w:val="nil"/>
              <w:bottom w:val="nil"/>
              <w:right w:val="nil"/>
            </w:tcBorders>
            <w:shd w:val="clear" w:color="auto" w:fill="auto"/>
            <w:noWrap/>
            <w:vAlign w:val="center"/>
            <w:hideMark/>
          </w:tcPr>
          <w:p w14:paraId="565D248B" w14:textId="310DA840"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24.029.778.338</w:t>
            </w:r>
          </w:p>
        </w:tc>
        <w:tc>
          <w:tcPr>
            <w:tcW w:w="409" w:type="pct"/>
            <w:tcBorders>
              <w:top w:val="nil"/>
              <w:left w:val="nil"/>
              <w:bottom w:val="nil"/>
              <w:right w:val="nil"/>
            </w:tcBorders>
            <w:shd w:val="clear" w:color="auto" w:fill="auto"/>
            <w:noWrap/>
            <w:vAlign w:val="center"/>
            <w:hideMark/>
          </w:tcPr>
          <w:p w14:paraId="4E4FCA0D" w14:textId="1AF1A576"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24.029.778.338</w:t>
            </w:r>
          </w:p>
        </w:tc>
        <w:tc>
          <w:tcPr>
            <w:tcW w:w="409" w:type="pct"/>
            <w:tcBorders>
              <w:top w:val="nil"/>
              <w:left w:val="nil"/>
              <w:bottom w:val="nil"/>
              <w:right w:val="nil"/>
            </w:tcBorders>
            <w:shd w:val="clear" w:color="auto" w:fill="auto"/>
            <w:noWrap/>
            <w:vAlign w:val="center"/>
            <w:hideMark/>
          </w:tcPr>
          <w:p w14:paraId="66074197" w14:textId="576E6203"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3F6C3B23"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41B5" w:rsidRPr="00D90AC3" w14:paraId="7F8EAB0C" w14:textId="77777777" w:rsidTr="002641B5">
        <w:trPr>
          <w:trHeight w:hRule="exact" w:val="227"/>
        </w:trPr>
        <w:tc>
          <w:tcPr>
            <w:tcW w:w="1046" w:type="pct"/>
            <w:gridSpan w:val="2"/>
            <w:tcBorders>
              <w:top w:val="nil"/>
              <w:left w:val="nil"/>
              <w:bottom w:val="nil"/>
              <w:right w:val="nil"/>
            </w:tcBorders>
            <w:shd w:val="clear" w:color="auto" w:fill="auto"/>
            <w:noWrap/>
            <w:vAlign w:val="center"/>
            <w:hideMark/>
          </w:tcPr>
          <w:p w14:paraId="571937EA" w14:textId="4A3095FC" w:rsidR="00D90AC3" w:rsidRPr="00D90AC3" w:rsidRDefault="00D51EE7" w:rsidP="00D90AC3">
            <w:pPr>
              <w:spacing w:after="0" w:line="240" w:lineRule="auto"/>
              <w:rPr>
                <w:rFonts w:ascii="Calibri" w:eastAsia="Times New Roman" w:hAnsi="Calibri" w:cs="Calibri"/>
                <w:b/>
                <w:bCs/>
                <w:color w:val="000000"/>
                <w:sz w:val="16"/>
                <w:szCs w:val="16"/>
              </w:rPr>
            </w:pPr>
            <w:r>
              <w:rPr>
                <w:rFonts w:ascii="Calibri" w:eastAsia="Times New Roman" w:hAnsi="Calibri" w:cs="Calibri"/>
                <w:b/>
                <w:bCs/>
                <w:color w:val="000000"/>
                <w:sz w:val="16"/>
                <w:szCs w:val="16"/>
              </w:rPr>
              <w:t>I</w:t>
            </w:r>
            <w:r w:rsidR="00D90AC3" w:rsidRPr="00D90AC3">
              <w:rPr>
                <w:rFonts w:ascii="Calibri" w:eastAsia="Times New Roman" w:hAnsi="Calibri" w:cs="Calibri"/>
                <w:b/>
                <w:bCs/>
                <w:color w:val="000000"/>
                <w:sz w:val="16"/>
                <w:szCs w:val="16"/>
              </w:rPr>
              <w:t>ntangível</w:t>
            </w:r>
          </w:p>
        </w:tc>
        <w:tc>
          <w:tcPr>
            <w:tcW w:w="448" w:type="pct"/>
            <w:tcBorders>
              <w:top w:val="nil"/>
              <w:left w:val="nil"/>
              <w:bottom w:val="nil"/>
              <w:right w:val="nil"/>
            </w:tcBorders>
            <w:shd w:val="clear" w:color="auto" w:fill="auto"/>
            <w:noWrap/>
            <w:vAlign w:val="center"/>
            <w:hideMark/>
          </w:tcPr>
          <w:p w14:paraId="7D82F1FB" w14:textId="3C67F911" w:rsidR="00D90AC3" w:rsidRPr="00D90AC3" w:rsidRDefault="00D90AC3" w:rsidP="00D51EE7">
            <w:pPr>
              <w:spacing w:after="0" w:line="240" w:lineRule="auto"/>
              <w:jc w:val="right"/>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134.355.940</w:t>
            </w:r>
          </w:p>
        </w:tc>
        <w:tc>
          <w:tcPr>
            <w:tcW w:w="416" w:type="pct"/>
            <w:tcBorders>
              <w:top w:val="nil"/>
              <w:left w:val="nil"/>
              <w:bottom w:val="nil"/>
              <w:right w:val="nil"/>
            </w:tcBorders>
            <w:shd w:val="clear" w:color="auto" w:fill="auto"/>
            <w:noWrap/>
            <w:vAlign w:val="center"/>
            <w:hideMark/>
          </w:tcPr>
          <w:p w14:paraId="238A328E" w14:textId="40573EF7" w:rsidR="00D90AC3" w:rsidRPr="00D90AC3" w:rsidRDefault="001138E5" w:rsidP="00D51EE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142.165.90</w:t>
            </w:r>
            <w:r w:rsidR="00E22AE0">
              <w:rPr>
                <w:rFonts w:ascii="Calibri" w:eastAsia="Times New Roman" w:hAnsi="Calibri" w:cs="Calibri"/>
                <w:b/>
                <w:bCs/>
                <w:color w:val="000000"/>
                <w:sz w:val="16"/>
                <w:szCs w:val="16"/>
              </w:rPr>
              <w:t>6</w:t>
            </w:r>
          </w:p>
        </w:tc>
        <w:tc>
          <w:tcPr>
            <w:tcW w:w="317" w:type="pct"/>
            <w:tcBorders>
              <w:top w:val="nil"/>
              <w:left w:val="nil"/>
              <w:bottom w:val="nil"/>
              <w:right w:val="nil"/>
            </w:tcBorders>
            <w:shd w:val="clear" w:color="auto" w:fill="auto"/>
            <w:noWrap/>
            <w:vAlign w:val="center"/>
            <w:hideMark/>
          </w:tcPr>
          <w:p w14:paraId="07C23B8B" w14:textId="6C9F3F1F" w:rsidR="00D90AC3" w:rsidRPr="00D90AC3" w:rsidRDefault="000D761C" w:rsidP="00D51EE7">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5E64D7">
              <w:rPr>
                <w:rFonts w:ascii="Calibri" w:eastAsia="Times New Roman" w:hAnsi="Calibri" w:cs="Calibri"/>
                <w:b/>
                <w:bCs/>
                <w:color w:val="000000"/>
                <w:sz w:val="16"/>
                <w:szCs w:val="16"/>
              </w:rPr>
              <w:t>7.809.</w:t>
            </w:r>
            <w:r w:rsidR="00E27B31">
              <w:rPr>
                <w:rFonts w:ascii="Calibri" w:eastAsia="Times New Roman" w:hAnsi="Calibri" w:cs="Calibri"/>
                <w:b/>
                <w:bCs/>
                <w:color w:val="000000"/>
                <w:sz w:val="16"/>
                <w:szCs w:val="16"/>
              </w:rPr>
              <w:t>967</w:t>
            </w:r>
            <w:r>
              <w:rPr>
                <w:rFonts w:ascii="Calibri" w:eastAsia="Times New Roman" w:hAnsi="Calibri" w:cs="Calibri"/>
                <w:b/>
                <w:bCs/>
                <w:color w:val="000000"/>
                <w:sz w:val="16"/>
                <w:szCs w:val="16"/>
              </w:rPr>
              <w:t>)</w:t>
            </w:r>
          </w:p>
        </w:tc>
        <w:tc>
          <w:tcPr>
            <w:tcW w:w="214" w:type="pct"/>
            <w:tcBorders>
              <w:top w:val="nil"/>
              <w:left w:val="nil"/>
              <w:bottom w:val="nil"/>
              <w:right w:val="nil"/>
            </w:tcBorders>
            <w:shd w:val="clear" w:color="auto" w:fill="auto"/>
            <w:vAlign w:val="center"/>
            <w:hideMark/>
          </w:tcPr>
          <w:p w14:paraId="417301B0" w14:textId="77777777" w:rsidR="00D90AC3" w:rsidRPr="00D90AC3" w:rsidRDefault="00D90AC3" w:rsidP="00D51EE7">
            <w:pPr>
              <w:spacing w:after="0" w:line="240" w:lineRule="auto"/>
              <w:rPr>
                <w:rFonts w:ascii="Calibri" w:eastAsia="Times New Roman" w:hAnsi="Calibri" w:cs="Calibri"/>
                <w:b/>
                <w:bCs/>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74148DA2" w14:textId="77777777" w:rsidR="00D90AC3" w:rsidRPr="00D90AC3" w:rsidRDefault="00D90AC3" w:rsidP="00D90AC3">
            <w:pPr>
              <w:spacing w:after="0" w:line="240" w:lineRule="auto"/>
              <w:rPr>
                <w:rFonts w:ascii="Calibri" w:eastAsia="Times New Roman" w:hAnsi="Calibri" w:cs="Calibri"/>
                <w:b/>
                <w:bCs/>
                <w:color w:val="000000"/>
                <w:sz w:val="16"/>
                <w:szCs w:val="16"/>
              </w:rPr>
            </w:pPr>
            <w:r w:rsidRPr="00D90AC3">
              <w:rPr>
                <w:rFonts w:ascii="Calibri" w:eastAsia="Times New Roman" w:hAnsi="Calibri" w:cs="Calibri"/>
                <w:b/>
                <w:bCs/>
                <w:color w:val="000000"/>
                <w:sz w:val="16"/>
                <w:szCs w:val="16"/>
              </w:rPr>
              <w:t> </w:t>
            </w:r>
          </w:p>
        </w:tc>
        <w:tc>
          <w:tcPr>
            <w:tcW w:w="1046" w:type="pct"/>
            <w:tcBorders>
              <w:top w:val="nil"/>
              <w:left w:val="nil"/>
              <w:bottom w:val="nil"/>
              <w:right w:val="nil"/>
            </w:tcBorders>
            <w:shd w:val="clear" w:color="auto" w:fill="auto"/>
            <w:noWrap/>
            <w:vAlign w:val="center"/>
            <w:hideMark/>
          </w:tcPr>
          <w:p w14:paraId="538A71BE" w14:textId="44A3DD6A"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Adiantamento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para</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Futuro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Aumento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Capital</w:t>
            </w:r>
          </w:p>
        </w:tc>
        <w:tc>
          <w:tcPr>
            <w:tcW w:w="409" w:type="pct"/>
            <w:tcBorders>
              <w:top w:val="nil"/>
              <w:left w:val="nil"/>
              <w:bottom w:val="nil"/>
              <w:right w:val="nil"/>
            </w:tcBorders>
            <w:shd w:val="clear" w:color="auto" w:fill="auto"/>
            <w:noWrap/>
            <w:vAlign w:val="center"/>
            <w:hideMark/>
          </w:tcPr>
          <w:p w14:paraId="013A6377" w14:textId="181D7CC8"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166.419.984</w:t>
            </w:r>
          </w:p>
        </w:tc>
        <w:tc>
          <w:tcPr>
            <w:tcW w:w="409" w:type="pct"/>
            <w:tcBorders>
              <w:top w:val="nil"/>
              <w:left w:val="nil"/>
              <w:bottom w:val="nil"/>
              <w:right w:val="nil"/>
            </w:tcBorders>
            <w:shd w:val="clear" w:color="auto" w:fill="auto"/>
            <w:noWrap/>
            <w:vAlign w:val="center"/>
            <w:hideMark/>
          </w:tcPr>
          <w:p w14:paraId="38066CC0" w14:textId="14CA640F"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166.419.984</w:t>
            </w:r>
          </w:p>
        </w:tc>
        <w:tc>
          <w:tcPr>
            <w:tcW w:w="409" w:type="pct"/>
            <w:tcBorders>
              <w:top w:val="nil"/>
              <w:left w:val="nil"/>
              <w:bottom w:val="nil"/>
              <w:right w:val="nil"/>
            </w:tcBorders>
            <w:shd w:val="clear" w:color="auto" w:fill="auto"/>
            <w:noWrap/>
            <w:vAlign w:val="center"/>
            <w:hideMark/>
          </w:tcPr>
          <w:p w14:paraId="6986D525" w14:textId="785CFD05"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25" w:type="pct"/>
            <w:tcBorders>
              <w:top w:val="nil"/>
              <w:left w:val="nil"/>
              <w:bottom w:val="nil"/>
              <w:right w:val="nil"/>
            </w:tcBorders>
            <w:shd w:val="clear" w:color="auto" w:fill="auto"/>
            <w:vAlign w:val="center"/>
            <w:hideMark/>
          </w:tcPr>
          <w:p w14:paraId="74ABD81C" w14:textId="77777777" w:rsidR="00D90AC3" w:rsidRPr="00D90AC3" w:rsidRDefault="00D90AC3" w:rsidP="00D51EE7">
            <w:pPr>
              <w:spacing w:after="0" w:line="240" w:lineRule="auto"/>
              <w:rPr>
                <w:rFonts w:ascii="Calibri" w:eastAsia="Times New Roman" w:hAnsi="Calibri" w:cs="Calibri"/>
                <w:color w:val="000000"/>
                <w:sz w:val="16"/>
                <w:szCs w:val="16"/>
              </w:rPr>
            </w:pPr>
          </w:p>
        </w:tc>
      </w:tr>
      <w:tr w:rsidR="0026375B" w:rsidRPr="00D90AC3" w14:paraId="7ECF74AC" w14:textId="77777777">
        <w:trPr>
          <w:trHeight w:hRule="exact" w:val="227"/>
        </w:trPr>
        <w:tc>
          <w:tcPr>
            <w:tcW w:w="51" w:type="pct"/>
            <w:tcBorders>
              <w:top w:val="nil"/>
              <w:left w:val="nil"/>
              <w:bottom w:val="nil"/>
              <w:right w:val="nil"/>
            </w:tcBorders>
            <w:shd w:val="clear" w:color="auto" w:fill="auto"/>
            <w:noWrap/>
            <w:vAlign w:val="center"/>
          </w:tcPr>
          <w:p w14:paraId="6D7A6CF7" w14:textId="77777777" w:rsidR="0026375B" w:rsidRPr="00D90AC3" w:rsidRDefault="0026375B"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tcPr>
          <w:p w14:paraId="0CB32CF1" w14:textId="39F79986" w:rsidR="0026375B" w:rsidRPr="00D90AC3" w:rsidRDefault="0026375B" w:rsidP="00D90AC3">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Direito de Uso </w:t>
            </w:r>
            <w:r w:rsidR="00E87536">
              <w:rPr>
                <w:rFonts w:ascii="Calibri" w:eastAsia="Times New Roman" w:hAnsi="Calibri" w:cs="Calibri"/>
                <w:color w:val="000000"/>
                <w:sz w:val="16"/>
                <w:szCs w:val="16"/>
              </w:rPr>
              <w:t>de Imóveis</w:t>
            </w:r>
          </w:p>
        </w:tc>
        <w:tc>
          <w:tcPr>
            <w:tcW w:w="448" w:type="pct"/>
            <w:tcBorders>
              <w:top w:val="nil"/>
              <w:left w:val="nil"/>
              <w:bottom w:val="nil"/>
              <w:right w:val="nil"/>
            </w:tcBorders>
            <w:shd w:val="clear" w:color="auto" w:fill="auto"/>
            <w:noWrap/>
            <w:vAlign w:val="center"/>
          </w:tcPr>
          <w:p w14:paraId="50CFD651" w14:textId="381C63F3" w:rsidR="0026375B" w:rsidRPr="00D90AC3" w:rsidRDefault="00FC7CBA"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416" w:type="pct"/>
            <w:tcBorders>
              <w:top w:val="nil"/>
              <w:left w:val="nil"/>
              <w:bottom w:val="nil"/>
              <w:right w:val="nil"/>
            </w:tcBorders>
            <w:shd w:val="clear" w:color="auto" w:fill="auto"/>
            <w:noWrap/>
            <w:vAlign w:val="center"/>
          </w:tcPr>
          <w:p w14:paraId="505DC72D" w14:textId="4B1B6588" w:rsidR="0026375B" w:rsidRDefault="00561924"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10.365.509</w:t>
            </w:r>
          </w:p>
        </w:tc>
        <w:tc>
          <w:tcPr>
            <w:tcW w:w="317" w:type="pct"/>
            <w:tcBorders>
              <w:top w:val="nil"/>
              <w:left w:val="nil"/>
              <w:bottom w:val="nil"/>
              <w:right w:val="nil"/>
            </w:tcBorders>
            <w:shd w:val="clear" w:color="auto" w:fill="auto"/>
            <w:noWrap/>
            <w:vAlign w:val="center"/>
          </w:tcPr>
          <w:p w14:paraId="38AEFCD0" w14:textId="5CA51746" w:rsidR="0026375B" w:rsidRPr="00E27B31" w:rsidRDefault="00C97DD6"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(10.365.509)</w:t>
            </w:r>
          </w:p>
        </w:tc>
        <w:tc>
          <w:tcPr>
            <w:tcW w:w="214" w:type="pct"/>
            <w:tcBorders>
              <w:top w:val="nil"/>
              <w:left w:val="nil"/>
              <w:bottom w:val="nil"/>
              <w:right w:val="nil"/>
            </w:tcBorders>
            <w:shd w:val="clear" w:color="auto" w:fill="auto"/>
            <w:vAlign w:val="center"/>
          </w:tcPr>
          <w:p w14:paraId="2C258DE2" w14:textId="73E09D9C" w:rsidR="0026375B" w:rsidRPr="00D90AC3" w:rsidRDefault="00737C9F" w:rsidP="00D51EE7">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(9)</w:t>
            </w:r>
          </w:p>
        </w:tc>
        <w:tc>
          <w:tcPr>
            <w:tcW w:w="61" w:type="pct"/>
            <w:tcBorders>
              <w:top w:val="nil"/>
              <w:left w:val="single" w:sz="4" w:space="0" w:color="156082"/>
              <w:bottom w:val="nil"/>
              <w:right w:val="nil"/>
            </w:tcBorders>
            <w:shd w:val="clear" w:color="auto" w:fill="auto"/>
            <w:noWrap/>
            <w:vAlign w:val="center"/>
          </w:tcPr>
          <w:p w14:paraId="37C0D42B" w14:textId="77777777" w:rsidR="0026375B" w:rsidRPr="00D90AC3" w:rsidRDefault="0026375B" w:rsidP="00D90AC3">
            <w:pPr>
              <w:spacing w:after="0" w:line="240" w:lineRule="auto"/>
              <w:rPr>
                <w:rFonts w:ascii="Calibri" w:eastAsia="Times New Roman" w:hAnsi="Calibri" w:cs="Calibri"/>
                <w:color w:val="000000"/>
                <w:sz w:val="16"/>
                <w:szCs w:val="16"/>
              </w:rPr>
            </w:pPr>
          </w:p>
        </w:tc>
        <w:tc>
          <w:tcPr>
            <w:tcW w:w="1046" w:type="pct"/>
            <w:vMerge w:val="restart"/>
            <w:tcBorders>
              <w:top w:val="nil"/>
              <w:left w:val="nil"/>
              <w:right w:val="nil"/>
            </w:tcBorders>
            <w:shd w:val="clear" w:color="auto" w:fill="auto"/>
            <w:noWrap/>
            <w:vAlign w:val="center"/>
          </w:tcPr>
          <w:p w14:paraId="7B9850E1" w14:textId="0D1468F4" w:rsidR="0026375B" w:rsidRPr="00D90AC3" w:rsidRDefault="00C97DD6"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Prejuízos</w:t>
            </w:r>
            <w:r>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Acumulados</w:t>
            </w:r>
          </w:p>
        </w:tc>
        <w:tc>
          <w:tcPr>
            <w:tcW w:w="409" w:type="pct"/>
            <w:vMerge w:val="restart"/>
            <w:tcBorders>
              <w:top w:val="nil"/>
              <w:left w:val="nil"/>
              <w:right w:val="nil"/>
            </w:tcBorders>
            <w:shd w:val="clear" w:color="auto" w:fill="auto"/>
            <w:noWrap/>
            <w:vAlign w:val="center"/>
          </w:tcPr>
          <w:p w14:paraId="1D63D116" w14:textId="4F1F5A57" w:rsidR="0026375B" w:rsidRPr="00D90AC3" w:rsidRDefault="00C97DD6"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(21.502.199.391)</w:t>
            </w:r>
          </w:p>
        </w:tc>
        <w:tc>
          <w:tcPr>
            <w:tcW w:w="409" w:type="pct"/>
            <w:vMerge w:val="restart"/>
            <w:tcBorders>
              <w:top w:val="nil"/>
              <w:left w:val="nil"/>
              <w:right w:val="nil"/>
            </w:tcBorders>
            <w:shd w:val="clear" w:color="auto" w:fill="auto"/>
            <w:noWrap/>
            <w:vAlign w:val="center"/>
          </w:tcPr>
          <w:p w14:paraId="1958EA86" w14:textId="686EBA7E" w:rsidR="0026375B" w:rsidRPr="00D90AC3" w:rsidRDefault="00C97DD6"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(20.048.679.599)</w:t>
            </w:r>
          </w:p>
        </w:tc>
        <w:tc>
          <w:tcPr>
            <w:tcW w:w="409" w:type="pct"/>
            <w:vMerge w:val="restart"/>
            <w:tcBorders>
              <w:top w:val="nil"/>
              <w:left w:val="nil"/>
              <w:right w:val="nil"/>
            </w:tcBorders>
            <w:shd w:val="clear" w:color="auto" w:fill="auto"/>
            <w:noWrap/>
            <w:vAlign w:val="center"/>
          </w:tcPr>
          <w:p w14:paraId="0329CCA2" w14:textId="070BAA8E" w:rsidR="0026375B" w:rsidRPr="00D90AC3" w:rsidRDefault="00C97DD6"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(1.453.519.792)</w:t>
            </w:r>
          </w:p>
        </w:tc>
        <w:tc>
          <w:tcPr>
            <w:tcW w:w="225" w:type="pct"/>
            <w:vMerge w:val="restart"/>
            <w:tcBorders>
              <w:top w:val="nil"/>
              <w:left w:val="nil"/>
              <w:right w:val="nil"/>
            </w:tcBorders>
            <w:shd w:val="clear" w:color="auto" w:fill="auto"/>
            <w:vAlign w:val="center"/>
          </w:tcPr>
          <w:p w14:paraId="64B8AAD9" w14:textId="77777777" w:rsidR="00C97DD6" w:rsidRDefault="00C97DD6"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(6;7;9;</w:t>
            </w:r>
          </w:p>
          <w:p w14:paraId="759C0DEF" w14:textId="1B7F3E1F" w:rsidR="0026375B" w:rsidRPr="00D90AC3" w:rsidRDefault="00C97DD6" w:rsidP="00D51EE7">
            <w:pPr>
              <w:spacing w:after="0" w:line="240" w:lineRule="auto"/>
              <w:rPr>
                <w:rFonts w:ascii="Calibri" w:eastAsia="Times New Roman" w:hAnsi="Calibri" w:cs="Calibri"/>
                <w:sz w:val="16"/>
                <w:szCs w:val="16"/>
              </w:rPr>
            </w:pPr>
            <w:r w:rsidRPr="00D90AC3">
              <w:rPr>
                <w:rFonts w:ascii="Calibri" w:eastAsia="Times New Roman" w:hAnsi="Calibri" w:cs="Calibri"/>
                <w:sz w:val="16"/>
                <w:szCs w:val="16"/>
              </w:rPr>
              <w:t>16)</w:t>
            </w:r>
          </w:p>
        </w:tc>
      </w:tr>
      <w:tr w:rsidR="002641B5" w:rsidRPr="00D90AC3" w14:paraId="4F4798A5" w14:textId="77777777">
        <w:trPr>
          <w:trHeight w:hRule="exact" w:val="227"/>
        </w:trPr>
        <w:tc>
          <w:tcPr>
            <w:tcW w:w="51" w:type="pct"/>
            <w:tcBorders>
              <w:top w:val="nil"/>
              <w:left w:val="nil"/>
              <w:bottom w:val="nil"/>
              <w:right w:val="nil"/>
            </w:tcBorders>
            <w:shd w:val="clear" w:color="auto" w:fill="auto"/>
            <w:noWrap/>
            <w:vAlign w:val="center"/>
            <w:hideMark/>
          </w:tcPr>
          <w:p w14:paraId="1F44D563"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2EBAEB57" w14:textId="1938633B"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Estudos,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Projetos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Licenciamento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Ambiental</w:t>
            </w:r>
          </w:p>
        </w:tc>
        <w:tc>
          <w:tcPr>
            <w:tcW w:w="448" w:type="pct"/>
            <w:tcBorders>
              <w:top w:val="nil"/>
              <w:left w:val="nil"/>
              <w:bottom w:val="nil"/>
              <w:right w:val="nil"/>
            </w:tcBorders>
            <w:shd w:val="clear" w:color="auto" w:fill="auto"/>
            <w:noWrap/>
            <w:vAlign w:val="center"/>
            <w:hideMark/>
          </w:tcPr>
          <w:p w14:paraId="53E3412B" w14:textId="5419C3BC"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132.105.899</w:t>
            </w:r>
          </w:p>
        </w:tc>
        <w:tc>
          <w:tcPr>
            <w:tcW w:w="416" w:type="pct"/>
            <w:tcBorders>
              <w:top w:val="nil"/>
              <w:left w:val="nil"/>
              <w:bottom w:val="nil"/>
              <w:right w:val="nil"/>
            </w:tcBorders>
            <w:shd w:val="clear" w:color="auto" w:fill="auto"/>
            <w:noWrap/>
            <w:vAlign w:val="center"/>
            <w:hideMark/>
          </w:tcPr>
          <w:p w14:paraId="50480349" w14:textId="2FABDC9A" w:rsidR="00D90AC3" w:rsidRPr="00D90AC3" w:rsidRDefault="00B7618C"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129.550.35</w:t>
            </w:r>
            <w:r w:rsidR="00E22AE0">
              <w:rPr>
                <w:rFonts w:ascii="Calibri" w:eastAsia="Times New Roman" w:hAnsi="Calibri" w:cs="Calibri"/>
                <w:color w:val="000000"/>
                <w:sz w:val="16"/>
                <w:szCs w:val="16"/>
              </w:rPr>
              <w:t>6</w:t>
            </w:r>
          </w:p>
        </w:tc>
        <w:tc>
          <w:tcPr>
            <w:tcW w:w="317" w:type="pct"/>
            <w:tcBorders>
              <w:top w:val="nil"/>
              <w:left w:val="nil"/>
              <w:bottom w:val="nil"/>
              <w:right w:val="nil"/>
            </w:tcBorders>
            <w:shd w:val="clear" w:color="auto" w:fill="auto"/>
            <w:noWrap/>
            <w:vAlign w:val="center"/>
            <w:hideMark/>
          </w:tcPr>
          <w:p w14:paraId="75B2DA3D" w14:textId="5BFE1208" w:rsidR="00D90AC3" w:rsidRPr="00D90AC3" w:rsidRDefault="00021440" w:rsidP="00D51EE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2.555.543</w:t>
            </w:r>
          </w:p>
        </w:tc>
        <w:tc>
          <w:tcPr>
            <w:tcW w:w="214" w:type="pct"/>
            <w:tcBorders>
              <w:top w:val="nil"/>
              <w:left w:val="nil"/>
              <w:bottom w:val="nil"/>
              <w:right w:val="nil"/>
            </w:tcBorders>
            <w:shd w:val="clear" w:color="auto" w:fill="auto"/>
            <w:vAlign w:val="center"/>
            <w:hideMark/>
          </w:tcPr>
          <w:p w14:paraId="696B4461" w14:textId="500C0692" w:rsidR="00D90AC3" w:rsidRPr="00D90AC3" w:rsidRDefault="00D90AC3" w:rsidP="00D51EE7">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(10)</w:t>
            </w:r>
          </w:p>
        </w:tc>
        <w:tc>
          <w:tcPr>
            <w:tcW w:w="61" w:type="pct"/>
            <w:tcBorders>
              <w:top w:val="nil"/>
              <w:left w:val="single" w:sz="4" w:space="0" w:color="156082"/>
              <w:bottom w:val="nil"/>
              <w:right w:val="nil"/>
            </w:tcBorders>
            <w:shd w:val="clear" w:color="auto" w:fill="auto"/>
            <w:noWrap/>
            <w:vAlign w:val="center"/>
            <w:hideMark/>
          </w:tcPr>
          <w:p w14:paraId="532B1E92" w14:textId="37EF9C64"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vMerge/>
            <w:tcBorders>
              <w:left w:val="nil"/>
              <w:bottom w:val="nil"/>
              <w:right w:val="nil"/>
            </w:tcBorders>
            <w:shd w:val="clear" w:color="auto" w:fill="auto"/>
            <w:noWrap/>
            <w:vAlign w:val="center"/>
            <w:hideMark/>
          </w:tcPr>
          <w:p w14:paraId="38409F01" w14:textId="0073C7C3"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vMerge/>
            <w:tcBorders>
              <w:left w:val="nil"/>
              <w:bottom w:val="nil"/>
              <w:right w:val="nil"/>
            </w:tcBorders>
            <w:shd w:val="clear" w:color="auto" w:fill="auto"/>
            <w:noWrap/>
            <w:vAlign w:val="center"/>
            <w:hideMark/>
          </w:tcPr>
          <w:p w14:paraId="2220CCA5" w14:textId="13458DE7"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409" w:type="pct"/>
            <w:vMerge/>
            <w:tcBorders>
              <w:left w:val="nil"/>
              <w:bottom w:val="nil"/>
              <w:right w:val="nil"/>
            </w:tcBorders>
            <w:shd w:val="clear" w:color="auto" w:fill="auto"/>
            <w:noWrap/>
            <w:vAlign w:val="center"/>
            <w:hideMark/>
          </w:tcPr>
          <w:p w14:paraId="5F57A344" w14:textId="6622F1C6"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409" w:type="pct"/>
            <w:vMerge/>
            <w:tcBorders>
              <w:left w:val="nil"/>
              <w:bottom w:val="nil"/>
              <w:right w:val="nil"/>
            </w:tcBorders>
            <w:shd w:val="clear" w:color="auto" w:fill="auto"/>
            <w:noWrap/>
            <w:vAlign w:val="center"/>
            <w:hideMark/>
          </w:tcPr>
          <w:p w14:paraId="401F52ED" w14:textId="4F63C8AF"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225" w:type="pct"/>
            <w:vMerge/>
            <w:tcBorders>
              <w:left w:val="nil"/>
              <w:bottom w:val="nil"/>
              <w:right w:val="nil"/>
            </w:tcBorders>
            <w:shd w:val="clear" w:color="auto" w:fill="auto"/>
            <w:vAlign w:val="center"/>
            <w:hideMark/>
          </w:tcPr>
          <w:p w14:paraId="0CBD252B" w14:textId="3088BF52" w:rsidR="00D90AC3" w:rsidRPr="00D90AC3" w:rsidRDefault="00D90AC3" w:rsidP="00D51EE7">
            <w:pPr>
              <w:spacing w:after="0" w:line="240" w:lineRule="auto"/>
              <w:rPr>
                <w:rFonts w:ascii="Calibri" w:eastAsia="Times New Roman" w:hAnsi="Calibri" w:cs="Calibri"/>
                <w:sz w:val="16"/>
                <w:szCs w:val="16"/>
              </w:rPr>
            </w:pPr>
          </w:p>
        </w:tc>
      </w:tr>
      <w:tr w:rsidR="002641B5" w:rsidRPr="00D90AC3" w14:paraId="1C243689" w14:textId="77777777" w:rsidTr="002641B5">
        <w:trPr>
          <w:trHeight w:hRule="exact" w:val="227"/>
        </w:trPr>
        <w:tc>
          <w:tcPr>
            <w:tcW w:w="51" w:type="pct"/>
            <w:tcBorders>
              <w:top w:val="nil"/>
              <w:left w:val="nil"/>
              <w:bottom w:val="nil"/>
              <w:right w:val="nil"/>
            </w:tcBorders>
            <w:shd w:val="clear" w:color="auto" w:fill="auto"/>
            <w:noWrap/>
            <w:vAlign w:val="center"/>
            <w:hideMark/>
          </w:tcPr>
          <w:p w14:paraId="08B7CA5C" w14:textId="77777777" w:rsidR="00D90AC3" w:rsidRPr="00D90AC3" w:rsidRDefault="00D90AC3" w:rsidP="00D90AC3">
            <w:pPr>
              <w:spacing w:after="0" w:line="240" w:lineRule="auto"/>
              <w:rPr>
                <w:rFonts w:ascii="Calibri" w:eastAsia="Times New Roman" w:hAnsi="Calibri" w:cs="Calibri"/>
                <w:sz w:val="16"/>
                <w:szCs w:val="16"/>
              </w:rPr>
            </w:pPr>
          </w:p>
        </w:tc>
        <w:tc>
          <w:tcPr>
            <w:tcW w:w="995" w:type="pct"/>
            <w:tcBorders>
              <w:top w:val="nil"/>
              <w:left w:val="nil"/>
              <w:bottom w:val="nil"/>
              <w:right w:val="nil"/>
            </w:tcBorders>
            <w:shd w:val="clear" w:color="auto" w:fill="auto"/>
            <w:noWrap/>
            <w:vAlign w:val="center"/>
            <w:hideMark/>
          </w:tcPr>
          <w:p w14:paraId="0DDAEBCA" w14:textId="2085A90C" w:rsidR="00D90AC3" w:rsidRPr="00D90AC3" w:rsidRDefault="00D90AC3" w:rsidP="00D90AC3">
            <w:pPr>
              <w:spacing w:after="0" w:line="240" w:lineRule="auto"/>
              <w:rPr>
                <w:rFonts w:ascii="Calibri" w:eastAsia="Times New Roman" w:hAnsi="Calibri" w:cs="Calibri"/>
                <w:color w:val="000000"/>
                <w:sz w:val="16"/>
                <w:szCs w:val="16"/>
              </w:rPr>
            </w:pPr>
            <w:r w:rsidRPr="00D90AC3">
              <w:rPr>
                <w:rFonts w:ascii="Calibri" w:eastAsia="Times New Roman" w:hAnsi="Calibri" w:cs="Calibri"/>
                <w:color w:val="000000"/>
                <w:sz w:val="16"/>
                <w:szCs w:val="16"/>
              </w:rPr>
              <w:t>Softwares</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Direito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uso</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de</w:t>
            </w:r>
            <w:r w:rsidR="00D51EE7">
              <w:rPr>
                <w:rFonts w:ascii="Calibri" w:eastAsia="Times New Roman" w:hAnsi="Calibri" w:cs="Calibri"/>
                <w:color w:val="000000"/>
                <w:sz w:val="16"/>
                <w:szCs w:val="16"/>
              </w:rPr>
              <w:t xml:space="preserve"> </w:t>
            </w:r>
            <w:r w:rsidRPr="00D90AC3">
              <w:rPr>
                <w:rFonts w:ascii="Calibri" w:eastAsia="Times New Roman" w:hAnsi="Calibri" w:cs="Calibri"/>
                <w:color w:val="000000"/>
                <w:sz w:val="16"/>
                <w:szCs w:val="16"/>
              </w:rPr>
              <w:t>Comunicação</w:t>
            </w:r>
          </w:p>
        </w:tc>
        <w:tc>
          <w:tcPr>
            <w:tcW w:w="448" w:type="pct"/>
            <w:tcBorders>
              <w:top w:val="nil"/>
              <w:left w:val="nil"/>
              <w:bottom w:val="nil"/>
              <w:right w:val="nil"/>
            </w:tcBorders>
            <w:shd w:val="clear" w:color="auto" w:fill="auto"/>
            <w:noWrap/>
            <w:vAlign w:val="center"/>
            <w:hideMark/>
          </w:tcPr>
          <w:p w14:paraId="229458FC" w14:textId="2EDF3238" w:rsidR="00D90AC3" w:rsidRPr="00D90AC3" w:rsidRDefault="00AF78C0" w:rsidP="00D51EE7">
            <w:pPr>
              <w:spacing w:after="0" w:line="240" w:lineRule="auto"/>
              <w:jc w:val="right"/>
              <w:rPr>
                <w:rFonts w:ascii="Calibri" w:eastAsia="Times New Roman" w:hAnsi="Calibri" w:cs="Calibri"/>
                <w:color w:val="000000"/>
                <w:sz w:val="16"/>
                <w:szCs w:val="16"/>
              </w:rPr>
            </w:pPr>
            <w:r w:rsidRPr="00AF78C0">
              <w:rPr>
                <w:rFonts w:ascii="Calibri" w:eastAsia="Times New Roman" w:hAnsi="Calibri" w:cs="Calibri"/>
                <w:color w:val="000000"/>
                <w:sz w:val="16"/>
                <w:szCs w:val="16"/>
              </w:rPr>
              <w:t>2.250.041</w:t>
            </w:r>
          </w:p>
        </w:tc>
        <w:tc>
          <w:tcPr>
            <w:tcW w:w="416" w:type="pct"/>
            <w:tcBorders>
              <w:top w:val="nil"/>
              <w:left w:val="nil"/>
              <w:bottom w:val="nil"/>
              <w:right w:val="nil"/>
            </w:tcBorders>
            <w:shd w:val="clear" w:color="auto" w:fill="auto"/>
            <w:noWrap/>
            <w:vAlign w:val="center"/>
            <w:hideMark/>
          </w:tcPr>
          <w:p w14:paraId="302682A8" w14:textId="2164A0AF" w:rsidR="00D90AC3" w:rsidRPr="00D90AC3" w:rsidRDefault="00AF78C0" w:rsidP="00D51EE7">
            <w:pPr>
              <w:spacing w:after="0" w:line="240" w:lineRule="auto"/>
              <w:jc w:val="right"/>
              <w:rPr>
                <w:rFonts w:ascii="Calibri" w:eastAsia="Times New Roman" w:hAnsi="Calibri" w:cs="Calibri"/>
                <w:color w:val="000000"/>
                <w:sz w:val="16"/>
                <w:szCs w:val="16"/>
              </w:rPr>
            </w:pPr>
            <w:r w:rsidRPr="00AF78C0">
              <w:rPr>
                <w:rFonts w:ascii="Calibri" w:eastAsia="Times New Roman" w:hAnsi="Calibri" w:cs="Calibri"/>
                <w:color w:val="000000"/>
                <w:sz w:val="16"/>
                <w:szCs w:val="16"/>
              </w:rPr>
              <w:t>2.250.041</w:t>
            </w:r>
          </w:p>
        </w:tc>
        <w:tc>
          <w:tcPr>
            <w:tcW w:w="317" w:type="pct"/>
            <w:tcBorders>
              <w:top w:val="nil"/>
              <w:left w:val="nil"/>
              <w:bottom w:val="nil"/>
              <w:right w:val="nil"/>
            </w:tcBorders>
            <w:shd w:val="clear" w:color="auto" w:fill="auto"/>
            <w:noWrap/>
            <w:vAlign w:val="center"/>
            <w:hideMark/>
          </w:tcPr>
          <w:p w14:paraId="506F28F8" w14:textId="519F3FEF" w:rsidR="00D90AC3" w:rsidRPr="00D90AC3" w:rsidRDefault="00D90AC3" w:rsidP="00D51EE7">
            <w:pPr>
              <w:spacing w:after="0" w:line="240" w:lineRule="auto"/>
              <w:jc w:val="right"/>
              <w:rPr>
                <w:rFonts w:ascii="Calibri" w:eastAsia="Times New Roman" w:hAnsi="Calibri" w:cs="Calibri"/>
                <w:color w:val="000000"/>
                <w:sz w:val="16"/>
                <w:szCs w:val="16"/>
              </w:rPr>
            </w:pPr>
            <w:r w:rsidRPr="00D90AC3">
              <w:rPr>
                <w:rFonts w:ascii="Calibri" w:eastAsia="Times New Roman" w:hAnsi="Calibri" w:cs="Calibri"/>
                <w:color w:val="000000"/>
                <w:sz w:val="16"/>
                <w:szCs w:val="16"/>
              </w:rPr>
              <w:t>-</w:t>
            </w:r>
          </w:p>
        </w:tc>
        <w:tc>
          <w:tcPr>
            <w:tcW w:w="214" w:type="pct"/>
            <w:tcBorders>
              <w:top w:val="nil"/>
              <w:left w:val="nil"/>
              <w:bottom w:val="nil"/>
              <w:right w:val="nil"/>
            </w:tcBorders>
            <w:shd w:val="clear" w:color="auto" w:fill="auto"/>
            <w:vAlign w:val="center"/>
            <w:hideMark/>
          </w:tcPr>
          <w:p w14:paraId="538385F0" w14:textId="77777777" w:rsidR="00D90AC3" w:rsidRPr="00D90AC3" w:rsidRDefault="00D90AC3" w:rsidP="00D51EE7">
            <w:pPr>
              <w:spacing w:after="0" w:line="240" w:lineRule="auto"/>
              <w:rPr>
                <w:rFonts w:ascii="Calibri" w:eastAsia="Times New Roman" w:hAnsi="Calibri" w:cs="Calibri"/>
                <w:color w:val="000000"/>
                <w:sz w:val="16"/>
                <w:szCs w:val="16"/>
              </w:rPr>
            </w:pPr>
          </w:p>
        </w:tc>
        <w:tc>
          <w:tcPr>
            <w:tcW w:w="61" w:type="pct"/>
            <w:tcBorders>
              <w:top w:val="nil"/>
              <w:left w:val="single" w:sz="4" w:space="0" w:color="156082"/>
              <w:bottom w:val="nil"/>
              <w:right w:val="nil"/>
            </w:tcBorders>
            <w:shd w:val="clear" w:color="auto" w:fill="auto"/>
            <w:noWrap/>
            <w:vAlign w:val="center"/>
            <w:hideMark/>
          </w:tcPr>
          <w:p w14:paraId="77B62BD7" w14:textId="7E4F7EDE"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nil"/>
              <w:right w:val="nil"/>
            </w:tcBorders>
            <w:shd w:val="clear" w:color="auto" w:fill="auto"/>
            <w:noWrap/>
            <w:vAlign w:val="center"/>
            <w:hideMark/>
          </w:tcPr>
          <w:p w14:paraId="22BCC746" w14:textId="77777777"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3F359F1F"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0726482C"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62AB86A4"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6959266E"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051BDAD6" w14:textId="77777777" w:rsidTr="00C97DD6">
        <w:trPr>
          <w:trHeight w:hRule="exact" w:val="227"/>
        </w:trPr>
        <w:tc>
          <w:tcPr>
            <w:tcW w:w="51" w:type="pct"/>
            <w:tcBorders>
              <w:top w:val="nil"/>
              <w:left w:val="nil"/>
              <w:bottom w:val="nil"/>
              <w:right w:val="nil"/>
            </w:tcBorders>
            <w:shd w:val="clear" w:color="auto" w:fill="auto"/>
            <w:noWrap/>
            <w:vAlign w:val="center"/>
            <w:hideMark/>
          </w:tcPr>
          <w:p w14:paraId="00842B0F"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995" w:type="pct"/>
            <w:tcBorders>
              <w:top w:val="nil"/>
              <w:left w:val="nil"/>
              <w:bottom w:val="nil"/>
              <w:right w:val="nil"/>
            </w:tcBorders>
            <w:shd w:val="clear" w:color="auto" w:fill="auto"/>
            <w:noWrap/>
            <w:vAlign w:val="center"/>
            <w:hideMark/>
          </w:tcPr>
          <w:p w14:paraId="69749824" w14:textId="77777777" w:rsidR="00D90AC3" w:rsidRPr="00D90AC3" w:rsidRDefault="00D90AC3" w:rsidP="00D90AC3">
            <w:pPr>
              <w:spacing w:after="0" w:line="240" w:lineRule="auto"/>
              <w:rPr>
                <w:rFonts w:ascii="Times New Roman" w:eastAsia="Times New Roman" w:hAnsi="Times New Roman" w:cs="Times New Roman"/>
                <w:sz w:val="20"/>
                <w:szCs w:val="20"/>
              </w:rPr>
            </w:pPr>
          </w:p>
        </w:tc>
        <w:tc>
          <w:tcPr>
            <w:tcW w:w="448" w:type="pct"/>
            <w:tcBorders>
              <w:top w:val="nil"/>
              <w:left w:val="nil"/>
              <w:bottom w:val="nil"/>
              <w:right w:val="nil"/>
            </w:tcBorders>
            <w:shd w:val="clear" w:color="auto" w:fill="auto"/>
            <w:noWrap/>
            <w:vAlign w:val="center"/>
            <w:hideMark/>
          </w:tcPr>
          <w:p w14:paraId="38FD980A"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16" w:type="pct"/>
            <w:tcBorders>
              <w:top w:val="nil"/>
              <w:left w:val="nil"/>
              <w:bottom w:val="nil"/>
              <w:right w:val="nil"/>
            </w:tcBorders>
            <w:shd w:val="clear" w:color="auto" w:fill="auto"/>
            <w:noWrap/>
            <w:vAlign w:val="center"/>
            <w:hideMark/>
          </w:tcPr>
          <w:p w14:paraId="73BE7958"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317" w:type="pct"/>
            <w:tcBorders>
              <w:top w:val="nil"/>
              <w:left w:val="nil"/>
              <w:bottom w:val="nil"/>
              <w:right w:val="nil"/>
            </w:tcBorders>
            <w:shd w:val="clear" w:color="auto" w:fill="auto"/>
            <w:noWrap/>
            <w:vAlign w:val="center"/>
            <w:hideMark/>
          </w:tcPr>
          <w:p w14:paraId="6D420A45"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14" w:type="pct"/>
            <w:tcBorders>
              <w:top w:val="nil"/>
              <w:left w:val="nil"/>
              <w:bottom w:val="nil"/>
              <w:right w:val="nil"/>
            </w:tcBorders>
            <w:shd w:val="clear" w:color="auto" w:fill="auto"/>
            <w:vAlign w:val="center"/>
            <w:hideMark/>
          </w:tcPr>
          <w:p w14:paraId="1990E916" w14:textId="77777777" w:rsidR="00D90AC3" w:rsidRPr="00D90AC3" w:rsidRDefault="00D90AC3" w:rsidP="00D51EE7">
            <w:pPr>
              <w:spacing w:after="0" w:line="240" w:lineRule="auto"/>
              <w:rPr>
                <w:rFonts w:ascii="Times New Roman" w:eastAsia="Times New Roman" w:hAnsi="Times New Roman" w:cs="Times New Roman"/>
                <w:sz w:val="20"/>
                <w:szCs w:val="20"/>
              </w:rPr>
            </w:pPr>
          </w:p>
        </w:tc>
        <w:tc>
          <w:tcPr>
            <w:tcW w:w="61" w:type="pct"/>
            <w:tcBorders>
              <w:top w:val="nil"/>
              <w:left w:val="single" w:sz="4" w:space="0" w:color="156082"/>
              <w:bottom w:val="single" w:sz="4" w:space="0" w:color="156082"/>
              <w:right w:val="nil"/>
            </w:tcBorders>
            <w:shd w:val="clear" w:color="auto" w:fill="auto"/>
            <w:noWrap/>
            <w:vAlign w:val="center"/>
            <w:hideMark/>
          </w:tcPr>
          <w:p w14:paraId="674AB9BF" w14:textId="36564C99" w:rsidR="00D90AC3" w:rsidRPr="00D90AC3" w:rsidRDefault="00D90AC3" w:rsidP="00D90AC3">
            <w:pPr>
              <w:spacing w:after="0" w:line="240" w:lineRule="auto"/>
              <w:rPr>
                <w:rFonts w:ascii="Calibri" w:eastAsia="Times New Roman" w:hAnsi="Calibri" w:cs="Calibri"/>
                <w:color w:val="000000"/>
                <w:sz w:val="16"/>
                <w:szCs w:val="16"/>
              </w:rPr>
            </w:pPr>
          </w:p>
        </w:tc>
        <w:tc>
          <w:tcPr>
            <w:tcW w:w="1046" w:type="pct"/>
            <w:tcBorders>
              <w:top w:val="nil"/>
              <w:left w:val="nil"/>
              <w:bottom w:val="single" w:sz="4" w:space="0" w:color="156082"/>
              <w:right w:val="nil"/>
            </w:tcBorders>
            <w:shd w:val="clear" w:color="auto" w:fill="auto"/>
            <w:noWrap/>
            <w:vAlign w:val="center"/>
            <w:hideMark/>
          </w:tcPr>
          <w:p w14:paraId="38C4BC8A" w14:textId="3A27FF33" w:rsidR="00D90AC3" w:rsidRPr="00D90AC3" w:rsidRDefault="00D90AC3" w:rsidP="00D90AC3">
            <w:pPr>
              <w:spacing w:after="0" w:line="240" w:lineRule="auto"/>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6E81C00A" w14:textId="77777777" w:rsidR="00D90AC3" w:rsidRPr="00D90AC3" w:rsidRDefault="00D90AC3" w:rsidP="00D51EE7">
            <w:pPr>
              <w:spacing w:after="0" w:line="240" w:lineRule="auto"/>
              <w:jc w:val="right"/>
              <w:rPr>
                <w:rFonts w:ascii="Calibri" w:eastAsia="Times New Roman" w:hAnsi="Calibri" w:cs="Calibri"/>
                <w:color w:val="000000"/>
                <w:sz w:val="16"/>
                <w:szCs w:val="16"/>
              </w:rPr>
            </w:pPr>
          </w:p>
        </w:tc>
        <w:tc>
          <w:tcPr>
            <w:tcW w:w="409" w:type="pct"/>
            <w:tcBorders>
              <w:top w:val="nil"/>
              <w:left w:val="nil"/>
              <w:bottom w:val="nil"/>
              <w:right w:val="nil"/>
            </w:tcBorders>
            <w:shd w:val="clear" w:color="auto" w:fill="auto"/>
            <w:noWrap/>
            <w:vAlign w:val="center"/>
            <w:hideMark/>
          </w:tcPr>
          <w:p w14:paraId="02B12B89"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409" w:type="pct"/>
            <w:tcBorders>
              <w:top w:val="nil"/>
              <w:left w:val="nil"/>
              <w:bottom w:val="nil"/>
              <w:right w:val="nil"/>
            </w:tcBorders>
            <w:shd w:val="clear" w:color="auto" w:fill="auto"/>
            <w:noWrap/>
            <w:vAlign w:val="center"/>
            <w:hideMark/>
          </w:tcPr>
          <w:p w14:paraId="61DFC976" w14:textId="77777777" w:rsidR="00D90AC3" w:rsidRPr="00D90AC3" w:rsidRDefault="00D90AC3" w:rsidP="00D51EE7">
            <w:pPr>
              <w:spacing w:after="0" w:line="240" w:lineRule="auto"/>
              <w:jc w:val="right"/>
              <w:rPr>
                <w:rFonts w:ascii="Times New Roman" w:eastAsia="Times New Roman" w:hAnsi="Times New Roman" w:cs="Times New Roman"/>
                <w:sz w:val="20"/>
                <w:szCs w:val="20"/>
              </w:rPr>
            </w:pPr>
          </w:p>
        </w:tc>
        <w:tc>
          <w:tcPr>
            <w:tcW w:w="225" w:type="pct"/>
            <w:tcBorders>
              <w:top w:val="nil"/>
              <w:left w:val="nil"/>
              <w:bottom w:val="nil"/>
              <w:right w:val="nil"/>
            </w:tcBorders>
            <w:shd w:val="clear" w:color="auto" w:fill="auto"/>
            <w:vAlign w:val="center"/>
            <w:hideMark/>
          </w:tcPr>
          <w:p w14:paraId="61409187" w14:textId="77777777" w:rsidR="00D90AC3" w:rsidRPr="00D90AC3" w:rsidRDefault="00D90AC3" w:rsidP="00D51EE7">
            <w:pPr>
              <w:spacing w:after="0" w:line="240" w:lineRule="auto"/>
              <w:rPr>
                <w:rFonts w:ascii="Times New Roman" w:eastAsia="Times New Roman" w:hAnsi="Times New Roman" w:cs="Times New Roman"/>
                <w:sz w:val="20"/>
                <w:szCs w:val="20"/>
              </w:rPr>
            </w:pPr>
          </w:p>
        </w:tc>
      </w:tr>
      <w:tr w:rsidR="002641B5" w:rsidRPr="00D90AC3" w14:paraId="7F83C891" w14:textId="77777777" w:rsidTr="002641B5">
        <w:trPr>
          <w:trHeight w:hRule="exact" w:val="227"/>
        </w:trPr>
        <w:tc>
          <w:tcPr>
            <w:tcW w:w="1046" w:type="pct"/>
            <w:gridSpan w:val="2"/>
            <w:tcBorders>
              <w:top w:val="single" w:sz="4" w:space="0" w:color="156082"/>
              <w:left w:val="nil"/>
              <w:bottom w:val="single" w:sz="4" w:space="0" w:color="156082"/>
              <w:right w:val="nil"/>
            </w:tcBorders>
            <w:shd w:val="clear" w:color="000000" w:fill="DAE9F8"/>
            <w:noWrap/>
            <w:vAlign w:val="center"/>
            <w:hideMark/>
          </w:tcPr>
          <w:p w14:paraId="18A701B6" w14:textId="77777777" w:rsidR="00D90AC3" w:rsidRPr="00D90AC3" w:rsidRDefault="00D90AC3" w:rsidP="00D90AC3">
            <w:pPr>
              <w:spacing w:after="0" w:line="240" w:lineRule="auto"/>
              <w:rPr>
                <w:rFonts w:ascii="Aptos Narrow" w:eastAsia="Times New Roman" w:hAnsi="Aptos Narrow" w:cs="Calibri"/>
                <w:b/>
                <w:bCs/>
                <w:sz w:val="16"/>
                <w:szCs w:val="16"/>
              </w:rPr>
            </w:pPr>
            <w:r w:rsidRPr="00D90AC3">
              <w:rPr>
                <w:rFonts w:ascii="Aptos Narrow" w:eastAsia="Times New Roman" w:hAnsi="Aptos Narrow" w:cs="Calibri"/>
                <w:b/>
                <w:bCs/>
                <w:sz w:val="16"/>
                <w:szCs w:val="16"/>
              </w:rPr>
              <w:t>TOTAL DO ATIVO</w:t>
            </w:r>
          </w:p>
        </w:tc>
        <w:tc>
          <w:tcPr>
            <w:tcW w:w="448" w:type="pct"/>
            <w:tcBorders>
              <w:top w:val="single" w:sz="4" w:space="0" w:color="156082"/>
              <w:left w:val="nil"/>
              <w:bottom w:val="single" w:sz="4" w:space="0" w:color="156082"/>
              <w:right w:val="nil"/>
            </w:tcBorders>
            <w:shd w:val="clear" w:color="000000" w:fill="DAE9F8"/>
            <w:noWrap/>
            <w:vAlign w:val="center"/>
            <w:hideMark/>
          </w:tcPr>
          <w:p w14:paraId="59F95EE9" w14:textId="6DD2008B"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6.358.176.162</w:t>
            </w:r>
          </w:p>
        </w:tc>
        <w:tc>
          <w:tcPr>
            <w:tcW w:w="416" w:type="pct"/>
            <w:tcBorders>
              <w:top w:val="single" w:sz="4" w:space="0" w:color="156082"/>
              <w:left w:val="nil"/>
              <w:bottom w:val="single" w:sz="4" w:space="0" w:color="156082"/>
              <w:right w:val="nil"/>
            </w:tcBorders>
            <w:shd w:val="clear" w:color="000000" w:fill="DAE9F8"/>
            <w:noWrap/>
            <w:vAlign w:val="center"/>
            <w:hideMark/>
          </w:tcPr>
          <w:p w14:paraId="4EBAE889" w14:textId="47EC7110"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6.275.891.12</w:t>
            </w:r>
            <w:r w:rsidR="00F24DDB">
              <w:rPr>
                <w:rFonts w:ascii="Aptos Narrow" w:eastAsia="Times New Roman" w:hAnsi="Aptos Narrow" w:cs="Calibri"/>
                <w:b/>
                <w:bCs/>
                <w:sz w:val="16"/>
                <w:szCs w:val="16"/>
              </w:rPr>
              <w:t>2</w:t>
            </w:r>
          </w:p>
        </w:tc>
        <w:tc>
          <w:tcPr>
            <w:tcW w:w="317" w:type="pct"/>
            <w:tcBorders>
              <w:top w:val="single" w:sz="4" w:space="0" w:color="156082"/>
              <w:left w:val="nil"/>
              <w:bottom w:val="single" w:sz="4" w:space="0" w:color="156082"/>
              <w:right w:val="nil"/>
            </w:tcBorders>
            <w:shd w:val="clear" w:color="000000" w:fill="DAE9F8"/>
            <w:noWrap/>
            <w:vAlign w:val="center"/>
            <w:hideMark/>
          </w:tcPr>
          <w:p w14:paraId="7377AC14" w14:textId="0AF9BDAB"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82.285.04</w:t>
            </w:r>
            <w:r w:rsidR="0071281B">
              <w:rPr>
                <w:rFonts w:ascii="Aptos Narrow" w:eastAsia="Times New Roman" w:hAnsi="Aptos Narrow" w:cs="Calibri"/>
                <w:b/>
                <w:bCs/>
                <w:sz w:val="16"/>
                <w:szCs w:val="16"/>
              </w:rPr>
              <w:t>0</w:t>
            </w:r>
          </w:p>
        </w:tc>
        <w:tc>
          <w:tcPr>
            <w:tcW w:w="214" w:type="pct"/>
            <w:tcBorders>
              <w:top w:val="single" w:sz="4" w:space="0" w:color="156082"/>
              <w:left w:val="nil"/>
              <w:bottom w:val="single" w:sz="4" w:space="0" w:color="156082"/>
              <w:right w:val="nil"/>
            </w:tcBorders>
            <w:shd w:val="clear" w:color="000000" w:fill="DAE9F8"/>
            <w:vAlign w:val="center"/>
            <w:hideMark/>
          </w:tcPr>
          <w:p w14:paraId="51117313" w14:textId="72BD70A8" w:rsidR="00D90AC3" w:rsidRPr="00D90AC3" w:rsidRDefault="00D90AC3" w:rsidP="00D51EE7">
            <w:pPr>
              <w:spacing w:after="0" w:line="240" w:lineRule="auto"/>
              <w:rPr>
                <w:rFonts w:ascii="Aptos Narrow" w:eastAsia="Times New Roman" w:hAnsi="Aptos Narrow" w:cs="Calibri"/>
                <w:b/>
                <w:bCs/>
                <w:sz w:val="16"/>
                <w:szCs w:val="16"/>
              </w:rPr>
            </w:pPr>
          </w:p>
        </w:tc>
        <w:tc>
          <w:tcPr>
            <w:tcW w:w="1107" w:type="pct"/>
            <w:gridSpan w:val="2"/>
            <w:tcBorders>
              <w:top w:val="single" w:sz="4" w:space="0" w:color="156082"/>
              <w:left w:val="single" w:sz="4" w:space="0" w:color="156082"/>
              <w:bottom w:val="single" w:sz="4" w:space="0" w:color="156082"/>
              <w:right w:val="nil"/>
            </w:tcBorders>
            <w:shd w:val="clear" w:color="000000" w:fill="DAE9F8"/>
            <w:noWrap/>
            <w:vAlign w:val="center"/>
            <w:hideMark/>
          </w:tcPr>
          <w:p w14:paraId="25788AD4" w14:textId="77777777" w:rsidR="00D90AC3" w:rsidRPr="00D90AC3" w:rsidRDefault="00D90AC3" w:rsidP="00D90AC3">
            <w:pPr>
              <w:spacing w:after="0" w:line="240" w:lineRule="auto"/>
              <w:rPr>
                <w:rFonts w:ascii="Aptos Narrow" w:eastAsia="Times New Roman" w:hAnsi="Aptos Narrow" w:cs="Calibri"/>
                <w:b/>
                <w:bCs/>
                <w:sz w:val="16"/>
                <w:szCs w:val="16"/>
              </w:rPr>
            </w:pPr>
            <w:r w:rsidRPr="00D90AC3">
              <w:rPr>
                <w:rFonts w:ascii="Aptos Narrow" w:eastAsia="Times New Roman" w:hAnsi="Aptos Narrow" w:cs="Calibri"/>
                <w:b/>
                <w:bCs/>
                <w:sz w:val="16"/>
                <w:szCs w:val="16"/>
              </w:rPr>
              <w:t>TOTAL DO PASSIVO E PATRIMÔNIO LÍQUIDO</w:t>
            </w:r>
          </w:p>
        </w:tc>
        <w:tc>
          <w:tcPr>
            <w:tcW w:w="409" w:type="pct"/>
            <w:tcBorders>
              <w:top w:val="single" w:sz="4" w:space="0" w:color="156082"/>
              <w:left w:val="nil"/>
              <w:bottom w:val="single" w:sz="4" w:space="0" w:color="156082"/>
              <w:right w:val="nil"/>
            </w:tcBorders>
            <w:shd w:val="clear" w:color="000000" w:fill="DAE9F8"/>
            <w:noWrap/>
            <w:vAlign w:val="center"/>
            <w:hideMark/>
          </w:tcPr>
          <w:p w14:paraId="1C72A236" w14:textId="47ABA09A"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6.358.176.162</w:t>
            </w:r>
          </w:p>
        </w:tc>
        <w:tc>
          <w:tcPr>
            <w:tcW w:w="409" w:type="pct"/>
            <w:tcBorders>
              <w:top w:val="single" w:sz="4" w:space="0" w:color="156082"/>
              <w:left w:val="nil"/>
              <w:bottom w:val="single" w:sz="4" w:space="0" w:color="156082"/>
              <w:right w:val="nil"/>
            </w:tcBorders>
            <w:shd w:val="clear" w:color="000000" w:fill="DAE9F8"/>
            <w:noWrap/>
            <w:vAlign w:val="center"/>
            <w:hideMark/>
          </w:tcPr>
          <w:p w14:paraId="74C5B81F" w14:textId="031A4A85"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6.275.891.12</w:t>
            </w:r>
            <w:r w:rsidR="0071281B">
              <w:rPr>
                <w:rFonts w:ascii="Aptos Narrow" w:eastAsia="Times New Roman" w:hAnsi="Aptos Narrow" w:cs="Calibri"/>
                <w:b/>
                <w:bCs/>
                <w:sz w:val="16"/>
                <w:szCs w:val="16"/>
              </w:rPr>
              <w:t>2</w:t>
            </w:r>
          </w:p>
        </w:tc>
        <w:tc>
          <w:tcPr>
            <w:tcW w:w="409" w:type="pct"/>
            <w:tcBorders>
              <w:top w:val="single" w:sz="4" w:space="0" w:color="156082"/>
              <w:left w:val="nil"/>
              <w:bottom w:val="single" w:sz="4" w:space="0" w:color="156082"/>
              <w:right w:val="nil"/>
            </w:tcBorders>
            <w:shd w:val="clear" w:color="000000" w:fill="DAE9F8"/>
            <w:noWrap/>
            <w:vAlign w:val="center"/>
            <w:hideMark/>
          </w:tcPr>
          <w:p w14:paraId="60357A8A" w14:textId="5D03AAFA" w:rsidR="00D90AC3" w:rsidRPr="00D90AC3" w:rsidRDefault="00D90AC3" w:rsidP="00D51EE7">
            <w:pPr>
              <w:spacing w:after="0" w:line="240" w:lineRule="auto"/>
              <w:jc w:val="right"/>
              <w:rPr>
                <w:rFonts w:ascii="Aptos Narrow" w:eastAsia="Times New Roman" w:hAnsi="Aptos Narrow" w:cs="Calibri"/>
                <w:b/>
                <w:bCs/>
                <w:sz w:val="16"/>
                <w:szCs w:val="16"/>
              </w:rPr>
            </w:pPr>
            <w:r w:rsidRPr="00D90AC3">
              <w:rPr>
                <w:rFonts w:ascii="Aptos Narrow" w:eastAsia="Times New Roman" w:hAnsi="Aptos Narrow" w:cs="Calibri"/>
                <w:b/>
                <w:bCs/>
                <w:sz w:val="16"/>
                <w:szCs w:val="16"/>
              </w:rPr>
              <w:t>82.285.04</w:t>
            </w:r>
            <w:r w:rsidR="0071281B">
              <w:rPr>
                <w:rFonts w:ascii="Aptos Narrow" w:eastAsia="Times New Roman" w:hAnsi="Aptos Narrow" w:cs="Calibri"/>
                <w:b/>
                <w:bCs/>
                <w:sz w:val="16"/>
                <w:szCs w:val="16"/>
              </w:rPr>
              <w:t>0</w:t>
            </w:r>
          </w:p>
        </w:tc>
        <w:tc>
          <w:tcPr>
            <w:tcW w:w="225" w:type="pct"/>
            <w:tcBorders>
              <w:top w:val="single" w:sz="4" w:space="0" w:color="156082"/>
              <w:left w:val="nil"/>
              <w:bottom w:val="single" w:sz="4" w:space="0" w:color="156082"/>
              <w:right w:val="nil"/>
            </w:tcBorders>
            <w:shd w:val="clear" w:color="000000" w:fill="DAE9F8"/>
            <w:vAlign w:val="center"/>
            <w:hideMark/>
          </w:tcPr>
          <w:p w14:paraId="7EAAF4F1" w14:textId="608F4238" w:rsidR="00D90AC3" w:rsidRPr="00D90AC3" w:rsidRDefault="00D90AC3" w:rsidP="00D51EE7">
            <w:pPr>
              <w:spacing w:after="0" w:line="240" w:lineRule="auto"/>
              <w:rPr>
                <w:rFonts w:ascii="Aptos Narrow" w:eastAsia="Times New Roman" w:hAnsi="Aptos Narrow" w:cs="Calibri"/>
                <w:b/>
                <w:bCs/>
                <w:sz w:val="16"/>
                <w:szCs w:val="16"/>
              </w:rPr>
            </w:pPr>
          </w:p>
        </w:tc>
      </w:tr>
    </w:tbl>
    <w:p w14:paraId="57C43E62" w14:textId="71A9706F" w:rsidR="007F008F" w:rsidRDefault="00B70F82" w:rsidP="00E06A3E">
      <w:pPr>
        <w:ind w:firstLine="567"/>
        <w:jc w:val="center"/>
        <w:rPr>
          <w:rFonts w:ascii="Calibri" w:hAnsi="Calibri" w:cs="Calibri"/>
          <w:bCs/>
          <w:color w:val="FF0000"/>
          <w:sz w:val="18"/>
          <w:szCs w:val="18"/>
        </w:rPr>
      </w:pPr>
      <w:r w:rsidRPr="00AC056B">
        <w:rPr>
          <w:rFonts w:ascii="Calibri" w:eastAsia="Times New Roman" w:hAnsi="Calibri" w:cs="Calibri"/>
          <w:sz w:val="16"/>
          <w:szCs w:val="16"/>
        </w:rPr>
        <w:t xml:space="preserve">(As Notas Explicativas são parte integrante das </w:t>
      </w:r>
      <w:r>
        <w:rPr>
          <w:rFonts w:ascii="Calibri" w:eastAsia="Times New Roman" w:hAnsi="Calibri" w:cs="Calibri"/>
          <w:sz w:val="16"/>
          <w:szCs w:val="16"/>
        </w:rPr>
        <w:t>D</w:t>
      </w:r>
      <w:r w:rsidRPr="00AC056B">
        <w:rPr>
          <w:rFonts w:ascii="Calibri" w:eastAsia="Times New Roman" w:hAnsi="Calibri" w:cs="Calibri"/>
          <w:sz w:val="16"/>
          <w:szCs w:val="16"/>
        </w:rPr>
        <w:t xml:space="preserve">emonstrações </w:t>
      </w:r>
      <w:r>
        <w:rPr>
          <w:rFonts w:ascii="Calibri" w:eastAsia="Times New Roman" w:hAnsi="Calibri" w:cs="Calibri"/>
          <w:sz w:val="16"/>
          <w:szCs w:val="16"/>
        </w:rPr>
        <w:t>F</w:t>
      </w:r>
      <w:r w:rsidRPr="00AC056B">
        <w:rPr>
          <w:rFonts w:ascii="Calibri" w:eastAsia="Times New Roman" w:hAnsi="Calibri" w:cs="Calibri"/>
          <w:sz w:val="16"/>
          <w:szCs w:val="16"/>
        </w:rPr>
        <w:t>inanceiras)</w:t>
      </w:r>
    </w:p>
    <w:p w14:paraId="63C1098B" w14:textId="77777777" w:rsidR="001228FA" w:rsidRDefault="001228FA" w:rsidP="007F008F">
      <w:pPr>
        <w:rPr>
          <w:rFonts w:ascii="Calibri" w:hAnsi="Calibri" w:cs="Calibri"/>
          <w:bCs/>
          <w:color w:val="FF0000"/>
          <w:sz w:val="18"/>
          <w:szCs w:val="18"/>
        </w:rPr>
        <w:sectPr w:rsidR="001228FA" w:rsidSect="007F008F">
          <w:pgSz w:w="16840" w:h="11907" w:orient="landscape"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29DCEA68" w14:textId="6B9D692E" w:rsidR="00C04DAF" w:rsidRPr="003A2C9E" w:rsidRDefault="00C04DAF" w:rsidP="00C04DAF">
      <w:pPr>
        <w:ind w:right="-142"/>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lastRenderedPageBreak/>
        <w:t>II – DEMONSTRAÇÃO DO RESULTADO DO EXERCÍCIO</w:t>
      </w:r>
    </w:p>
    <w:tbl>
      <w:tblPr>
        <w:tblW w:w="5000" w:type="pct"/>
        <w:tblCellMar>
          <w:left w:w="70" w:type="dxa"/>
          <w:right w:w="70" w:type="dxa"/>
        </w:tblCellMar>
        <w:tblLook w:val="04A0" w:firstRow="1" w:lastRow="0" w:firstColumn="1" w:lastColumn="0" w:noHBand="0" w:noVBand="1"/>
      </w:tblPr>
      <w:tblGrid>
        <w:gridCol w:w="4547"/>
        <w:gridCol w:w="1637"/>
        <w:gridCol w:w="1643"/>
        <w:gridCol w:w="1652"/>
        <w:gridCol w:w="988"/>
      </w:tblGrid>
      <w:tr w:rsidR="005E26CD" w:rsidRPr="005E26CD" w14:paraId="627D1371" w14:textId="77777777" w:rsidTr="00FC7170">
        <w:trPr>
          <w:trHeight w:val="542"/>
        </w:trPr>
        <w:tc>
          <w:tcPr>
            <w:tcW w:w="2172" w:type="pct"/>
            <w:tcBorders>
              <w:top w:val="nil"/>
              <w:left w:val="nil"/>
              <w:bottom w:val="single" w:sz="4" w:space="0" w:color="156082"/>
              <w:right w:val="nil"/>
            </w:tcBorders>
            <w:shd w:val="clear" w:color="auto" w:fill="auto"/>
            <w:noWrap/>
            <w:vAlign w:val="center"/>
            <w:hideMark/>
          </w:tcPr>
          <w:p w14:paraId="33FC669D"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w:t>
            </w:r>
          </w:p>
        </w:tc>
        <w:tc>
          <w:tcPr>
            <w:tcW w:w="782" w:type="pct"/>
            <w:tcBorders>
              <w:top w:val="nil"/>
              <w:left w:val="nil"/>
              <w:bottom w:val="single" w:sz="4" w:space="0" w:color="156082"/>
              <w:right w:val="nil"/>
            </w:tcBorders>
            <w:shd w:val="clear" w:color="auto" w:fill="auto"/>
            <w:vAlign w:val="center"/>
            <w:hideMark/>
          </w:tcPr>
          <w:p w14:paraId="4FEECCA9" w14:textId="77777777" w:rsid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SOCIETARIA </w:t>
            </w:r>
          </w:p>
          <w:p w14:paraId="74F95E03" w14:textId="1EAF8E32"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31/03/2024</w:t>
            </w:r>
          </w:p>
        </w:tc>
        <w:tc>
          <w:tcPr>
            <w:tcW w:w="785" w:type="pct"/>
            <w:tcBorders>
              <w:top w:val="nil"/>
              <w:left w:val="nil"/>
              <w:bottom w:val="single" w:sz="4" w:space="0" w:color="156082"/>
              <w:right w:val="nil"/>
            </w:tcBorders>
            <w:shd w:val="clear" w:color="auto" w:fill="auto"/>
            <w:vAlign w:val="center"/>
            <w:hideMark/>
          </w:tcPr>
          <w:p w14:paraId="1D989626"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SIAFI</w:t>
            </w:r>
            <w:r w:rsidRPr="005E26CD">
              <w:rPr>
                <w:rFonts w:ascii="Aptos Narrow" w:eastAsia="Times New Roman" w:hAnsi="Aptos Narrow" w:cs="Calibri"/>
                <w:b/>
                <w:bCs/>
                <w:color w:val="000000"/>
                <w:sz w:val="16"/>
                <w:szCs w:val="16"/>
              </w:rPr>
              <w:br/>
              <w:t>31/03/2024</w:t>
            </w:r>
          </w:p>
        </w:tc>
        <w:tc>
          <w:tcPr>
            <w:tcW w:w="789" w:type="pct"/>
            <w:tcBorders>
              <w:top w:val="nil"/>
              <w:left w:val="nil"/>
              <w:bottom w:val="single" w:sz="4" w:space="0" w:color="156082"/>
              <w:right w:val="nil"/>
            </w:tcBorders>
            <w:shd w:val="clear" w:color="auto" w:fill="auto"/>
            <w:vAlign w:val="center"/>
            <w:hideMark/>
          </w:tcPr>
          <w:p w14:paraId="01C4E96E"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DIREFENÇA</w:t>
            </w:r>
          </w:p>
        </w:tc>
        <w:tc>
          <w:tcPr>
            <w:tcW w:w="472" w:type="pct"/>
            <w:tcBorders>
              <w:top w:val="nil"/>
              <w:left w:val="nil"/>
              <w:bottom w:val="nil"/>
              <w:right w:val="nil"/>
            </w:tcBorders>
            <w:shd w:val="clear" w:color="auto" w:fill="auto"/>
            <w:noWrap/>
            <w:vAlign w:val="center"/>
            <w:hideMark/>
          </w:tcPr>
          <w:p w14:paraId="7A3BC838"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070E4C69" w14:textId="77777777" w:rsidTr="00FC7170">
        <w:trPr>
          <w:trHeight w:hRule="exact" w:val="432"/>
        </w:trPr>
        <w:tc>
          <w:tcPr>
            <w:tcW w:w="2172" w:type="pct"/>
            <w:tcBorders>
              <w:top w:val="nil"/>
              <w:left w:val="nil"/>
              <w:bottom w:val="nil"/>
              <w:right w:val="nil"/>
            </w:tcBorders>
            <w:shd w:val="clear" w:color="auto" w:fill="auto"/>
            <w:noWrap/>
            <w:vAlign w:val="bottom"/>
            <w:hideMark/>
          </w:tcPr>
          <w:p w14:paraId="735FB3A2"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Receita Bruta</w:t>
            </w:r>
          </w:p>
        </w:tc>
        <w:tc>
          <w:tcPr>
            <w:tcW w:w="782" w:type="pct"/>
            <w:tcBorders>
              <w:top w:val="nil"/>
              <w:left w:val="nil"/>
              <w:bottom w:val="nil"/>
              <w:right w:val="nil"/>
            </w:tcBorders>
            <w:shd w:val="clear" w:color="auto" w:fill="auto"/>
            <w:noWrap/>
            <w:vAlign w:val="bottom"/>
            <w:hideMark/>
          </w:tcPr>
          <w:p w14:paraId="397B4909"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1.873.573 </w:t>
            </w:r>
          </w:p>
        </w:tc>
        <w:tc>
          <w:tcPr>
            <w:tcW w:w="785" w:type="pct"/>
            <w:tcBorders>
              <w:top w:val="nil"/>
              <w:left w:val="nil"/>
              <w:bottom w:val="nil"/>
              <w:right w:val="nil"/>
            </w:tcBorders>
            <w:shd w:val="clear" w:color="auto" w:fill="auto"/>
            <w:noWrap/>
            <w:vAlign w:val="bottom"/>
            <w:hideMark/>
          </w:tcPr>
          <w:p w14:paraId="49ADA96C"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1.006.682 </w:t>
            </w:r>
          </w:p>
        </w:tc>
        <w:tc>
          <w:tcPr>
            <w:tcW w:w="789" w:type="pct"/>
            <w:tcBorders>
              <w:top w:val="nil"/>
              <w:left w:val="nil"/>
              <w:bottom w:val="nil"/>
              <w:right w:val="nil"/>
            </w:tcBorders>
            <w:shd w:val="clear" w:color="auto" w:fill="auto"/>
            <w:noWrap/>
            <w:vAlign w:val="bottom"/>
            <w:hideMark/>
          </w:tcPr>
          <w:p w14:paraId="26497532"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866.891 </w:t>
            </w:r>
          </w:p>
        </w:tc>
        <w:tc>
          <w:tcPr>
            <w:tcW w:w="472" w:type="pct"/>
            <w:tcBorders>
              <w:top w:val="nil"/>
              <w:left w:val="nil"/>
              <w:bottom w:val="nil"/>
              <w:right w:val="nil"/>
            </w:tcBorders>
            <w:shd w:val="clear" w:color="auto" w:fill="auto"/>
            <w:noWrap/>
            <w:vAlign w:val="center"/>
            <w:hideMark/>
          </w:tcPr>
          <w:p w14:paraId="29C3970F" w14:textId="77777777" w:rsidR="00C90D27" w:rsidRDefault="00C90D27" w:rsidP="005E26CD">
            <w:pPr>
              <w:spacing w:after="0" w:line="240" w:lineRule="auto"/>
              <w:rPr>
                <w:rFonts w:ascii="Calibri Light" w:eastAsia="Times New Roman" w:hAnsi="Calibri Light" w:cs="Calibri Light"/>
                <w:sz w:val="16"/>
                <w:szCs w:val="16"/>
              </w:rPr>
            </w:pPr>
          </w:p>
          <w:p w14:paraId="6B21B449" w14:textId="036A8D83" w:rsidR="005E26CD" w:rsidRPr="005E26CD" w:rsidRDefault="005E26CD" w:rsidP="005E26CD">
            <w:pPr>
              <w:spacing w:after="0" w:line="240" w:lineRule="auto"/>
              <w:rPr>
                <w:rFonts w:ascii="Calibri Light" w:eastAsia="Times New Roman" w:hAnsi="Calibri Light" w:cs="Calibri Light"/>
                <w:sz w:val="16"/>
                <w:szCs w:val="16"/>
              </w:rPr>
            </w:pPr>
            <w:r w:rsidRPr="005E26CD">
              <w:rPr>
                <w:rFonts w:ascii="Calibri Light" w:eastAsia="Times New Roman" w:hAnsi="Calibri Light" w:cs="Calibri Light"/>
                <w:sz w:val="16"/>
                <w:szCs w:val="16"/>
              </w:rPr>
              <w:t>(2;13)</w:t>
            </w:r>
          </w:p>
        </w:tc>
      </w:tr>
      <w:tr w:rsidR="005E26CD" w:rsidRPr="005E26CD" w14:paraId="0173B710" w14:textId="77777777" w:rsidTr="00FC7170">
        <w:trPr>
          <w:trHeight w:hRule="exact" w:val="227"/>
        </w:trPr>
        <w:tc>
          <w:tcPr>
            <w:tcW w:w="2172" w:type="pct"/>
            <w:tcBorders>
              <w:top w:val="nil"/>
              <w:left w:val="nil"/>
              <w:bottom w:val="nil"/>
              <w:right w:val="nil"/>
            </w:tcBorders>
            <w:shd w:val="clear" w:color="auto" w:fill="auto"/>
            <w:noWrap/>
            <w:vAlign w:val="center"/>
            <w:hideMark/>
          </w:tcPr>
          <w:p w14:paraId="4A95FD3C"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Deduções</w:t>
            </w:r>
          </w:p>
        </w:tc>
        <w:tc>
          <w:tcPr>
            <w:tcW w:w="782" w:type="pct"/>
            <w:tcBorders>
              <w:top w:val="nil"/>
              <w:left w:val="nil"/>
              <w:bottom w:val="nil"/>
              <w:right w:val="nil"/>
            </w:tcBorders>
            <w:shd w:val="clear" w:color="auto" w:fill="auto"/>
            <w:noWrap/>
            <w:vAlign w:val="center"/>
            <w:hideMark/>
          </w:tcPr>
          <w:p w14:paraId="7720BD43"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(119.018)</w:t>
            </w:r>
          </w:p>
        </w:tc>
        <w:tc>
          <w:tcPr>
            <w:tcW w:w="785" w:type="pct"/>
            <w:tcBorders>
              <w:top w:val="nil"/>
              <w:left w:val="nil"/>
              <w:bottom w:val="nil"/>
              <w:right w:val="nil"/>
            </w:tcBorders>
            <w:shd w:val="clear" w:color="auto" w:fill="auto"/>
            <w:noWrap/>
            <w:vAlign w:val="center"/>
            <w:hideMark/>
          </w:tcPr>
          <w:p w14:paraId="3E09A4B5"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789" w:type="pct"/>
            <w:tcBorders>
              <w:top w:val="nil"/>
              <w:left w:val="nil"/>
              <w:bottom w:val="nil"/>
              <w:right w:val="nil"/>
            </w:tcBorders>
            <w:shd w:val="clear" w:color="auto" w:fill="auto"/>
            <w:noWrap/>
            <w:vAlign w:val="center"/>
            <w:hideMark/>
          </w:tcPr>
          <w:p w14:paraId="130086DA"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(119.018)</w:t>
            </w:r>
          </w:p>
        </w:tc>
        <w:tc>
          <w:tcPr>
            <w:tcW w:w="472" w:type="pct"/>
            <w:tcBorders>
              <w:top w:val="nil"/>
              <w:left w:val="nil"/>
              <w:bottom w:val="nil"/>
              <w:right w:val="nil"/>
            </w:tcBorders>
            <w:shd w:val="clear" w:color="auto" w:fill="auto"/>
            <w:noWrap/>
            <w:vAlign w:val="center"/>
            <w:hideMark/>
          </w:tcPr>
          <w:p w14:paraId="16421D88" w14:textId="77777777" w:rsidR="005E26CD" w:rsidRPr="005E26CD" w:rsidRDefault="005E26CD" w:rsidP="005E26CD">
            <w:pPr>
              <w:spacing w:after="0" w:line="240" w:lineRule="auto"/>
              <w:rPr>
                <w:rFonts w:ascii="Calibri Light" w:eastAsia="Times New Roman" w:hAnsi="Calibri Light" w:cs="Calibri Light"/>
                <w:sz w:val="16"/>
                <w:szCs w:val="16"/>
              </w:rPr>
            </w:pPr>
            <w:r w:rsidRPr="005E26CD">
              <w:rPr>
                <w:rFonts w:ascii="Calibri Light" w:eastAsia="Times New Roman" w:hAnsi="Calibri Light" w:cs="Calibri Light"/>
                <w:sz w:val="16"/>
                <w:szCs w:val="16"/>
              </w:rPr>
              <w:t>(17)</w:t>
            </w:r>
          </w:p>
        </w:tc>
      </w:tr>
      <w:tr w:rsidR="005E26CD" w:rsidRPr="005E26CD" w14:paraId="62A7363C" w14:textId="77777777" w:rsidTr="00FC7170">
        <w:trPr>
          <w:trHeight w:hRule="exact" w:val="227"/>
        </w:trPr>
        <w:tc>
          <w:tcPr>
            <w:tcW w:w="2172" w:type="pct"/>
            <w:tcBorders>
              <w:top w:val="nil"/>
              <w:left w:val="nil"/>
              <w:bottom w:val="nil"/>
              <w:right w:val="nil"/>
            </w:tcBorders>
            <w:shd w:val="clear" w:color="auto" w:fill="auto"/>
            <w:noWrap/>
            <w:vAlign w:val="center"/>
            <w:hideMark/>
          </w:tcPr>
          <w:p w14:paraId="4F428D52"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RECEITA LÍQUIDA</w:t>
            </w:r>
          </w:p>
        </w:tc>
        <w:tc>
          <w:tcPr>
            <w:tcW w:w="782" w:type="pct"/>
            <w:tcBorders>
              <w:top w:val="nil"/>
              <w:left w:val="nil"/>
              <w:bottom w:val="nil"/>
              <w:right w:val="nil"/>
            </w:tcBorders>
            <w:shd w:val="clear" w:color="auto" w:fill="auto"/>
            <w:noWrap/>
            <w:vAlign w:val="center"/>
            <w:hideMark/>
          </w:tcPr>
          <w:p w14:paraId="47345895"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1.754.555 </w:t>
            </w:r>
          </w:p>
        </w:tc>
        <w:tc>
          <w:tcPr>
            <w:tcW w:w="785" w:type="pct"/>
            <w:tcBorders>
              <w:top w:val="nil"/>
              <w:left w:val="nil"/>
              <w:bottom w:val="nil"/>
              <w:right w:val="nil"/>
            </w:tcBorders>
            <w:shd w:val="clear" w:color="auto" w:fill="auto"/>
            <w:noWrap/>
            <w:vAlign w:val="center"/>
            <w:hideMark/>
          </w:tcPr>
          <w:p w14:paraId="3E37309C"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1.006.682 </w:t>
            </w:r>
          </w:p>
        </w:tc>
        <w:tc>
          <w:tcPr>
            <w:tcW w:w="789" w:type="pct"/>
            <w:tcBorders>
              <w:top w:val="nil"/>
              <w:left w:val="nil"/>
              <w:bottom w:val="nil"/>
              <w:right w:val="nil"/>
            </w:tcBorders>
            <w:shd w:val="clear" w:color="auto" w:fill="auto"/>
            <w:noWrap/>
            <w:vAlign w:val="center"/>
            <w:hideMark/>
          </w:tcPr>
          <w:p w14:paraId="66509A66"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747.873 </w:t>
            </w:r>
          </w:p>
        </w:tc>
        <w:tc>
          <w:tcPr>
            <w:tcW w:w="472" w:type="pct"/>
            <w:tcBorders>
              <w:top w:val="nil"/>
              <w:left w:val="nil"/>
              <w:bottom w:val="nil"/>
              <w:right w:val="nil"/>
            </w:tcBorders>
            <w:shd w:val="clear" w:color="auto" w:fill="auto"/>
            <w:noWrap/>
            <w:vAlign w:val="bottom"/>
            <w:hideMark/>
          </w:tcPr>
          <w:p w14:paraId="3D403111"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052A8A48" w14:textId="77777777" w:rsidTr="00FC7170">
        <w:trPr>
          <w:trHeight w:hRule="exact" w:val="227"/>
        </w:trPr>
        <w:tc>
          <w:tcPr>
            <w:tcW w:w="2172" w:type="pct"/>
            <w:tcBorders>
              <w:top w:val="nil"/>
              <w:left w:val="nil"/>
              <w:bottom w:val="nil"/>
              <w:right w:val="nil"/>
            </w:tcBorders>
            <w:shd w:val="clear" w:color="auto" w:fill="auto"/>
            <w:noWrap/>
            <w:vAlign w:val="center"/>
            <w:hideMark/>
          </w:tcPr>
          <w:p w14:paraId="43D88C90"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Custo do Serviço Prestado</w:t>
            </w:r>
          </w:p>
        </w:tc>
        <w:tc>
          <w:tcPr>
            <w:tcW w:w="782" w:type="pct"/>
            <w:tcBorders>
              <w:top w:val="nil"/>
              <w:left w:val="nil"/>
              <w:bottom w:val="nil"/>
              <w:right w:val="nil"/>
            </w:tcBorders>
            <w:shd w:val="clear" w:color="auto" w:fill="auto"/>
            <w:noWrap/>
            <w:vAlign w:val="center"/>
            <w:hideMark/>
          </w:tcPr>
          <w:p w14:paraId="65955850"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785" w:type="pct"/>
            <w:tcBorders>
              <w:top w:val="nil"/>
              <w:left w:val="nil"/>
              <w:bottom w:val="nil"/>
              <w:right w:val="nil"/>
            </w:tcBorders>
            <w:shd w:val="clear" w:color="auto" w:fill="auto"/>
            <w:noWrap/>
            <w:vAlign w:val="center"/>
            <w:hideMark/>
          </w:tcPr>
          <w:p w14:paraId="2D69D36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789" w:type="pct"/>
            <w:tcBorders>
              <w:top w:val="nil"/>
              <w:left w:val="nil"/>
              <w:bottom w:val="nil"/>
              <w:right w:val="nil"/>
            </w:tcBorders>
            <w:shd w:val="clear" w:color="auto" w:fill="auto"/>
            <w:noWrap/>
            <w:vAlign w:val="center"/>
            <w:hideMark/>
          </w:tcPr>
          <w:p w14:paraId="4FDFBDD4"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   </w:t>
            </w:r>
          </w:p>
        </w:tc>
        <w:tc>
          <w:tcPr>
            <w:tcW w:w="472" w:type="pct"/>
            <w:tcBorders>
              <w:top w:val="nil"/>
              <w:left w:val="nil"/>
              <w:bottom w:val="nil"/>
              <w:right w:val="nil"/>
            </w:tcBorders>
            <w:shd w:val="clear" w:color="auto" w:fill="auto"/>
            <w:noWrap/>
            <w:vAlign w:val="center"/>
            <w:hideMark/>
          </w:tcPr>
          <w:p w14:paraId="55825CAF"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15526FFF" w14:textId="77777777" w:rsidTr="00FC7170">
        <w:trPr>
          <w:trHeight w:hRule="exact" w:val="227"/>
        </w:trPr>
        <w:tc>
          <w:tcPr>
            <w:tcW w:w="2172" w:type="pct"/>
            <w:tcBorders>
              <w:top w:val="nil"/>
              <w:left w:val="nil"/>
              <w:bottom w:val="nil"/>
              <w:right w:val="nil"/>
            </w:tcBorders>
            <w:shd w:val="clear" w:color="auto" w:fill="auto"/>
            <w:noWrap/>
            <w:vAlign w:val="center"/>
            <w:hideMark/>
          </w:tcPr>
          <w:p w14:paraId="4C07A46D"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2" w:type="pct"/>
            <w:tcBorders>
              <w:top w:val="nil"/>
              <w:left w:val="nil"/>
              <w:bottom w:val="nil"/>
              <w:right w:val="nil"/>
            </w:tcBorders>
            <w:shd w:val="clear" w:color="auto" w:fill="auto"/>
            <w:noWrap/>
            <w:vAlign w:val="center"/>
            <w:hideMark/>
          </w:tcPr>
          <w:p w14:paraId="5C3BD33F"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E23F611"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44A3F6BE"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bottom"/>
            <w:hideMark/>
          </w:tcPr>
          <w:p w14:paraId="613DA792"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43C28A1C"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69F48F4"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BRUTO</w:t>
            </w:r>
          </w:p>
        </w:tc>
        <w:tc>
          <w:tcPr>
            <w:tcW w:w="782" w:type="pct"/>
            <w:tcBorders>
              <w:top w:val="nil"/>
              <w:left w:val="nil"/>
              <w:bottom w:val="nil"/>
              <w:right w:val="nil"/>
            </w:tcBorders>
            <w:shd w:val="clear" w:color="auto" w:fill="auto"/>
            <w:noWrap/>
            <w:vAlign w:val="center"/>
            <w:hideMark/>
          </w:tcPr>
          <w:p w14:paraId="77BE7EC5"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1.754.555 </w:t>
            </w:r>
          </w:p>
        </w:tc>
        <w:tc>
          <w:tcPr>
            <w:tcW w:w="785" w:type="pct"/>
            <w:tcBorders>
              <w:top w:val="nil"/>
              <w:left w:val="nil"/>
              <w:bottom w:val="nil"/>
              <w:right w:val="nil"/>
            </w:tcBorders>
            <w:shd w:val="clear" w:color="auto" w:fill="auto"/>
            <w:noWrap/>
            <w:vAlign w:val="center"/>
            <w:hideMark/>
          </w:tcPr>
          <w:p w14:paraId="62124C5E"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1.006.682 </w:t>
            </w:r>
          </w:p>
        </w:tc>
        <w:tc>
          <w:tcPr>
            <w:tcW w:w="789" w:type="pct"/>
            <w:tcBorders>
              <w:top w:val="nil"/>
              <w:left w:val="nil"/>
              <w:bottom w:val="nil"/>
              <w:right w:val="nil"/>
            </w:tcBorders>
            <w:shd w:val="clear" w:color="auto" w:fill="auto"/>
            <w:noWrap/>
            <w:vAlign w:val="center"/>
            <w:hideMark/>
          </w:tcPr>
          <w:p w14:paraId="73089547"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747.873 </w:t>
            </w:r>
          </w:p>
        </w:tc>
        <w:tc>
          <w:tcPr>
            <w:tcW w:w="472" w:type="pct"/>
            <w:tcBorders>
              <w:top w:val="nil"/>
              <w:left w:val="nil"/>
              <w:bottom w:val="nil"/>
              <w:right w:val="nil"/>
            </w:tcBorders>
            <w:shd w:val="clear" w:color="auto" w:fill="auto"/>
            <w:noWrap/>
            <w:vAlign w:val="bottom"/>
            <w:hideMark/>
          </w:tcPr>
          <w:p w14:paraId="2B53AA8C"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0DA615C8"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939386E"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2" w:type="pct"/>
            <w:tcBorders>
              <w:top w:val="nil"/>
              <w:left w:val="nil"/>
              <w:bottom w:val="nil"/>
              <w:right w:val="nil"/>
            </w:tcBorders>
            <w:shd w:val="clear" w:color="auto" w:fill="auto"/>
            <w:noWrap/>
            <w:vAlign w:val="center"/>
            <w:hideMark/>
          </w:tcPr>
          <w:p w14:paraId="433688C9"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1E2A6309"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5B2605D8"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bottom"/>
            <w:hideMark/>
          </w:tcPr>
          <w:p w14:paraId="5CBB0470"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6CAC69E2" w14:textId="77777777" w:rsidTr="00FC7170">
        <w:trPr>
          <w:trHeight w:hRule="exact" w:val="227"/>
        </w:trPr>
        <w:tc>
          <w:tcPr>
            <w:tcW w:w="2172" w:type="pct"/>
            <w:tcBorders>
              <w:top w:val="nil"/>
              <w:left w:val="nil"/>
              <w:bottom w:val="nil"/>
              <w:right w:val="nil"/>
            </w:tcBorders>
            <w:shd w:val="clear" w:color="auto" w:fill="auto"/>
            <w:noWrap/>
            <w:vAlign w:val="center"/>
            <w:hideMark/>
          </w:tcPr>
          <w:p w14:paraId="379E4C02"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DESPESAS OPERACIONAIS</w:t>
            </w:r>
          </w:p>
        </w:tc>
        <w:tc>
          <w:tcPr>
            <w:tcW w:w="782" w:type="pct"/>
            <w:tcBorders>
              <w:top w:val="nil"/>
              <w:left w:val="nil"/>
              <w:bottom w:val="nil"/>
              <w:right w:val="nil"/>
            </w:tcBorders>
            <w:shd w:val="clear" w:color="auto" w:fill="auto"/>
            <w:noWrap/>
            <w:vAlign w:val="center"/>
            <w:hideMark/>
          </w:tcPr>
          <w:p w14:paraId="4ED6C4F6"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(50.776.871)</w:t>
            </w:r>
          </w:p>
        </w:tc>
        <w:tc>
          <w:tcPr>
            <w:tcW w:w="785" w:type="pct"/>
            <w:tcBorders>
              <w:top w:val="nil"/>
              <w:left w:val="nil"/>
              <w:bottom w:val="nil"/>
              <w:right w:val="nil"/>
            </w:tcBorders>
            <w:shd w:val="clear" w:color="auto" w:fill="auto"/>
            <w:noWrap/>
            <w:vAlign w:val="center"/>
            <w:hideMark/>
          </w:tcPr>
          <w:p w14:paraId="204F0236" w14:textId="32D9C5E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(54.009.8</w:t>
            </w:r>
            <w:r w:rsidR="006B5428">
              <w:rPr>
                <w:rFonts w:ascii="Aptos Narrow" w:eastAsia="Times New Roman" w:hAnsi="Aptos Narrow" w:cs="Calibri"/>
                <w:b/>
                <w:bCs/>
                <w:color w:val="000000"/>
                <w:sz w:val="16"/>
                <w:szCs w:val="16"/>
              </w:rPr>
              <w:t>8</w:t>
            </w:r>
            <w:r w:rsidR="00651094">
              <w:rPr>
                <w:rFonts w:ascii="Aptos Narrow" w:eastAsia="Times New Roman" w:hAnsi="Aptos Narrow" w:cs="Calibri"/>
                <w:b/>
                <w:bCs/>
                <w:color w:val="000000"/>
                <w:sz w:val="16"/>
                <w:szCs w:val="16"/>
              </w:rPr>
              <w:t>1</w:t>
            </w:r>
            <w:r w:rsidRPr="005E26CD">
              <w:rPr>
                <w:rFonts w:ascii="Aptos Narrow" w:eastAsia="Times New Roman" w:hAnsi="Aptos Narrow" w:cs="Calibri"/>
                <w:b/>
                <w:bCs/>
                <w:color w:val="000000"/>
                <w:sz w:val="16"/>
                <w:szCs w:val="16"/>
              </w:rPr>
              <w:t>)</w:t>
            </w:r>
          </w:p>
        </w:tc>
        <w:tc>
          <w:tcPr>
            <w:tcW w:w="789" w:type="pct"/>
            <w:tcBorders>
              <w:top w:val="nil"/>
              <w:left w:val="nil"/>
              <w:bottom w:val="nil"/>
              <w:right w:val="nil"/>
            </w:tcBorders>
            <w:shd w:val="clear" w:color="auto" w:fill="auto"/>
            <w:noWrap/>
            <w:vAlign w:val="center"/>
            <w:hideMark/>
          </w:tcPr>
          <w:p w14:paraId="12149A3A" w14:textId="078028BD"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3.233.0</w:t>
            </w:r>
            <w:r w:rsidR="00651094">
              <w:rPr>
                <w:rFonts w:ascii="Aptos Narrow" w:eastAsia="Times New Roman" w:hAnsi="Aptos Narrow" w:cs="Calibri"/>
                <w:b/>
                <w:bCs/>
                <w:color w:val="000000"/>
                <w:sz w:val="16"/>
                <w:szCs w:val="16"/>
              </w:rPr>
              <w:t>10</w:t>
            </w:r>
          </w:p>
        </w:tc>
        <w:tc>
          <w:tcPr>
            <w:tcW w:w="472" w:type="pct"/>
            <w:tcBorders>
              <w:top w:val="nil"/>
              <w:left w:val="nil"/>
              <w:bottom w:val="nil"/>
              <w:right w:val="nil"/>
            </w:tcBorders>
            <w:shd w:val="clear" w:color="auto" w:fill="auto"/>
            <w:noWrap/>
            <w:vAlign w:val="bottom"/>
            <w:hideMark/>
          </w:tcPr>
          <w:p w14:paraId="3B6D56EC"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2E306A1E" w14:textId="77777777" w:rsidTr="00FC7170">
        <w:trPr>
          <w:trHeight w:hRule="exact" w:val="227"/>
        </w:trPr>
        <w:tc>
          <w:tcPr>
            <w:tcW w:w="2172" w:type="pct"/>
            <w:tcBorders>
              <w:top w:val="nil"/>
              <w:left w:val="nil"/>
              <w:bottom w:val="nil"/>
              <w:right w:val="nil"/>
            </w:tcBorders>
            <w:shd w:val="clear" w:color="auto" w:fill="auto"/>
            <w:noWrap/>
            <w:vAlign w:val="center"/>
            <w:hideMark/>
          </w:tcPr>
          <w:p w14:paraId="2D66EE40"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Pessoal</w:t>
            </w:r>
          </w:p>
        </w:tc>
        <w:tc>
          <w:tcPr>
            <w:tcW w:w="782" w:type="pct"/>
            <w:tcBorders>
              <w:top w:val="nil"/>
              <w:left w:val="nil"/>
              <w:bottom w:val="nil"/>
              <w:right w:val="nil"/>
            </w:tcBorders>
            <w:shd w:val="clear" w:color="auto" w:fill="auto"/>
            <w:noWrap/>
            <w:vAlign w:val="center"/>
            <w:hideMark/>
          </w:tcPr>
          <w:p w14:paraId="60CEDD7F"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(41.045.929)</w:t>
            </w:r>
          </w:p>
        </w:tc>
        <w:tc>
          <w:tcPr>
            <w:tcW w:w="785" w:type="pct"/>
            <w:tcBorders>
              <w:top w:val="nil"/>
              <w:left w:val="nil"/>
              <w:bottom w:val="nil"/>
              <w:right w:val="nil"/>
            </w:tcBorders>
            <w:shd w:val="clear" w:color="auto" w:fill="auto"/>
            <w:noWrap/>
            <w:vAlign w:val="center"/>
            <w:hideMark/>
          </w:tcPr>
          <w:p w14:paraId="7B143F94"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(41.044.049)</w:t>
            </w:r>
          </w:p>
        </w:tc>
        <w:tc>
          <w:tcPr>
            <w:tcW w:w="789" w:type="pct"/>
            <w:tcBorders>
              <w:top w:val="nil"/>
              <w:left w:val="nil"/>
              <w:bottom w:val="nil"/>
              <w:right w:val="nil"/>
            </w:tcBorders>
            <w:shd w:val="clear" w:color="auto" w:fill="auto"/>
            <w:noWrap/>
            <w:vAlign w:val="center"/>
            <w:hideMark/>
          </w:tcPr>
          <w:p w14:paraId="52D806ED"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(1.881)</w:t>
            </w:r>
          </w:p>
        </w:tc>
        <w:tc>
          <w:tcPr>
            <w:tcW w:w="472" w:type="pct"/>
            <w:tcBorders>
              <w:top w:val="nil"/>
              <w:left w:val="nil"/>
              <w:bottom w:val="nil"/>
              <w:right w:val="nil"/>
            </w:tcBorders>
            <w:shd w:val="clear" w:color="auto" w:fill="auto"/>
            <w:noWrap/>
            <w:vAlign w:val="center"/>
            <w:hideMark/>
          </w:tcPr>
          <w:p w14:paraId="448E9D2C"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(5)</w:t>
            </w:r>
          </w:p>
        </w:tc>
      </w:tr>
      <w:tr w:rsidR="005E26CD" w:rsidRPr="005E26CD" w14:paraId="4EE61468"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263BF2B"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Remuneração dos Administradores e Conselho Fiscal</w:t>
            </w:r>
          </w:p>
        </w:tc>
        <w:tc>
          <w:tcPr>
            <w:tcW w:w="782" w:type="pct"/>
            <w:tcBorders>
              <w:top w:val="nil"/>
              <w:left w:val="nil"/>
              <w:bottom w:val="nil"/>
              <w:right w:val="nil"/>
            </w:tcBorders>
            <w:shd w:val="clear" w:color="auto" w:fill="auto"/>
            <w:noWrap/>
            <w:vAlign w:val="center"/>
            <w:hideMark/>
          </w:tcPr>
          <w:p w14:paraId="17A985ED"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(266.199)</w:t>
            </w:r>
          </w:p>
        </w:tc>
        <w:tc>
          <w:tcPr>
            <w:tcW w:w="785" w:type="pct"/>
            <w:tcBorders>
              <w:top w:val="nil"/>
              <w:left w:val="nil"/>
              <w:bottom w:val="nil"/>
              <w:right w:val="nil"/>
            </w:tcBorders>
            <w:shd w:val="clear" w:color="auto" w:fill="auto"/>
            <w:noWrap/>
            <w:vAlign w:val="center"/>
            <w:hideMark/>
          </w:tcPr>
          <w:p w14:paraId="5D839C8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(266.199)</w:t>
            </w:r>
          </w:p>
        </w:tc>
        <w:tc>
          <w:tcPr>
            <w:tcW w:w="789" w:type="pct"/>
            <w:tcBorders>
              <w:top w:val="nil"/>
              <w:left w:val="nil"/>
              <w:bottom w:val="nil"/>
              <w:right w:val="nil"/>
            </w:tcBorders>
            <w:shd w:val="clear" w:color="auto" w:fill="auto"/>
            <w:noWrap/>
            <w:vAlign w:val="center"/>
            <w:hideMark/>
          </w:tcPr>
          <w:p w14:paraId="1D17DEAD"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472" w:type="pct"/>
            <w:tcBorders>
              <w:top w:val="nil"/>
              <w:left w:val="nil"/>
              <w:bottom w:val="nil"/>
              <w:right w:val="nil"/>
            </w:tcBorders>
            <w:shd w:val="clear" w:color="auto" w:fill="auto"/>
            <w:noWrap/>
            <w:vAlign w:val="center"/>
            <w:hideMark/>
          </w:tcPr>
          <w:p w14:paraId="37C6563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p>
        </w:tc>
      </w:tr>
      <w:tr w:rsidR="005E26CD" w:rsidRPr="005E26CD" w14:paraId="3A62C2FD" w14:textId="77777777" w:rsidTr="00FC7170">
        <w:trPr>
          <w:trHeight w:hRule="exact" w:val="227"/>
        </w:trPr>
        <w:tc>
          <w:tcPr>
            <w:tcW w:w="2172" w:type="pct"/>
            <w:tcBorders>
              <w:top w:val="nil"/>
              <w:left w:val="nil"/>
              <w:bottom w:val="nil"/>
              <w:right w:val="nil"/>
            </w:tcBorders>
            <w:shd w:val="clear" w:color="auto" w:fill="auto"/>
            <w:noWrap/>
            <w:vAlign w:val="center"/>
            <w:hideMark/>
          </w:tcPr>
          <w:p w14:paraId="6BA9BBDC"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Depreciação e Amortização</w:t>
            </w:r>
          </w:p>
        </w:tc>
        <w:tc>
          <w:tcPr>
            <w:tcW w:w="782" w:type="pct"/>
            <w:tcBorders>
              <w:top w:val="nil"/>
              <w:left w:val="nil"/>
              <w:bottom w:val="nil"/>
              <w:right w:val="nil"/>
            </w:tcBorders>
            <w:shd w:val="clear" w:color="auto" w:fill="auto"/>
            <w:noWrap/>
            <w:vAlign w:val="center"/>
            <w:hideMark/>
          </w:tcPr>
          <w:p w14:paraId="6998DE35"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(1.620.156)</w:t>
            </w:r>
          </w:p>
        </w:tc>
        <w:tc>
          <w:tcPr>
            <w:tcW w:w="785" w:type="pct"/>
            <w:tcBorders>
              <w:top w:val="nil"/>
              <w:left w:val="nil"/>
              <w:bottom w:val="nil"/>
              <w:right w:val="nil"/>
            </w:tcBorders>
            <w:shd w:val="clear" w:color="auto" w:fill="auto"/>
            <w:noWrap/>
            <w:vAlign w:val="center"/>
            <w:hideMark/>
          </w:tcPr>
          <w:p w14:paraId="289177B0"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(871.347)</w:t>
            </w:r>
          </w:p>
        </w:tc>
        <w:tc>
          <w:tcPr>
            <w:tcW w:w="789" w:type="pct"/>
            <w:tcBorders>
              <w:top w:val="nil"/>
              <w:left w:val="nil"/>
              <w:bottom w:val="nil"/>
              <w:right w:val="nil"/>
            </w:tcBorders>
            <w:shd w:val="clear" w:color="auto" w:fill="auto"/>
            <w:noWrap/>
            <w:vAlign w:val="center"/>
            <w:hideMark/>
          </w:tcPr>
          <w:p w14:paraId="6FA96C02"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(748.810)</w:t>
            </w:r>
          </w:p>
        </w:tc>
        <w:tc>
          <w:tcPr>
            <w:tcW w:w="472" w:type="pct"/>
            <w:tcBorders>
              <w:top w:val="nil"/>
              <w:left w:val="nil"/>
              <w:bottom w:val="nil"/>
              <w:right w:val="nil"/>
            </w:tcBorders>
            <w:shd w:val="clear" w:color="auto" w:fill="auto"/>
            <w:noWrap/>
            <w:vAlign w:val="center"/>
            <w:hideMark/>
          </w:tcPr>
          <w:p w14:paraId="51A17718"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(7;9)</w:t>
            </w:r>
          </w:p>
        </w:tc>
      </w:tr>
      <w:tr w:rsidR="005E26CD" w:rsidRPr="005E26CD" w14:paraId="33B271E1" w14:textId="77777777" w:rsidTr="00FC7170">
        <w:trPr>
          <w:trHeight w:hRule="exact" w:val="227"/>
        </w:trPr>
        <w:tc>
          <w:tcPr>
            <w:tcW w:w="2172" w:type="pct"/>
            <w:tcBorders>
              <w:top w:val="nil"/>
              <w:left w:val="nil"/>
              <w:bottom w:val="nil"/>
              <w:right w:val="nil"/>
            </w:tcBorders>
            <w:shd w:val="clear" w:color="auto" w:fill="auto"/>
            <w:noWrap/>
            <w:vAlign w:val="center"/>
            <w:hideMark/>
          </w:tcPr>
          <w:p w14:paraId="79DF33A1"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Gerais e Administrativas</w:t>
            </w:r>
          </w:p>
        </w:tc>
        <w:tc>
          <w:tcPr>
            <w:tcW w:w="782" w:type="pct"/>
            <w:tcBorders>
              <w:top w:val="nil"/>
              <w:left w:val="nil"/>
              <w:bottom w:val="nil"/>
              <w:right w:val="nil"/>
            </w:tcBorders>
            <w:shd w:val="clear" w:color="auto" w:fill="auto"/>
            <w:noWrap/>
            <w:vAlign w:val="center"/>
            <w:hideMark/>
          </w:tcPr>
          <w:p w14:paraId="02CCB1E3"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(7.263.325)</w:t>
            </w:r>
          </w:p>
        </w:tc>
        <w:tc>
          <w:tcPr>
            <w:tcW w:w="785" w:type="pct"/>
            <w:tcBorders>
              <w:top w:val="nil"/>
              <w:left w:val="nil"/>
              <w:bottom w:val="nil"/>
              <w:right w:val="nil"/>
            </w:tcBorders>
            <w:shd w:val="clear" w:color="auto" w:fill="auto"/>
            <w:noWrap/>
            <w:vAlign w:val="center"/>
            <w:hideMark/>
          </w:tcPr>
          <w:p w14:paraId="01D0F177"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(8.691.481)</w:t>
            </w:r>
          </w:p>
        </w:tc>
        <w:tc>
          <w:tcPr>
            <w:tcW w:w="789" w:type="pct"/>
            <w:tcBorders>
              <w:top w:val="nil"/>
              <w:left w:val="nil"/>
              <w:bottom w:val="nil"/>
              <w:right w:val="nil"/>
            </w:tcBorders>
            <w:shd w:val="clear" w:color="auto" w:fill="auto"/>
            <w:noWrap/>
            <w:vAlign w:val="center"/>
            <w:hideMark/>
          </w:tcPr>
          <w:p w14:paraId="47CC04D9"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1.428.156 </w:t>
            </w:r>
          </w:p>
        </w:tc>
        <w:tc>
          <w:tcPr>
            <w:tcW w:w="472" w:type="pct"/>
            <w:tcBorders>
              <w:top w:val="nil"/>
              <w:left w:val="nil"/>
              <w:bottom w:val="nil"/>
              <w:right w:val="nil"/>
            </w:tcBorders>
            <w:shd w:val="clear" w:color="auto" w:fill="auto"/>
            <w:noWrap/>
            <w:vAlign w:val="center"/>
            <w:hideMark/>
          </w:tcPr>
          <w:p w14:paraId="78E2E685"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 xml:space="preserve">(1;11;12;17) </w:t>
            </w:r>
          </w:p>
        </w:tc>
      </w:tr>
      <w:tr w:rsidR="005E26CD" w:rsidRPr="005E26CD" w14:paraId="6D69EE34"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FC79E6D"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Diárias, Passagens e Despesas de Locomoção</w:t>
            </w:r>
          </w:p>
        </w:tc>
        <w:tc>
          <w:tcPr>
            <w:tcW w:w="782" w:type="pct"/>
            <w:tcBorders>
              <w:top w:val="nil"/>
              <w:left w:val="nil"/>
              <w:bottom w:val="nil"/>
              <w:right w:val="nil"/>
            </w:tcBorders>
            <w:shd w:val="clear" w:color="auto" w:fill="auto"/>
            <w:noWrap/>
            <w:vAlign w:val="center"/>
            <w:hideMark/>
          </w:tcPr>
          <w:p w14:paraId="0815A5B3" w14:textId="51A0774A"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(581.26</w:t>
            </w:r>
            <w:r w:rsidR="00651094">
              <w:rPr>
                <w:rFonts w:ascii="Aptos Narrow" w:eastAsia="Times New Roman" w:hAnsi="Aptos Narrow" w:cs="Calibri"/>
                <w:color w:val="000000"/>
                <w:sz w:val="16"/>
                <w:szCs w:val="16"/>
              </w:rPr>
              <w:t>2</w:t>
            </w:r>
            <w:r w:rsidRPr="005E26CD">
              <w:rPr>
                <w:rFonts w:ascii="Aptos Narrow" w:eastAsia="Times New Roman" w:hAnsi="Aptos Narrow" w:cs="Calibri"/>
                <w:color w:val="000000"/>
                <w:sz w:val="16"/>
                <w:szCs w:val="16"/>
              </w:rPr>
              <w:t>)</w:t>
            </w:r>
          </w:p>
        </w:tc>
        <w:tc>
          <w:tcPr>
            <w:tcW w:w="785" w:type="pct"/>
            <w:tcBorders>
              <w:top w:val="nil"/>
              <w:left w:val="nil"/>
              <w:bottom w:val="nil"/>
              <w:right w:val="nil"/>
            </w:tcBorders>
            <w:shd w:val="clear" w:color="auto" w:fill="auto"/>
            <w:noWrap/>
            <w:vAlign w:val="center"/>
            <w:hideMark/>
          </w:tcPr>
          <w:p w14:paraId="41827F4C" w14:textId="57DD4F2E"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(581.26</w:t>
            </w:r>
            <w:r w:rsidR="00651094">
              <w:rPr>
                <w:rFonts w:ascii="Aptos Narrow" w:eastAsia="Times New Roman" w:hAnsi="Aptos Narrow" w:cs="Calibri"/>
                <w:color w:val="000000"/>
                <w:sz w:val="16"/>
                <w:szCs w:val="16"/>
              </w:rPr>
              <w:t>2</w:t>
            </w:r>
            <w:r w:rsidRPr="005E26CD">
              <w:rPr>
                <w:rFonts w:ascii="Aptos Narrow" w:eastAsia="Times New Roman" w:hAnsi="Aptos Narrow" w:cs="Calibri"/>
                <w:color w:val="000000"/>
                <w:sz w:val="16"/>
                <w:szCs w:val="16"/>
              </w:rPr>
              <w:t>)</w:t>
            </w:r>
          </w:p>
        </w:tc>
        <w:tc>
          <w:tcPr>
            <w:tcW w:w="789" w:type="pct"/>
            <w:tcBorders>
              <w:top w:val="nil"/>
              <w:left w:val="nil"/>
              <w:bottom w:val="nil"/>
              <w:right w:val="nil"/>
            </w:tcBorders>
            <w:shd w:val="clear" w:color="auto" w:fill="auto"/>
            <w:noWrap/>
            <w:vAlign w:val="center"/>
            <w:hideMark/>
          </w:tcPr>
          <w:p w14:paraId="465A541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472" w:type="pct"/>
            <w:tcBorders>
              <w:top w:val="nil"/>
              <w:left w:val="nil"/>
              <w:bottom w:val="nil"/>
              <w:right w:val="nil"/>
            </w:tcBorders>
            <w:shd w:val="clear" w:color="auto" w:fill="auto"/>
            <w:noWrap/>
            <w:vAlign w:val="center"/>
            <w:hideMark/>
          </w:tcPr>
          <w:p w14:paraId="1258A2C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p>
        </w:tc>
      </w:tr>
      <w:tr w:rsidR="005E26CD" w:rsidRPr="005E26CD" w14:paraId="36010F59"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3E44465"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Transferência Voluntária </w:t>
            </w:r>
          </w:p>
        </w:tc>
        <w:tc>
          <w:tcPr>
            <w:tcW w:w="782" w:type="pct"/>
            <w:tcBorders>
              <w:top w:val="nil"/>
              <w:left w:val="nil"/>
              <w:bottom w:val="nil"/>
              <w:right w:val="nil"/>
            </w:tcBorders>
            <w:shd w:val="clear" w:color="auto" w:fill="auto"/>
            <w:noWrap/>
            <w:vAlign w:val="center"/>
            <w:hideMark/>
          </w:tcPr>
          <w:p w14:paraId="372081C7"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785" w:type="pct"/>
            <w:tcBorders>
              <w:top w:val="nil"/>
              <w:left w:val="nil"/>
              <w:bottom w:val="nil"/>
              <w:right w:val="nil"/>
            </w:tcBorders>
            <w:shd w:val="clear" w:color="auto" w:fill="auto"/>
            <w:noWrap/>
            <w:vAlign w:val="center"/>
            <w:hideMark/>
          </w:tcPr>
          <w:p w14:paraId="751F73C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(2.555.543)</w:t>
            </w:r>
          </w:p>
        </w:tc>
        <w:tc>
          <w:tcPr>
            <w:tcW w:w="789" w:type="pct"/>
            <w:tcBorders>
              <w:top w:val="nil"/>
              <w:left w:val="nil"/>
              <w:bottom w:val="nil"/>
              <w:right w:val="nil"/>
            </w:tcBorders>
            <w:shd w:val="clear" w:color="auto" w:fill="auto"/>
            <w:noWrap/>
            <w:vAlign w:val="center"/>
            <w:hideMark/>
          </w:tcPr>
          <w:p w14:paraId="52A973E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2.555.543 </w:t>
            </w:r>
          </w:p>
        </w:tc>
        <w:tc>
          <w:tcPr>
            <w:tcW w:w="472" w:type="pct"/>
            <w:tcBorders>
              <w:top w:val="nil"/>
              <w:left w:val="nil"/>
              <w:bottom w:val="nil"/>
              <w:right w:val="nil"/>
            </w:tcBorders>
            <w:shd w:val="clear" w:color="auto" w:fill="auto"/>
            <w:vAlign w:val="bottom"/>
            <w:hideMark/>
          </w:tcPr>
          <w:p w14:paraId="49CF6FCE"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(10)</w:t>
            </w:r>
          </w:p>
        </w:tc>
      </w:tr>
      <w:tr w:rsidR="005E26CD" w:rsidRPr="005E26CD" w14:paraId="474383C9" w14:textId="77777777" w:rsidTr="00FC7170">
        <w:trPr>
          <w:trHeight w:hRule="exact" w:val="227"/>
        </w:trPr>
        <w:tc>
          <w:tcPr>
            <w:tcW w:w="2172" w:type="pct"/>
            <w:tcBorders>
              <w:top w:val="nil"/>
              <w:left w:val="nil"/>
              <w:bottom w:val="nil"/>
              <w:right w:val="nil"/>
            </w:tcBorders>
            <w:shd w:val="clear" w:color="auto" w:fill="auto"/>
            <w:noWrap/>
            <w:vAlign w:val="center"/>
            <w:hideMark/>
          </w:tcPr>
          <w:p w14:paraId="61B6972E" w14:textId="77777777" w:rsidR="005E26CD" w:rsidRPr="005E26CD" w:rsidRDefault="005E26CD" w:rsidP="005E26CD">
            <w:pPr>
              <w:spacing w:after="0" w:line="240" w:lineRule="auto"/>
              <w:rPr>
                <w:rFonts w:ascii="Calibri" w:eastAsia="Times New Roman" w:hAnsi="Calibri" w:cs="Calibri"/>
                <w:sz w:val="16"/>
                <w:szCs w:val="16"/>
              </w:rPr>
            </w:pPr>
          </w:p>
        </w:tc>
        <w:tc>
          <w:tcPr>
            <w:tcW w:w="782" w:type="pct"/>
            <w:tcBorders>
              <w:top w:val="nil"/>
              <w:left w:val="nil"/>
              <w:bottom w:val="nil"/>
              <w:right w:val="nil"/>
            </w:tcBorders>
            <w:shd w:val="clear" w:color="auto" w:fill="auto"/>
            <w:noWrap/>
            <w:vAlign w:val="center"/>
            <w:hideMark/>
          </w:tcPr>
          <w:p w14:paraId="34D2B559"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1283F7EB"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6BCAAB04"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center"/>
            <w:hideMark/>
          </w:tcPr>
          <w:p w14:paraId="590F9E94"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2FFBDA1A" w14:textId="77777777" w:rsidTr="00FC7170">
        <w:trPr>
          <w:trHeight w:hRule="exact" w:val="227"/>
        </w:trPr>
        <w:tc>
          <w:tcPr>
            <w:tcW w:w="2172" w:type="pct"/>
            <w:tcBorders>
              <w:top w:val="nil"/>
              <w:left w:val="nil"/>
              <w:bottom w:val="nil"/>
              <w:right w:val="nil"/>
            </w:tcBorders>
            <w:shd w:val="clear" w:color="auto" w:fill="auto"/>
            <w:noWrap/>
            <w:vAlign w:val="center"/>
            <w:hideMark/>
          </w:tcPr>
          <w:p w14:paraId="04237EB4"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OUTRAS RECEITAS/DESPESAS OPERACIONAIS</w:t>
            </w:r>
          </w:p>
        </w:tc>
        <w:tc>
          <w:tcPr>
            <w:tcW w:w="782" w:type="pct"/>
            <w:tcBorders>
              <w:top w:val="nil"/>
              <w:left w:val="nil"/>
              <w:bottom w:val="nil"/>
              <w:right w:val="nil"/>
            </w:tcBorders>
            <w:shd w:val="clear" w:color="auto" w:fill="auto"/>
            <w:noWrap/>
            <w:vAlign w:val="center"/>
            <w:hideMark/>
          </w:tcPr>
          <w:p w14:paraId="60C07A35"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20.971.929 </w:t>
            </w:r>
          </w:p>
        </w:tc>
        <w:tc>
          <w:tcPr>
            <w:tcW w:w="785" w:type="pct"/>
            <w:tcBorders>
              <w:top w:val="nil"/>
              <w:left w:val="nil"/>
              <w:bottom w:val="nil"/>
              <w:right w:val="nil"/>
            </w:tcBorders>
            <w:shd w:val="clear" w:color="auto" w:fill="auto"/>
            <w:noWrap/>
            <w:vAlign w:val="center"/>
            <w:hideMark/>
          </w:tcPr>
          <w:p w14:paraId="531D33A5"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191.136.976 </w:t>
            </w:r>
          </w:p>
        </w:tc>
        <w:tc>
          <w:tcPr>
            <w:tcW w:w="789" w:type="pct"/>
            <w:tcBorders>
              <w:top w:val="nil"/>
              <w:left w:val="nil"/>
              <w:bottom w:val="nil"/>
              <w:right w:val="nil"/>
            </w:tcBorders>
            <w:shd w:val="clear" w:color="auto" w:fill="auto"/>
            <w:noWrap/>
            <w:vAlign w:val="center"/>
            <w:hideMark/>
          </w:tcPr>
          <w:p w14:paraId="22532C77" w14:textId="44E70291"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(170.165.04</w:t>
            </w:r>
            <w:r w:rsidR="00945E15">
              <w:rPr>
                <w:rFonts w:ascii="Aptos Narrow" w:eastAsia="Times New Roman" w:hAnsi="Aptos Narrow" w:cs="Calibri"/>
                <w:b/>
                <w:bCs/>
                <w:color w:val="000000"/>
                <w:sz w:val="16"/>
                <w:szCs w:val="16"/>
              </w:rPr>
              <w:t>7</w:t>
            </w:r>
            <w:r w:rsidRPr="005E26CD">
              <w:rPr>
                <w:rFonts w:ascii="Aptos Narrow" w:eastAsia="Times New Roman" w:hAnsi="Aptos Narrow" w:cs="Calibri"/>
                <w:b/>
                <w:bCs/>
                <w:color w:val="000000"/>
                <w:sz w:val="16"/>
                <w:szCs w:val="16"/>
              </w:rPr>
              <w:t>)</w:t>
            </w:r>
          </w:p>
        </w:tc>
        <w:tc>
          <w:tcPr>
            <w:tcW w:w="472" w:type="pct"/>
            <w:tcBorders>
              <w:top w:val="nil"/>
              <w:left w:val="nil"/>
              <w:bottom w:val="nil"/>
              <w:right w:val="nil"/>
            </w:tcBorders>
            <w:shd w:val="clear" w:color="auto" w:fill="auto"/>
            <w:noWrap/>
            <w:vAlign w:val="bottom"/>
            <w:hideMark/>
          </w:tcPr>
          <w:p w14:paraId="6BDD9DCE"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68797766" w14:textId="77777777" w:rsidTr="00FC7170">
        <w:trPr>
          <w:trHeight w:hRule="exact" w:val="227"/>
        </w:trPr>
        <w:tc>
          <w:tcPr>
            <w:tcW w:w="2172" w:type="pct"/>
            <w:tcBorders>
              <w:top w:val="nil"/>
              <w:left w:val="nil"/>
              <w:bottom w:val="nil"/>
              <w:right w:val="nil"/>
            </w:tcBorders>
            <w:shd w:val="clear" w:color="auto" w:fill="auto"/>
            <w:noWrap/>
            <w:vAlign w:val="center"/>
            <w:hideMark/>
          </w:tcPr>
          <w:p w14:paraId="6BEAF16F"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Provisão/Reversão para Contingências</w:t>
            </w:r>
          </w:p>
        </w:tc>
        <w:tc>
          <w:tcPr>
            <w:tcW w:w="782" w:type="pct"/>
            <w:tcBorders>
              <w:top w:val="nil"/>
              <w:left w:val="nil"/>
              <w:bottom w:val="nil"/>
              <w:right w:val="nil"/>
            </w:tcBorders>
            <w:shd w:val="clear" w:color="auto" w:fill="auto"/>
            <w:noWrap/>
            <w:vAlign w:val="center"/>
            <w:hideMark/>
          </w:tcPr>
          <w:p w14:paraId="2F3D0EEF"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25.756.807 </w:t>
            </w:r>
          </w:p>
        </w:tc>
        <w:tc>
          <w:tcPr>
            <w:tcW w:w="785" w:type="pct"/>
            <w:tcBorders>
              <w:top w:val="nil"/>
              <w:left w:val="nil"/>
              <w:bottom w:val="nil"/>
              <w:right w:val="nil"/>
            </w:tcBorders>
            <w:shd w:val="clear" w:color="auto" w:fill="auto"/>
            <w:noWrap/>
            <w:vAlign w:val="center"/>
            <w:hideMark/>
          </w:tcPr>
          <w:p w14:paraId="5472B7F8"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25.756.807 </w:t>
            </w:r>
          </w:p>
        </w:tc>
        <w:tc>
          <w:tcPr>
            <w:tcW w:w="789" w:type="pct"/>
            <w:tcBorders>
              <w:top w:val="nil"/>
              <w:left w:val="nil"/>
              <w:bottom w:val="nil"/>
              <w:right w:val="nil"/>
            </w:tcBorders>
            <w:shd w:val="clear" w:color="auto" w:fill="auto"/>
            <w:noWrap/>
            <w:vAlign w:val="center"/>
            <w:hideMark/>
          </w:tcPr>
          <w:p w14:paraId="50089A6E" w14:textId="77777777" w:rsidR="005E26CD" w:rsidRPr="005E26CD" w:rsidRDefault="005E26CD" w:rsidP="005E26CD">
            <w:pPr>
              <w:spacing w:after="0" w:line="240" w:lineRule="auto"/>
              <w:jc w:val="right"/>
              <w:rPr>
                <w:rFonts w:ascii="Aptos Narrow" w:eastAsia="Times New Roman" w:hAnsi="Aptos Narrow" w:cs="Calibri"/>
                <w:sz w:val="16"/>
                <w:szCs w:val="16"/>
              </w:rPr>
            </w:pPr>
            <w:r w:rsidRPr="005E26CD">
              <w:rPr>
                <w:rFonts w:ascii="Aptos Narrow" w:eastAsia="Times New Roman" w:hAnsi="Aptos Narrow" w:cs="Calibri"/>
                <w:sz w:val="16"/>
                <w:szCs w:val="16"/>
              </w:rPr>
              <w:t xml:space="preserve">                                            -   </w:t>
            </w:r>
          </w:p>
        </w:tc>
        <w:tc>
          <w:tcPr>
            <w:tcW w:w="472" w:type="pct"/>
            <w:tcBorders>
              <w:top w:val="nil"/>
              <w:left w:val="nil"/>
              <w:bottom w:val="nil"/>
              <w:right w:val="nil"/>
            </w:tcBorders>
            <w:shd w:val="clear" w:color="auto" w:fill="auto"/>
            <w:noWrap/>
            <w:vAlign w:val="bottom"/>
            <w:hideMark/>
          </w:tcPr>
          <w:p w14:paraId="75195908" w14:textId="77777777" w:rsidR="005E26CD" w:rsidRPr="005E26CD" w:rsidRDefault="005E26CD" w:rsidP="005E26CD">
            <w:pPr>
              <w:spacing w:after="0" w:line="240" w:lineRule="auto"/>
              <w:jc w:val="right"/>
              <w:rPr>
                <w:rFonts w:ascii="Aptos Narrow" w:eastAsia="Times New Roman" w:hAnsi="Aptos Narrow" w:cs="Calibri"/>
                <w:sz w:val="16"/>
                <w:szCs w:val="16"/>
              </w:rPr>
            </w:pPr>
          </w:p>
        </w:tc>
      </w:tr>
      <w:tr w:rsidR="005E26CD" w:rsidRPr="005E26CD" w14:paraId="6DC0B089"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6E668B0"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Outras Receitas/Despesas</w:t>
            </w:r>
          </w:p>
        </w:tc>
        <w:tc>
          <w:tcPr>
            <w:tcW w:w="782" w:type="pct"/>
            <w:tcBorders>
              <w:top w:val="nil"/>
              <w:left w:val="nil"/>
              <w:bottom w:val="nil"/>
              <w:right w:val="nil"/>
            </w:tcBorders>
            <w:shd w:val="clear" w:color="auto" w:fill="auto"/>
            <w:noWrap/>
            <w:vAlign w:val="center"/>
            <w:hideMark/>
          </w:tcPr>
          <w:p w14:paraId="204AD93E"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260.017 </w:t>
            </w:r>
          </w:p>
        </w:tc>
        <w:tc>
          <w:tcPr>
            <w:tcW w:w="785" w:type="pct"/>
            <w:tcBorders>
              <w:top w:val="nil"/>
              <w:left w:val="nil"/>
              <w:bottom w:val="nil"/>
              <w:right w:val="nil"/>
            </w:tcBorders>
            <w:shd w:val="clear" w:color="auto" w:fill="auto"/>
            <w:noWrap/>
            <w:vAlign w:val="center"/>
            <w:hideMark/>
          </w:tcPr>
          <w:p w14:paraId="727CE6ED"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165.380.169 </w:t>
            </w:r>
          </w:p>
        </w:tc>
        <w:tc>
          <w:tcPr>
            <w:tcW w:w="789" w:type="pct"/>
            <w:tcBorders>
              <w:top w:val="nil"/>
              <w:left w:val="nil"/>
              <w:bottom w:val="nil"/>
              <w:right w:val="nil"/>
            </w:tcBorders>
            <w:shd w:val="clear" w:color="auto" w:fill="auto"/>
            <w:noWrap/>
            <w:vAlign w:val="center"/>
            <w:hideMark/>
          </w:tcPr>
          <w:p w14:paraId="3CB4164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(165.120.152)</w:t>
            </w:r>
          </w:p>
        </w:tc>
        <w:tc>
          <w:tcPr>
            <w:tcW w:w="472" w:type="pct"/>
            <w:tcBorders>
              <w:top w:val="nil"/>
              <w:left w:val="nil"/>
              <w:bottom w:val="nil"/>
              <w:right w:val="nil"/>
            </w:tcBorders>
            <w:shd w:val="clear" w:color="auto" w:fill="auto"/>
            <w:noWrap/>
            <w:vAlign w:val="bottom"/>
            <w:hideMark/>
          </w:tcPr>
          <w:p w14:paraId="63C73ECA" w14:textId="3F240872"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(1;2;7;</w:t>
            </w:r>
            <w:r w:rsidR="006D1F27">
              <w:rPr>
                <w:rFonts w:ascii="Calibri" w:eastAsia="Times New Roman" w:hAnsi="Calibri" w:cs="Calibri"/>
                <w:sz w:val="16"/>
                <w:szCs w:val="16"/>
              </w:rPr>
              <w:t>12;</w:t>
            </w:r>
            <w:r w:rsidRPr="005E26CD">
              <w:rPr>
                <w:rFonts w:ascii="Calibri" w:eastAsia="Times New Roman" w:hAnsi="Calibri" w:cs="Calibri"/>
                <w:sz w:val="16"/>
                <w:szCs w:val="16"/>
              </w:rPr>
              <w:t>15)</w:t>
            </w:r>
          </w:p>
        </w:tc>
      </w:tr>
      <w:tr w:rsidR="005E26CD" w:rsidRPr="005E26CD" w14:paraId="4C5CA981"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44159DB"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Resultado de Equivalência Patrimonial</w:t>
            </w:r>
          </w:p>
        </w:tc>
        <w:tc>
          <w:tcPr>
            <w:tcW w:w="782" w:type="pct"/>
            <w:tcBorders>
              <w:top w:val="nil"/>
              <w:left w:val="nil"/>
              <w:bottom w:val="nil"/>
              <w:right w:val="nil"/>
            </w:tcBorders>
            <w:shd w:val="clear" w:color="auto" w:fill="auto"/>
            <w:noWrap/>
            <w:vAlign w:val="center"/>
            <w:hideMark/>
          </w:tcPr>
          <w:p w14:paraId="2A20D132"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(5.044.895)</w:t>
            </w:r>
          </w:p>
        </w:tc>
        <w:tc>
          <w:tcPr>
            <w:tcW w:w="785" w:type="pct"/>
            <w:tcBorders>
              <w:top w:val="nil"/>
              <w:left w:val="nil"/>
              <w:bottom w:val="nil"/>
              <w:right w:val="nil"/>
            </w:tcBorders>
            <w:shd w:val="clear" w:color="auto" w:fill="auto"/>
            <w:noWrap/>
            <w:vAlign w:val="center"/>
            <w:hideMark/>
          </w:tcPr>
          <w:p w14:paraId="48062C34"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789" w:type="pct"/>
            <w:tcBorders>
              <w:top w:val="nil"/>
              <w:left w:val="nil"/>
              <w:bottom w:val="nil"/>
              <w:right w:val="nil"/>
            </w:tcBorders>
            <w:shd w:val="clear" w:color="auto" w:fill="auto"/>
            <w:noWrap/>
            <w:vAlign w:val="center"/>
            <w:hideMark/>
          </w:tcPr>
          <w:p w14:paraId="2FDA93D8"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(5.044.895)</w:t>
            </w:r>
          </w:p>
        </w:tc>
        <w:tc>
          <w:tcPr>
            <w:tcW w:w="472" w:type="pct"/>
            <w:tcBorders>
              <w:top w:val="nil"/>
              <w:left w:val="nil"/>
              <w:bottom w:val="nil"/>
              <w:right w:val="nil"/>
            </w:tcBorders>
            <w:shd w:val="clear" w:color="auto" w:fill="auto"/>
            <w:noWrap/>
            <w:vAlign w:val="center"/>
            <w:hideMark/>
          </w:tcPr>
          <w:p w14:paraId="6F668DD9" w14:textId="77777777" w:rsidR="005E26CD" w:rsidRPr="005E26CD" w:rsidRDefault="005E26CD" w:rsidP="005E26CD">
            <w:pPr>
              <w:spacing w:after="0" w:line="240" w:lineRule="auto"/>
              <w:rPr>
                <w:rFonts w:ascii="Aptos Narrow" w:eastAsia="Times New Roman" w:hAnsi="Aptos Narrow" w:cs="Calibri"/>
                <w:sz w:val="16"/>
                <w:szCs w:val="16"/>
              </w:rPr>
            </w:pPr>
            <w:r w:rsidRPr="005E26CD">
              <w:rPr>
                <w:rFonts w:ascii="Aptos Narrow" w:eastAsia="Times New Roman" w:hAnsi="Aptos Narrow" w:cs="Calibri"/>
                <w:sz w:val="16"/>
                <w:szCs w:val="16"/>
              </w:rPr>
              <w:t>(6)</w:t>
            </w:r>
          </w:p>
        </w:tc>
      </w:tr>
      <w:tr w:rsidR="005E26CD" w:rsidRPr="005E26CD" w14:paraId="6E267FB5" w14:textId="77777777" w:rsidTr="00FC7170">
        <w:trPr>
          <w:trHeight w:hRule="exact" w:val="227"/>
        </w:trPr>
        <w:tc>
          <w:tcPr>
            <w:tcW w:w="2172" w:type="pct"/>
            <w:tcBorders>
              <w:top w:val="nil"/>
              <w:left w:val="nil"/>
              <w:bottom w:val="nil"/>
              <w:right w:val="nil"/>
            </w:tcBorders>
            <w:shd w:val="clear" w:color="auto" w:fill="auto"/>
            <w:noWrap/>
            <w:vAlign w:val="bottom"/>
            <w:hideMark/>
          </w:tcPr>
          <w:p w14:paraId="19DF9474" w14:textId="77777777" w:rsidR="005E26CD" w:rsidRPr="005E26CD" w:rsidRDefault="005E26CD" w:rsidP="005E26CD">
            <w:pPr>
              <w:spacing w:after="0" w:line="240" w:lineRule="auto"/>
              <w:rPr>
                <w:rFonts w:ascii="Aptos Narrow" w:eastAsia="Times New Roman" w:hAnsi="Aptos Narrow" w:cs="Calibri"/>
                <w:sz w:val="16"/>
                <w:szCs w:val="16"/>
              </w:rPr>
            </w:pPr>
          </w:p>
        </w:tc>
        <w:tc>
          <w:tcPr>
            <w:tcW w:w="782" w:type="pct"/>
            <w:tcBorders>
              <w:top w:val="nil"/>
              <w:left w:val="nil"/>
              <w:bottom w:val="nil"/>
              <w:right w:val="nil"/>
            </w:tcBorders>
            <w:shd w:val="clear" w:color="auto" w:fill="auto"/>
            <w:noWrap/>
            <w:vAlign w:val="center"/>
            <w:hideMark/>
          </w:tcPr>
          <w:p w14:paraId="314EF0C5"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3C778C1C"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5146E025"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center"/>
            <w:hideMark/>
          </w:tcPr>
          <w:p w14:paraId="2711BA58"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6DF9ACC7"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5FE365E"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ANTES DO RESULTADO FINANCEIRO</w:t>
            </w:r>
          </w:p>
        </w:tc>
        <w:tc>
          <w:tcPr>
            <w:tcW w:w="782" w:type="pct"/>
            <w:tcBorders>
              <w:top w:val="nil"/>
              <w:left w:val="nil"/>
              <w:bottom w:val="nil"/>
              <w:right w:val="nil"/>
            </w:tcBorders>
            <w:shd w:val="clear" w:color="auto" w:fill="auto"/>
            <w:noWrap/>
            <w:vAlign w:val="center"/>
            <w:hideMark/>
          </w:tcPr>
          <w:p w14:paraId="1478987B"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(28.050.387)</w:t>
            </w:r>
          </w:p>
        </w:tc>
        <w:tc>
          <w:tcPr>
            <w:tcW w:w="785" w:type="pct"/>
            <w:tcBorders>
              <w:top w:val="nil"/>
              <w:left w:val="nil"/>
              <w:bottom w:val="nil"/>
              <w:right w:val="nil"/>
            </w:tcBorders>
            <w:shd w:val="clear" w:color="auto" w:fill="auto"/>
            <w:noWrap/>
            <w:vAlign w:val="center"/>
            <w:hideMark/>
          </w:tcPr>
          <w:p w14:paraId="717E6279" w14:textId="04E6B59A"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138.133.77</w:t>
            </w:r>
            <w:r w:rsidR="00532B4D">
              <w:rPr>
                <w:rFonts w:ascii="Aptos Narrow" w:eastAsia="Times New Roman" w:hAnsi="Aptos Narrow" w:cs="Calibri"/>
                <w:b/>
                <w:bCs/>
                <w:color w:val="000000"/>
                <w:sz w:val="16"/>
                <w:szCs w:val="16"/>
              </w:rPr>
              <w:t>7</w:t>
            </w:r>
            <w:r w:rsidRPr="005E26CD">
              <w:rPr>
                <w:rFonts w:ascii="Aptos Narrow" w:eastAsia="Times New Roman" w:hAnsi="Aptos Narrow" w:cs="Calibri"/>
                <w:b/>
                <w:bCs/>
                <w:color w:val="000000"/>
                <w:sz w:val="16"/>
                <w:szCs w:val="16"/>
              </w:rPr>
              <w:t xml:space="preserve"> </w:t>
            </w:r>
          </w:p>
        </w:tc>
        <w:tc>
          <w:tcPr>
            <w:tcW w:w="789" w:type="pct"/>
            <w:tcBorders>
              <w:top w:val="nil"/>
              <w:left w:val="nil"/>
              <w:bottom w:val="nil"/>
              <w:right w:val="nil"/>
            </w:tcBorders>
            <w:shd w:val="clear" w:color="auto" w:fill="auto"/>
            <w:noWrap/>
            <w:vAlign w:val="center"/>
            <w:hideMark/>
          </w:tcPr>
          <w:p w14:paraId="1894BA37" w14:textId="7BE1C621"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(166.184.16</w:t>
            </w:r>
            <w:r w:rsidR="00532B4D">
              <w:rPr>
                <w:rFonts w:ascii="Aptos Narrow" w:eastAsia="Times New Roman" w:hAnsi="Aptos Narrow" w:cs="Calibri"/>
                <w:b/>
                <w:bCs/>
                <w:color w:val="000000"/>
                <w:sz w:val="16"/>
                <w:szCs w:val="16"/>
              </w:rPr>
              <w:t>4</w:t>
            </w:r>
            <w:r w:rsidRPr="005E26CD">
              <w:rPr>
                <w:rFonts w:ascii="Aptos Narrow" w:eastAsia="Times New Roman" w:hAnsi="Aptos Narrow" w:cs="Calibri"/>
                <w:b/>
                <w:bCs/>
                <w:color w:val="000000"/>
                <w:sz w:val="16"/>
                <w:szCs w:val="16"/>
              </w:rPr>
              <w:t>)</w:t>
            </w:r>
          </w:p>
        </w:tc>
        <w:tc>
          <w:tcPr>
            <w:tcW w:w="472" w:type="pct"/>
            <w:tcBorders>
              <w:top w:val="nil"/>
              <w:left w:val="nil"/>
              <w:bottom w:val="nil"/>
              <w:right w:val="nil"/>
            </w:tcBorders>
            <w:shd w:val="clear" w:color="auto" w:fill="auto"/>
            <w:noWrap/>
            <w:vAlign w:val="center"/>
            <w:hideMark/>
          </w:tcPr>
          <w:p w14:paraId="1CB88602"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1BD9DFC3"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E663506"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2" w:type="pct"/>
            <w:tcBorders>
              <w:top w:val="nil"/>
              <w:left w:val="nil"/>
              <w:bottom w:val="nil"/>
              <w:right w:val="nil"/>
            </w:tcBorders>
            <w:shd w:val="clear" w:color="auto" w:fill="auto"/>
            <w:noWrap/>
            <w:vAlign w:val="center"/>
            <w:hideMark/>
          </w:tcPr>
          <w:p w14:paraId="520CDBDA"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525B2EA2"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0F18E109"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center"/>
            <w:hideMark/>
          </w:tcPr>
          <w:p w14:paraId="487DC420"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166EE1B7"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069F10B"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FINANCEIRO LÍQUIDO</w:t>
            </w:r>
          </w:p>
        </w:tc>
        <w:tc>
          <w:tcPr>
            <w:tcW w:w="782" w:type="pct"/>
            <w:tcBorders>
              <w:top w:val="nil"/>
              <w:left w:val="nil"/>
              <w:bottom w:val="nil"/>
              <w:right w:val="nil"/>
            </w:tcBorders>
            <w:shd w:val="clear" w:color="auto" w:fill="auto"/>
            <w:noWrap/>
            <w:vAlign w:val="center"/>
            <w:hideMark/>
          </w:tcPr>
          <w:p w14:paraId="4B50E51F"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3.845.426 </w:t>
            </w:r>
          </w:p>
        </w:tc>
        <w:tc>
          <w:tcPr>
            <w:tcW w:w="785" w:type="pct"/>
            <w:tcBorders>
              <w:top w:val="nil"/>
              <w:left w:val="nil"/>
              <w:bottom w:val="nil"/>
              <w:right w:val="nil"/>
            </w:tcBorders>
            <w:shd w:val="clear" w:color="auto" w:fill="auto"/>
            <w:noWrap/>
            <w:vAlign w:val="center"/>
            <w:hideMark/>
          </w:tcPr>
          <w:p w14:paraId="7972C3F4"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3.391.814 </w:t>
            </w:r>
          </w:p>
        </w:tc>
        <w:tc>
          <w:tcPr>
            <w:tcW w:w="789" w:type="pct"/>
            <w:tcBorders>
              <w:top w:val="nil"/>
              <w:left w:val="nil"/>
              <w:bottom w:val="nil"/>
              <w:right w:val="nil"/>
            </w:tcBorders>
            <w:shd w:val="clear" w:color="auto" w:fill="auto"/>
            <w:noWrap/>
            <w:vAlign w:val="center"/>
            <w:hideMark/>
          </w:tcPr>
          <w:p w14:paraId="42D464D9"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453.612 </w:t>
            </w:r>
          </w:p>
        </w:tc>
        <w:tc>
          <w:tcPr>
            <w:tcW w:w="472" w:type="pct"/>
            <w:tcBorders>
              <w:top w:val="nil"/>
              <w:left w:val="nil"/>
              <w:bottom w:val="nil"/>
              <w:right w:val="nil"/>
            </w:tcBorders>
            <w:shd w:val="clear" w:color="auto" w:fill="auto"/>
            <w:noWrap/>
            <w:vAlign w:val="center"/>
            <w:hideMark/>
          </w:tcPr>
          <w:p w14:paraId="692DA063"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6BE21847" w14:textId="77777777" w:rsidTr="00FC7170">
        <w:trPr>
          <w:trHeight w:hRule="exact" w:val="227"/>
        </w:trPr>
        <w:tc>
          <w:tcPr>
            <w:tcW w:w="2172" w:type="pct"/>
            <w:tcBorders>
              <w:top w:val="nil"/>
              <w:left w:val="nil"/>
              <w:bottom w:val="nil"/>
              <w:right w:val="nil"/>
            </w:tcBorders>
            <w:shd w:val="clear" w:color="auto" w:fill="auto"/>
            <w:noWrap/>
            <w:vAlign w:val="center"/>
            <w:hideMark/>
          </w:tcPr>
          <w:p w14:paraId="36D5E49A"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Receita Financeira</w:t>
            </w:r>
          </w:p>
        </w:tc>
        <w:tc>
          <w:tcPr>
            <w:tcW w:w="782" w:type="pct"/>
            <w:tcBorders>
              <w:top w:val="nil"/>
              <w:left w:val="nil"/>
              <w:bottom w:val="nil"/>
              <w:right w:val="nil"/>
            </w:tcBorders>
            <w:shd w:val="clear" w:color="auto" w:fill="auto"/>
            <w:noWrap/>
            <w:vAlign w:val="center"/>
            <w:hideMark/>
          </w:tcPr>
          <w:p w14:paraId="46AFA77C"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4.188.789 </w:t>
            </w:r>
          </w:p>
        </w:tc>
        <w:tc>
          <w:tcPr>
            <w:tcW w:w="785" w:type="pct"/>
            <w:tcBorders>
              <w:top w:val="nil"/>
              <w:left w:val="nil"/>
              <w:bottom w:val="nil"/>
              <w:right w:val="nil"/>
            </w:tcBorders>
            <w:shd w:val="clear" w:color="auto" w:fill="auto"/>
            <w:noWrap/>
            <w:vAlign w:val="center"/>
            <w:hideMark/>
          </w:tcPr>
          <w:p w14:paraId="5BB91B15"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3.435.900 </w:t>
            </w:r>
          </w:p>
        </w:tc>
        <w:tc>
          <w:tcPr>
            <w:tcW w:w="789" w:type="pct"/>
            <w:tcBorders>
              <w:top w:val="nil"/>
              <w:left w:val="nil"/>
              <w:bottom w:val="nil"/>
              <w:right w:val="nil"/>
            </w:tcBorders>
            <w:shd w:val="clear" w:color="auto" w:fill="auto"/>
            <w:noWrap/>
            <w:vAlign w:val="center"/>
            <w:hideMark/>
          </w:tcPr>
          <w:p w14:paraId="6750E91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752.889 </w:t>
            </w:r>
          </w:p>
        </w:tc>
        <w:tc>
          <w:tcPr>
            <w:tcW w:w="472" w:type="pct"/>
            <w:tcBorders>
              <w:top w:val="nil"/>
              <w:left w:val="nil"/>
              <w:bottom w:val="nil"/>
              <w:right w:val="nil"/>
            </w:tcBorders>
            <w:shd w:val="clear" w:color="auto" w:fill="auto"/>
            <w:noWrap/>
            <w:vAlign w:val="bottom"/>
            <w:hideMark/>
          </w:tcPr>
          <w:p w14:paraId="260A155B"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(2)</w:t>
            </w:r>
          </w:p>
        </w:tc>
      </w:tr>
      <w:tr w:rsidR="005E26CD" w:rsidRPr="005E26CD" w14:paraId="11CA336D"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BCA3BED"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Despesa Financeira</w:t>
            </w:r>
          </w:p>
        </w:tc>
        <w:tc>
          <w:tcPr>
            <w:tcW w:w="782" w:type="pct"/>
            <w:tcBorders>
              <w:top w:val="nil"/>
              <w:left w:val="nil"/>
              <w:bottom w:val="nil"/>
              <w:right w:val="nil"/>
            </w:tcBorders>
            <w:shd w:val="clear" w:color="auto" w:fill="auto"/>
            <w:noWrap/>
            <w:vAlign w:val="center"/>
            <w:hideMark/>
          </w:tcPr>
          <w:p w14:paraId="7869CEB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(343.363)</w:t>
            </w:r>
          </w:p>
        </w:tc>
        <w:tc>
          <w:tcPr>
            <w:tcW w:w="785" w:type="pct"/>
            <w:tcBorders>
              <w:top w:val="nil"/>
              <w:left w:val="nil"/>
              <w:bottom w:val="nil"/>
              <w:right w:val="nil"/>
            </w:tcBorders>
            <w:shd w:val="clear" w:color="auto" w:fill="auto"/>
            <w:noWrap/>
            <w:vAlign w:val="center"/>
            <w:hideMark/>
          </w:tcPr>
          <w:p w14:paraId="0E2CE1C2"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(44.086)</w:t>
            </w:r>
          </w:p>
        </w:tc>
        <w:tc>
          <w:tcPr>
            <w:tcW w:w="789" w:type="pct"/>
            <w:tcBorders>
              <w:top w:val="nil"/>
              <w:left w:val="nil"/>
              <w:bottom w:val="nil"/>
              <w:right w:val="nil"/>
            </w:tcBorders>
            <w:shd w:val="clear" w:color="auto" w:fill="auto"/>
            <w:noWrap/>
            <w:vAlign w:val="center"/>
            <w:hideMark/>
          </w:tcPr>
          <w:p w14:paraId="6ADD92D6"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(299.277)</w:t>
            </w:r>
          </w:p>
        </w:tc>
        <w:tc>
          <w:tcPr>
            <w:tcW w:w="472" w:type="pct"/>
            <w:tcBorders>
              <w:top w:val="nil"/>
              <w:left w:val="nil"/>
              <w:bottom w:val="nil"/>
              <w:right w:val="nil"/>
            </w:tcBorders>
            <w:shd w:val="clear" w:color="auto" w:fill="auto"/>
            <w:noWrap/>
            <w:vAlign w:val="bottom"/>
            <w:hideMark/>
          </w:tcPr>
          <w:p w14:paraId="515700E5" w14:textId="77777777" w:rsidR="005E26CD" w:rsidRPr="005E26CD" w:rsidRDefault="005E26CD" w:rsidP="005E26CD">
            <w:pPr>
              <w:spacing w:after="0" w:line="240" w:lineRule="auto"/>
              <w:rPr>
                <w:rFonts w:ascii="Calibri" w:eastAsia="Times New Roman" w:hAnsi="Calibri" w:cs="Calibri"/>
                <w:sz w:val="16"/>
                <w:szCs w:val="16"/>
              </w:rPr>
            </w:pPr>
            <w:r w:rsidRPr="005E26CD">
              <w:rPr>
                <w:rFonts w:ascii="Calibri" w:eastAsia="Times New Roman" w:hAnsi="Calibri" w:cs="Calibri"/>
                <w:sz w:val="16"/>
                <w:szCs w:val="16"/>
              </w:rPr>
              <w:t>(2;9)</w:t>
            </w:r>
          </w:p>
        </w:tc>
      </w:tr>
      <w:tr w:rsidR="005E26CD" w:rsidRPr="005E26CD" w14:paraId="3FC3CD54" w14:textId="77777777" w:rsidTr="00FC7170">
        <w:trPr>
          <w:trHeight w:hRule="exact" w:val="227"/>
        </w:trPr>
        <w:tc>
          <w:tcPr>
            <w:tcW w:w="2172" w:type="pct"/>
            <w:tcBorders>
              <w:top w:val="nil"/>
              <w:left w:val="nil"/>
              <w:bottom w:val="nil"/>
              <w:right w:val="nil"/>
            </w:tcBorders>
            <w:shd w:val="clear" w:color="auto" w:fill="auto"/>
            <w:noWrap/>
            <w:vAlign w:val="center"/>
            <w:hideMark/>
          </w:tcPr>
          <w:p w14:paraId="15239519" w14:textId="77777777" w:rsidR="005E26CD" w:rsidRPr="005E26CD" w:rsidRDefault="005E26CD" w:rsidP="005E26CD">
            <w:pPr>
              <w:spacing w:after="0" w:line="240" w:lineRule="auto"/>
              <w:rPr>
                <w:rFonts w:ascii="Calibri" w:eastAsia="Times New Roman" w:hAnsi="Calibri" w:cs="Calibri"/>
                <w:sz w:val="16"/>
                <w:szCs w:val="16"/>
              </w:rPr>
            </w:pPr>
          </w:p>
        </w:tc>
        <w:tc>
          <w:tcPr>
            <w:tcW w:w="782" w:type="pct"/>
            <w:tcBorders>
              <w:top w:val="nil"/>
              <w:left w:val="nil"/>
              <w:bottom w:val="nil"/>
              <w:right w:val="nil"/>
            </w:tcBorders>
            <w:shd w:val="clear" w:color="auto" w:fill="auto"/>
            <w:noWrap/>
            <w:vAlign w:val="center"/>
            <w:hideMark/>
          </w:tcPr>
          <w:p w14:paraId="111B91EA"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69B96977"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090FE18F"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bottom"/>
            <w:hideMark/>
          </w:tcPr>
          <w:p w14:paraId="414CF0EF"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0584C74E"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5A8D473"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ANTES DAS SUBVENÇÕES DO TESOURO NACIONAL</w:t>
            </w:r>
          </w:p>
        </w:tc>
        <w:tc>
          <w:tcPr>
            <w:tcW w:w="782" w:type="pct"/>
            <w:tcBorders>
              <w:top w:val="nil"/>
              <w:left w:val="nil"/>
              <w:bottom w:val="nil"/>
              <w:right w:val="nil"/>
            </w:tcBorders>
            <w:shd w:val="clear" w:color="auto" w:fill="auto"/>
            <w:noWrap/>
            <w:vAlign w:val="center"/>
            <w:hideMark/>
          </w:tcPr>
          <w:p w14:paraId="48EB1DD0"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(24.204.961)</w:t>
            </w:r>
          </w:p>
        </w:tc>
        <w:tc>
          <w:tcPr>
            <w:tcW w:w="785" w:type="pct"/>
            <w:tcBorders>
              <w:top w:val="nil"/>
              <w:left w:val="nil"/>
              <w:bottom w:val="nil"/>
              <w:right w:val="nil"/>
            </w:tcBorders>
            <w:shd w:val="clear" w:color="auto" w:fill="auto"/>
            <w:noWrap/>
            <w:vAlign w:val="center"/>
            <w:hideMark/>
          </w:tcPr>
          <w:p w14:paraId="7EE38CD3" w14:textId="35EDEA06"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141.525.59</w:t>
            </w:r>
            <w:r w:rsidR="00532B4D">
              <w:rPr>
                <w:rFonts w:ascii="Aptos Narrow" w:eastAsia="Times New Roman" w:hAnsi="Aptos Narrow" w:cs="Calibri"/>
                <w:b/>
                <w:bCs/>
                <w:color w:val="000000"/>
                <w:sz w:val="16"/>
                <w:szCs w:val="16"/>
              </w:rPr>
              <w:t>1</w:t>
            </w:r>
            <w:r w:rsidRPr="005E26CD">
              <w:rPr>
                <w:rFonts w:ascii="Aptos Narrow" w:eastAsia="Times New Roman" w:hAnsi="Aptos Narrow" w:cs="Calibri"/>
                <w:b/>
                <w:bCs/>
                <w:color w:val="000000"/>
                <w:sz w:val="16"/>
                <w:szCs w:val="16"/>
              </w:rPr>
              <w:t xml:space="preserve"> </w:t>
            </w:r>
          </w:p>
        </w:tc>
        <w:tc>
          <w:tcPr>
            <w:tcW w:w="789" w:type="pct"/>
            <w:tcBorders>
              <w:top w:val="nil"/>
              <w:left w:val="nil"/>
              <w:bottom w:val="nil"/>
              <w:right w:val="nil"/>
            </w:tcBorders>
            <w:shd w:val="clear" w:color="auto" w:fill="auto"/>
            <w:noWrap/>
            <w:vAlign w:val="center"/>
            <w:hideMark/>
          </w:tcPr>
          <w:p w14:paraId="7A9E79CD" w14:textId="0E03E104"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(165.730.55</w:t>
            </w:r>
            <w:r w:rsidR="00532B4D">
              <w:rPr>
                <w:rFonts w:ascii="Aptos Narrow" w:eastAsia="Times New Roman" w:hAnsi="Aptos Narrow" w:cs="Calibri"/>
                <w:b/>
                <w:bCs/>
                <w:color w:val="000000"/>
                <w:sz w:val="16"/>
                <w:szCs w:val="16"/>
              </w:rPr>
              <w:t>2</w:t>
            </w:r>
            <w:r w:rsidRPr="005E26CD">
              <w:rPr>
                <w:rFonts w:ascii="Aptos Narrow" w:eastAsia="Times New Roman" w:hAnsi="Aptos Narrow" w:cs="Calibri"/>
                <w:b/>
                <w:bCs/>
                <w:color w:val="000000"/>
                <w:sz w:val="16"/>
                <w:szCs w:val="16"/>
              </w:rPr>
              <w:t>)</w:t>
            </w:r>
          </w:p>
        </w:tc>
        <w:tc>
          <w:tcPr>
            <w:tcW w:w="472" w:type="pct"/>
            <w:tcBorders>
              <w:top w:val="nil"/>
              <w:left w:val="nil"/>
              <w:bottom w:val="nil"/>
              <w:right w:val="nil"/>
            </w:tcBorders>
            <w:shd w:val="clear" w:color="auto" w:fill="auto"/>
            <w:noWrap/>
            <w:vAlign w:val="bottom"/>
            <w:hideMark/>
          </w:tcPr>
          <w:p w14:paraId="2CB3B71E"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6F948BEE"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1DEA0CD"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2" w:type="pct"/>
            <w:tcBorders>
              <w:top w:val="nil"/>
              <w:left w:val="nil"/>
              <w:bottom w:val="nil"/>
              <w:right w:val="nil"/>
            </w:tcBorders>
            <w:shd w:val="clear" w:color="auto" w:fill="auto"/>
            <w:noWrap/>
            <w:vAlign w:val="center"/>
            <w:hideMark/>
          </w:tcPr>
          <w:p w14:paraId="64CBAB6B"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747C04A1"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54CA8FBF"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bottom"/>
            <w:hideMark/>
          </w:tcPr>
          <w:p w14:paraId="79F96494"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5930C53F" w14:textId="77777777" w:rsidTr="00FC7170">
        <w:trPr>
          <w:trHeight w:hRule="exact" w:val="227"/>
        </w:trPr>
        <w:tc>
          <w:tcPr>
            <w:tcW w:w="2172" w:type="pct"/>
            <w:tcBorders>
              <w:top w:val="nil"/>
              <w:left w:val="nil"/>
              <w:bottom w:val="nil"/>
              <w:right w:val="nil"/>
            </w:tcBorders>
            <w:shd w:val="clear" w:color="auto" w:fill="auto"/>
            <w:noWrap/>
            <w:vAlign w:val="center"/>
            <w:hideMark/>
          </w:tcPr>
          <w:p w14:paraId="30C92791"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SUBVENÇÕES DO TESOURO NACIONAL</w:t>
            </w:r>
          </w:p>
        </w:tc>
        <w:tc>
          <w:tcPr>
            <w:tcW w:w="782" w:type="pct"/>
            <w:tcBorders>
              <w:top w:val="nil"/>
              <w:left w:val="nil"/>
              <w:bottom w:val="nil"/>
              <w:right w:val="nil"/>
            </w:tcBorders>
            <w:shd w:val="clear" w:color="auto" w:fill="auto"/>
            <w:noWrap/>
            <w:vAlign w:val="center"/>
            <w:hideMark/>
          </w:tcPr>
          <w:p w14:paraId="2FFFB421"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58.172.981 </w:t>
            </w:r>
          </w:p>
        </w:tc>
        <w:tc>
          <w:tcPr>
            <w:tcW w:w="785" w:type="pct"/>
            <w:tcBorders>
              <w:top w:val="nil"/>
              <w:left w:val="nil"/>
              <w:bottom w:val="nil"/>
              <w:right w:val="nil"/>
            </w:tcBorders>
            <w:shd w:val="clear" w:color="auto" w:fill="auto"/>
            <w:noWrap/>
            <w:vAlign w:val="center"/>
            <w:hideMark/>
          </w:tcPr>
          <w:p w14:paraId="7FAE1047"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58.172.981 </w:t>
            </w:r>
          </w:p>
        </w:tc>
        <w:tc>
          <w:tcPr>
            <w:tcW w:w="789" w:type="pct"/>
            <w:tcBorders>
              <w:top w:val="nil"/>
              <w:left w:val="nil"/>
              <w:bottom w:val="nil"/>
              <w:right w:val="nil"/>
            </w:tcBorders>
            <w:shd w:val="clear" w:color="auto" w:fill="auto"/>
            <w:noWrap/>
            <w:vAlign w:val="center"/>
            <w:hideMark/>
          </w:tcPr>
          <w:p w14:paraId="53B38022"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   </w:t>
            </w:r>
          </w:p>
        </w:tc>
        <w:tc>
          <w:tcPr>
            <w:tcW w:w="472" w:type="pct"/>
            <w:tcBorders>
              <w:top w:val="nil"/>
              <w:left w:val="nil"/>
              <w:bottom w:val="nil"/>
              <w:right w:val="nil"/>
            </w:tcBorders>
            <w:shd w:val="clear" w:color="auto" w:fill="auto"/>
            <w:noWrap/>
            <w:vAlign w:val="bottom"/>
            <w:hideMark/>
          </w:tcPr>
          <w:p w14:paraId="28477A6F"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6645F7F7" w14:textId="77777777" w:rsidTr="00FC7170">
        <w:trPr>
          <w:trHeight w:hRule="exact" w:val="227"/>
        </w:trPr>
        <w:tc>
          <w:tcPr>
            <w:tcW w:w="2172" w:type="pct"/>
            <w:tcBorders>
              <w:top w:val="nil"/>
              <w:left w:val="nil"/>
              <w:bottom w:val="nil"/>
              <w:right w:val="nil"/>
            </w:tcBorders>
            <w:shd w:val="clear" w:color="auto" w:fill="auto"/>
            <w:noWrap/>
            <w:vAlign w:val="center"/>
            <w:hideMark/>
          </w:tcPr>
          <w:p w14:paraId="3F0BE252"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Repasse de Custeio/Pessoal</w:t>
            </w:r>
          </w:p>
        </w:tc>
        <w:tc>
          <w:tcPr>
            <w:tcW w:w="782" w:type="pct"/>
            <w:tcBorders>
              <w:top w:val="nil"/>
              <w:left w:val="nil"/>
              <w:bottom w:val="nil"/>
              <w:right w:val="nil"/>
            </w:tcBorders>
            <w:shd w:val="clear" w:color="auto" w:fill="auto"/>
            <w:noWrap/>
            <w:vAlign w:val="center"/>
            <w:hideMark/>
          </w:tcPr>
          <w:p w14:paraId="45F634DD"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58.172.981 </w:t>
            </w:r>
          </w:p>
        </w:tc>
        <w:tc>
          <w:tcPr>
            <w:tcW w:w="785" w:type="pct"/>
            <w:tcBorders>
              <w:top w:val="nil"/>
              <w:left w:val="nil"/>
              <w:bottom w:val="nil"/>
              <w:right w:val="nil"/>
            </w:tcBorders>
            <w:shd w:val="clear" w:color="auto" w:fill="auto"/>
            <w:noWrap/>
            <w:vAlign w:val="center"/>
            <w:hideMark/>
          </w:tcPr>
          <w:p w14:paraId="1156CA4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58.172.981 </w:t>
            </w:r>
          </w:p>
        </w:tc>
        <w:tc>
          <w:tcPr>
            <w:tcW w:w="789" w:type="pct"/>
            <w:tcBorders>
              <w:top w:val="nil"/>
              <w:left w:val="nil"/>
              <w:bottom w:val="nil"/>
              <w:right w:val="nil"/>
            </w:tcBorders>
            <w:shd w:val="clear" w:color="auto" w:fill="auto"/>
            <w:noWrap/>
            <w:vAlign w:val="center"/>
            <w:hideMark/>
          </w:tcPr>
          <w:p w14:paraId="499B6813"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   </w:t>
            </w:r>
          </w:p>
        </w:tc>
        <w:tc>
          <w:tcPr>
            <w:tcW w:w="472" w:type="pct"/>
            <w:tcBorders>
              <w:top w:val="nil"/>
              <w:left w:val="nil"/>
              <w:bottom w:val="nil"/>
              <w:right w:val="nil"/>
            </w:tcBorders>
            <w:shd w:val="clear" w:color="auto" w:fill="auto"/>
            <w:vAlign w:val="center"/>
            <w:hideMark/>
          </w:tcPr>
          <w:p w14:paraId="69F49005"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p>
        </w:tc>
      </w:tr>
      <w:tr w:rsidR="005E26CD" w:rsidRPr="005E26CD" w14:paraId="0F42B73B" w14:textId="77777777" w:rsidTr="00FC7170">
        <w:trPr>
          <w:trHeight w:hRule="exact" w:val="227"/>
        </w:trPr>
        <w:tc>
          <w:tcPr>
            <w:tcW w:w="2172" w:type="pct"/>
            <w:tcBorders>
              <w:top w:val="nil"/>
              <w:left w:val="nil"/>
              <w:bottom w:val="nil"/>
              <w:right w:val="nil"/>
            </w:tcBorders>
            <w:shd w:val="clear" w:color="auto" w:fill="auto"/>
            <w:noWrap/>
            <w:vAlign w:val="center"/>
            <w:hideMark/>
          </w:tcPr>
          <w:p w14:paraId="2546AB01"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2" w:type="pct"/>
            <w:tcBorders>
              <w:top w:val="nil"/>
              <w:left w:val="nil"/>
              <w:bottom w:val="nil"/>
              <w:right w:val="nil"/>
            </w:tcBorders>
            <w:shd w:val="clear" w:color="auto" w:fill="auto"/>
            <w:noWrap/>
            <w:vAlign w:val="center"/>
            <w:hideMark/>
          </w:tcPr>
          <w:p w14:paraId="231B0AE6" w14:textId="77777777" w:rsidR="005E26CD" w:rsidRPr="005E26CD" w:rsidRDefault="005E26CD" w:rsidP="005E26CD">
            <w:pPr>
              <w:spacing w:after="0" w:line="240" w:lineRule="auto"/>
              <w:rPr>
                <w:rFonts w:ascii="Times New Roman" w:eastAsia="Times New Roman" w:hAnsi="Times New Roman" w:cs="Times New Roman"/>
                <w:sz w:val="20"/>
                <w:szCs w:val="20"/>
              </w:rPr>
            </w:pPr>
          </w:p>
        </w:tc>
        <w:tc>
          <w:tcPr>
            <w:tcW w:w="785" w:type="pct"/>
            <w:tcBorders>
              <w:top w:val="nil"/>
              <w:left w:val="nil"/>
              <w:bottom w:val="nil"/>
              <w:right w:val="nil"/>
            </w:tcBorders>
            <w:shd w:val="clear" w:color="auto" w:fill="auto"/>
            <w:noWrap/>
            <w:vAlign w:val="center"/>
            <w:hideMark/>
          </w:tcPr>
          <w:p w14:paraId="5F7DE29C"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789" w:type="pct"/>
            <w:tcBorders>
              <w:top w:val="nil"/>
              <w:left w:val="nil"/>
              <w:bottom w:val="nil"/>
              <w:right w:val="nil"/>
            </w:tcBorders>
            <w:shd w:val="clear" w:color="auto" w:fill="auto"/>
            <w:noWrap/>
            <w:vAlign w:val="center"/>
            <w:hideMark/>
          </w:tcPr>
          <w:p w14:paraId="7B6B5854"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c>
          <w:tcPr>
            <w:tcW w:w="472" w:type="pct"/>
            <w:tcBorders>
              <w:top w:val="nil"/>
              <w:left w:val="nil"/>
              <w:bottom w:val="nil"/>
              <w:right w:val="nil"/>
            </w:tcBorders>
            <w:shd w:val="clear" w:color="auto" w:fill="auto"/>
            <w:noWrap/>
            <w:vAlign w:val="bottom"/>
            <w:hideMark/>
          </w:tcPr>
          <w:p w14:paraId="602890AA"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r w:rsidR="005E26CD" w:rsidRPr="005E26CD" w14:paraId="0C87CE71" w14:textId="77777777" w:rsidTr="00FC7170">
        <w:trPr>
          <w:trHeight w:hRule="exact" w:val="227"/>
        </w:trPr>
        <w:tc>
          <w:tcPr>
            <w:tcW w:w="2172" w:type="pct"/>
            <w:tcBorders>
              <w:top w:val="nil"/>
              <w:left w:val="nil"/>
              <w:bottom w:val="nil"/>
              <w:right w:val="nil"/>
            </w:tcBorders>
            <w:shd w:val="clear" w:color="auto" w:fill="auto"/>
            <w:noWrap/>
            <w:vAlign w:val="center"/>
            <w:hideMark/>
          </w:tcPr>
          <w:p w14:paraId="0D7C1460"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ANTES DOS TRIBUTOS S/LUCRO (IR/CSLL)</w:t>
            </w:r>
          </w:p>
        </w:tc>
        <w:tc>
          <w:tcPr>
            <w:tcW w:w="782" w:type="pct"/>
            <w:tcBorders>
              <w:top w:val="nil"/>
              <w:left w:val="nil"/>
              <w:bottom w:val="nil"/>
              <w:right w:val="nil"/>
            </w:tcBorders>
            <w:shd w:val="clear" w:color="auto" w:fill="auto"/>
            <w:noWrap/>
            <w:vAlign w:val="center"/>
            <w:hideMark/>
          </w:tcPr>
          <w:p w14:paraId="6C26545B"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33.968.020 </w:t>
            </w:r>
          </w:p>
        </w:tc>
        <w:tc>
          <w:tcPr>
            <w:tcW w:w="785" w:type="pct"/>
            <w:tcBorders>
              <w:top w:val="nil"/>
              <w:left w:val="nil"/>
              <w:bottom w:val="nil"/>
              <w:right w:val="nil"/>
            </w:tcBorders>
            <w:shd w:val="clear" w:color="auto" w:fill="auto"/>
            <w:noWrap/>
            <w:vAlign w:val="center"/>
            <w:hideMark/>
          </w:tcPr>
          <w:p w14:paraId="157F0AB7" w14:textId="271C6520"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199.698.57</w:t>
            </w:r>
            <w:r w:rsidR="00532B4D">
              <w:rPr>
                <w:rFonts w:ascii="Aptos Narrow" w:eastAsia="Times New Roman" w:hAnsi="Aptos Narrow" w:cs="Calibri"/>
                <w:b/>
                <w:bCs/>
                <w:color w:val="000000"/>
                <w:sz w:val="16"/>
                <w:szCs w:val="16"/>
              </w:rPr>
              <w:t>2</w:t>
            </w:r>
            <w:r w:rsidRPr="005E26CD">
              <w:rPr>
                <w:rFonts w:ascii="Aptos Narrow" w:eastAsia="Times New Roman" w:hAnsi="Aptos Narrow" w:cs="Calibri"/>
                <w:b/>
                <w:bCs/>
                <w:color w:val="000000"/>
                <w:sz w:val="16"/>
                <w:szCs w:val="16"/>
              </w:rPr>
              <w:t xml:space="preserve"> </w:t>
            </w:r>
          </w:p>
        </w:tc>
        <w:tc>
          <w:tcPr>
            <w:tcW w:w="789" w:type="pct"/>
            <w:tcBorders>
              <w:top w:val="nil"/>
              <w:left w:val="nil"/>
              <w:bottom w:val="nil"/>
              <w:right w:val="nil"/>
            </w:tcBorders>
            <w:shd w:val="clear" w:color="auto" w:fill="auto"/>
            <w:noWrap/>
            <w:vAlign w:val="center"/>
            <w:hideMark/>
          </w:tcPr>
          <w:p w14:paraId="45CAD86F" w14:textId="15A8677E"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(165.730.55</w:t>
            </w:r>
            <w:r w:rsidR="00532B4D">
              <w:rPr>
                <w:rFonts w:ascii="Aptos Narrow" w:eastAsia="Times New Roman" w:hAnsi="Aptos Narrow" w:cs="Calibri"/>
                <w:b/>
                <w:bCs/>
                <w:color w:val="000000"/>
                <w:sz w:val="16"/>
                <w:szCs w:val="16"/>
              </w:rPr>
              <w:t>2</w:t>
            </w:r>
            <w:r w:rsidRPr="005E26CD">
              <w:rPr>
                <w:rFonts w:ascii="Aptos Narrow" w:eastAsia="Times New Roman" w:hAnsi="Aptos Narrow" w:cs="Calibri"/>
                <w:b/>
                <w:bCs/>
                <w:color w:val="000000"/>
                <w:sz w:val="16"/>
                <w:szCs w:val="16"/>
              </w:rPr>
              <w:t>)</w:t>
            </w:r>
          </w:p>
        </w:tc>
        <w:tc>
          <w:tcPr>
            <w:tcW w:w="472" w:type="pct"/>
            <w:tcBorders>
              <w:top w:val="nil"/>
              <w:left w:val="nil"/>
              <w:bottom w:val="nil"/>
              <w:right w:val="nil"/>
            </w:tcBorders>
            <w:shd w:val="clear" w:color="auto" w:fill="auto"/>
            <w:vAlign w:val="center"/>
            <w:hideMark/>
          </w:tcPr>
          <w:p w14:paraId="11DDFEE2"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0C3FC2DC" w14:textId="77777777" w:rsidTr="00FC7170">
        <w:trPr>
          <w:trHeight w:hRule="exact" w:val="227"/>
        </w:trPr>
        <w:tc>
          <w:tcPr>
            <w:tcW w:w="2172" w:type="pct"/>
            <w:tcBorders>
              <w:top w:val="nil"/>
              <w:left w:val="nil"/>
              <w:bottom w:val="nil"/>
              <w:right w:val="nil"/>
            </w:tcBorders>
            <w:shd w:val="clear" w:color="auto" w:fill="auto"/>
            <w:noWrap/>
            <w:vAlign w:val="center"/>
            <w:hideMark/>
          </w:tcPr>
          <w:p w14:paraId="51076A37"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Imposto de Renda</w:t>
            </w:r>
          </w:p>
        </w:tc>
        <w:tc>
          <w:tcPr>
            <w:tcW w:w="782" w:type="pct"/>
            <w:tcBorders>
              <w:top w:val="nil"/>
              <w:left w:val="nil"/>
              <w:bottom w:val="nil"/>
              <w:right w:val="nil"/>
            </w:tcBorders>
            <w:shd w:val="clear" w:color="auto" w:fill="auto"/>
            <w:noWrap/>
            <w:vAlign w:val="center"/>
            <w:hideMark/>
          </w:tcPr>
          <w:p w14:paraId="24829D6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(2.024.796)</w:t>
            </w:r>
          </w:p>
        </w:tc>
        <w:tc>
          <w:tcPr>
            <w:tcW w:w="785" w:type="pct"/>
            <w:tcBorders>
              <w:top w:val="nil"/>
              <w:left w:val="nil"/>
              <w:bottom w:val="nil"/>
              <w:right w:val="nil"/>
            </w:tcBorders>
            <w:shd w:val="clear" w:color="auto" w:fill="auto"/>
            <w:noWrap/>
            <w:vAlign w:val="center"/>
            <w:hideMark/>
          </w:tcPr>
          <w:p w14:paraId="41DDD8C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(2.416.074)</w:t>
            </w:r>
          </w:p>
        </w:tc>
        <w:tc>
          <w:tcPr>
            <w:tcW w:w="789" w:type="pct"/>
            <w:tcBorders>
              <w:top w:val="nil"/>
              <w:left w:val="nil"/>
              <w:bottom w:val="nil"/>
              <w:right w:val="nil"/>
            </w:tcBorders>
            <w:shd w:val="clear" w:color="auto" w:fill="auto"/>
            <w:noWrap/>
            <w:vAlign w:val="center"/>
            <w:hideMark/>
          </w:tcPr>
          <w:p w14:paraId="76D1378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391.278 </w:t>
            </w:r>
          </w:p>
        </w:tc>
        <w:tc>
          <w:tcPr>
            <w:tcW w:w="472" w:type="pct"/>
            <w:tcBorders>
              <w:top w:val="nil"/>
              <w:left w:val="nil"/>
              <w:bottom w:val="nil"/>
              <w:right w:val="nil"/>
            </w:tcBorders>
            <w:shd w:val="clear" w:color="auto" w:fill="auto"/>
            <w:vAlign w:val="center"/>
            <w:hideMark/>
          </w:tcPr>
          <w:p w14:paraId="534B566F" w14:textId="77777777" w:rsidR="005E26CD" w:rsidRPr="005E26CD" w:rsidRDefault="005E26CD" w:rsidP="005E26CD">
            <w:pPr>
              <w:spacing w:after="0" w:line="240" w:lineRule="auto"/>
              <w:rPr>
                <w:rFonts w:ascii="Aptos Narrow" w:eastAsia="Times New Roman" w:hAnsi="Aptos Narrow" w:cs="Calibri"/>
                <w:sz w:val="16"/>
                <w:szCs w:val="16"/>
              </w:rPr>
            </w:pPr>
            <w:r w:rsidRPr="005E26CD">
              <w:rPr>
                <w:rFonts w:ascii="Aptos Narrow" w:eastAsia="Times New Roman" w:hAnsi="Aptos Narrow" w:cs="Calibri"/>
                <w:sz w:val="16"/>
                <w:szCs w:val="16"/>
              </w:rPr>
              <w:t>(12)</w:t>
            </w:r>
          </w:p>
        </w:tc>
      </w:tr>
      <w:tr w:rsidR="005E26CD" w:rsidRPr="005E26CD" w14:paraId="1A876844" w14:textId="77777777" w:rsidTr="00FC7170">
        <w:trPr>
          <w:trHeight w:hRule="exact" w:val="227"/>
        </w:trPr>
        <w:tc>
          <w:tcPr>
            <w:tcW w:w="2172" w:type="pct"/>
            <w:tcBorders>
              <w:top w:val="nil"/>
              <w:left w:val="nil"/>
              <w:bottom w:val="nil"/>
              <w:right w:val="nil"/>
            </w:tcBorders>
            <w:shd w:val="clear" w:color="auto" w:fill="auto"/>
            <w:noWrap/>
            <w:vAlign w:val="center"/>
            <w:hideMark/>
          </w:tcPr>
          <w:p w14:paraId="05231FEF"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Contribuição Social sobre o Lucro Líquido</w:t>
            </w:r>
          </w:p>
        </w:tc>
        <w:tc>
          <w:tcPr>
            <w:tcW w:w="782" w:type="pct"/>
            <w:tcBorders>
              <w:top w:val="nil"/>
              <w:left w:val="nil"/>
              <w:bottom w:val="nil"/>
              <w:right w:val="nil"/>
            </w:tcBorders>
            <w:shd w:val="clear" w:color="auto" w:fill="auto"/>
            <w:noWrap/>
            <w:vAlign w:val="center"/>
            <w:hideMark/>
          </w:tcPr>
          <w:p w14:paraId="2F8CB52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(731.087)</w:t>
            </w:r>
          </w:p>
        </w:tc>
        <w:tc>
          <w:tcPr>
            <w:tcW w:w="785" w:type="pct"/>
            <w:tcBorders>
              <w:top w:val="nil"/>
              <w:left w:val="nil"/>
              <w:bottom w:val="nil"/>
              <w:right w:val="nil"/>
            </w:tcBorders>
            <w:shd w:val="clear" w:color="auto" w:fill="auto"/>
            <w:noWrap/>
            <w:vAlign w:val="center"/>
            <w:hideMark/>
          </w:tcPr>
          <w:p w14:paraId="440F05F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(659.924)</w:t>
            </w:r>
          </w:p>
        </w:tc>
        <w:tc>
          <w:tcPr>
            <w:tcW w:w="789" w:type="pct"/>
            <w:tcBorders>
              <w:top w:val="nil"/>
              <w:left w:val="nil"/>
              <w:bottom w:val="nil"/>
              <w:right w:val="nil"/>
            </w:tcBorders>
            <w:shd w:val="clear" w:color="auto" w:fill="auto"/>
            <w:noWrap/>
            <w:vAlign w:val="center"/>
            <w:hideMark/>
          </w:tcPr>
          <w:p w14:paraId="0F63C7CB"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xml:space="preserve">                             (71.163)</w:t>
            </w:r>
          </w:p>
        </w:tc>
        <w:tc>
          <w:tcPr>
            <w:tcW w:w="472" w:type="pct"/>
            <w:tcBorders>
              <w:top w:val="nil"/>
              <w:left w:val="nil"/>
              <w:bottom w:val="nil"/>
              <w:right w:val="nil"/>
            </w:tcBorders>
            <w:shd w:val="clear" w:color="auto" w:fill="auto"/>
            <w:vAlign w:val="center"/>
            <w:hideMark/>
          </w:tcPr>
          <w:p w14:paraId="01F4770A" w14:textId="77777777" w:rsidR="005E26CD" w:rsidRPr="005E26CD" w:rsidRDefault="005E26CD" w:rsidP="005E26CD">
            <w:pPr>
              <w:spacing w:after="0" w:line="240" w:lineRule="auto"/>
              <w:rPr>
                <w:rFonts w:ascii="Aptos Narrow" w:eastAsia="Times New Roman" w:hAnsi="Aptos Narrow" w:cs="Calibri"/>
                <w:sz w:val="16"/>
                <w:szCs w:val="16"/>
              </w:rPr>
            </w:pPr>
            <w:r w:rsidRPr="005E26CD">
              <w:rPr>
                <w:rFonts w:ascii="Aptos Narrow" w:eastAsia="Times New Roman" w:hAnsi="Aptos Narrow" w:cs="Calibri"/>
                <w:sz w:val="16"/>
                <w:szCs w:val="16"/>
              </w:rPr>
              <w:t>(12)</w:t>
            </w:r>
          </w:p>
        </w:tc>
      </w:tr>
      <w:tr w:rsidR="005E26CD" w:rsidRPr="005E26CD" w14:paraId="439F434A" w14:textId="77777777" w:rsidTr="00FC7170">
        <w:trPr>
          <w:trHeight w:hRule="exact" w:val="227"/>
        </w:trPr>
        <w:tc>
          <w:tcPr>
            <w:tcW w:w="2172" w:type="pct"/>
            <w:tcBorders>
              <w:top w:val="nil"/>
              <w:left w:val="nil"/>
              <w:bottom w:val="single" w:sz="4" w:space="0" w:color="156082"/>
              <w:right w:val="nil"/>
            </w:tcBorders>
            <w:shd w:val="clear" w:color="auto" w:fill="auto"/>
            <w:noWrap/>
            <w:vAlign w:val="center"/>
            <w:hideMark/>
          </w:tcPr>
          <w:p w14:paraId="57B7C3EF"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w:t>
            </w:r>
          </w:p>
        </w:tc>
        <w:tc>
          <w:tcPr>
            <w:tcW w:w="782" w:type="pct"/>
            <w:tcBorders>
              <w:top w:val="nil"/>
              <w:left w:val="nil"/>
              <w:bottom w:val="single" w:sz="4" w:space="0" w:color="156082"/>
              <w:right w:val="nil"/>
            </w:tcBorders>
            <w:shd w:val="clear" w:color="auto" w:fill="auto"/>
            <w:noWrap/>
            <w:vAlign w:val="center"/>
            <w:hideMark/>
          </w:tcPr>
          <w:p w14:paraId="3FE48064"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w:t>
            </w:r>
          </w:p>
        </w:tc>
        <w:tc>
          <w:tcPr>
            <w:tcW w:w="785" w:type="pct"/>
            <w:tcBorders>
              <w:top w:val="nil"/>
              <w:left w:val="nil"/>
              <w:bottom w:val="single" w:sz="4" w:space="0" w:color="156082"/>
              <w:right w:val="nil"/>
            </w:tcBorders>
            <w:shd w:val="clear" w:color="auto" w:fill="auto"/>
            <w:noWrap/>
            <w:vAlign w:val="center"/>
            <w:hideMark/>
          </w:tcPr>
          <w:p w14:paraId="3C1E4AA1" w14:textId="77777777" w:rsidR="005E26CD" w:rsidRPr="005E26CD" w:rsidRDefault="005E26CD" w:rsidP="005E26CD">
            <w:pPr>
              <w:spacing w:after="0" w:line="240" w:lineRule="auto"/>
              <w:jc w:val="right"/>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w:t>
            </w:r>
          </w:p>
        </w:tc>
        <w:tc>
          <w:tcPr>
            <w:tcW w:w="789" w:type="pct"/>
            <w:tcBorders>
              <w:top w:val="nil"/>
              <w:left w:val="nil"/>
              <w:bottom w:val="single" w:sz="4" w:space="0" w:color="156082"/>
              <w:right w:val="nil"/>
            </w:tcBorders>
            <w:shd w:val="clear" w:color="auto" w:fill="auto"/>
            <w:noWrap/>
            <w:vAlign w:val="center"/>
            <w:hideMark/>
          </w:tcPr>
          <w:p w14:paraId="7121D535" w14:textId="77777777" w:rsidR="005E26CD" w:rsidRPr="005E26CD" w:rsidRDefault="005E26CD" w:rsidP="005E26CD">
            <w:pPr>
              <w:spacing w:after="0" w:line="240" w:lineRule="auto"/>
              <w:rPr>
                <w:rFonts w:ascii="Aptos Narrow" w:eastAsia="Times New Roman" w:hAnsi="Aptos Narrow" w:cs="Calibri"/>
                <w:color w:val="000000"/>
                <w:sz w:val="16"/>
                <w:szCs w:val="16"/>
              </w:rPr>
            </w:pPr>
            <w:r w:rsidRPr="005E26CD">
              <w:rPr>
                <w:rFonts w:ascii="Aptos Narrow" w:eastAsia="Times New Roman" w:hAnsi="Aptos Narrow" w:cs="Calibri"/>
                <w:color w:val="000000"/>
                <w:sz w:val="16"/>
                <w:szCs w:val="16"/>
              </w:rPr>
              <w:t> </w:t>
            </w:r>
          </w:p>
        </w:tc>
        <w:tc>
          <w:tcPr>
            <w:tcW w:w="472" w:type="pct"/>
            <w:tcBorders>
              <w:top w:val="nil"/>
              <w:left w:val="nil"/>
              <w:bottom w:val="nil"/>
              <w:right w:val="nil"/>
            </w:tcBorders>
            <w:shd w:val="clear" w:color="auto" w:fill="auto"/>
            <w:noWrap/>
            <w:vAlign w:val="bottom"/>
            <w:hideMark/>
          </w:tcPr>
          <w:p w14:paraId="39FD4079" w14:textId="77777777" w:rsidR="005E26CD" w:rsidRPr="005E26CD" w:rsidRDefault="005E26CD" w:rsidP="005E26CD">
            <w:pPr>
              <w:spacing w:after="0" w:line="240" w:lineRule="auto"/>
              <w:rPr>
                <w:rFonts w:ascii="Aptos Narrow" w:eastAsia="Times New Roman" w:hAnsi="Aptos Narrow" w:cs="Calibri"/>
                <w:color w:val="000000"/>
                <w:sz w:val="16"/>
                <w:szCs w:val="16"/>
              </w:rPr>
            </w:pPr>
          </w:p>
        </w:tc>
      </w:tr>
      <w:tr w:rsidR="005E26CD" w:rsidRPr="005E26CD" w14:paraId="5C0CAEC3" w14:textId="77777777" w:rsidTr="00FC7170">
        <w:trPr>
          <w:trHeight w:hRule="exact" w:val="227"/>
        </w:trPr>
        <w:tc>
          <w:tcPr>
            <w:tcW w:w="2172" w:type="pct"/>
            <w:tcBorders>
              <w:top w:val="nil"/>
              <w:left w:val="nil"/>
              <w:bottom w:val="nil"/>
              <w:right w:val="nil"/>
            </w:tcBorders>
            <w:shd w:val="clear" w:color="000000" w:fill="DAE9F8"/>
            <w:noWrap/>
            <w:vAlign w:val="center"/>
            <w:hideMark/>
          </w:tcPr>
          <w:p w14:paraId="4FE545D9" w14:textId="77777777" w:rsidR="005E26CD" w:rsidRPr="005E26CD" w:rsidRDefault="005E26CD" w:rsidP="005E26CD">
            <w:pPr>
              <w:spacing w:after="0" w:line="240" w:lineRule="auto"/>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RESULTADO LÍQUIDO DO EXERCÍCIO</w:t>
            </w:r>
          </w:p>
        </w:tc>
        <w:tc>
          <w:tcPr>
            <w:tcW w:w="782" w:type="pct"/>
            <w:tcBorders>
              <w:top w:val="nil"/>
              <w:left w:val="nil"/>
              <w:bottom w:val="single" w:sz="4" w:space="0" w:color="156082"/>
              <w:right w:val="nil"/>
            </w:tcBorders>
            <w:shd w:val="clear" w:color="000000" w:fill="DAE9F8"/>
            <w:noWrap/>
            <w:vAlign w:val="center"/>
            <w:hideMark/>
          </w:tcPr>
          <w:p w14:paraId="29B5791D"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31.212.137 </w:t>
            </w:r>
          </w:p>
        </w:tc>
        <w:tc>
          <w:tcPr>
            <w:tcW w:w="785" w:type="pct"/>
            <w:tcBorders>
              <w:top w:val="nil"/>
              <w:left w:val="nil"/>
              <w:bottom w:val="single" w:sz="4" w:space="0" w:color="156082"/>
              <w:right w:val="nil"/>
            </w:tcBorders>
            <w:shd w:val="clear" w:color="000000" w:fill="DAE9F8"/>
            <w:noWrap/>
            <w:vAlign w:val="center"/>
            <w:hideMark/>
          </w:tcPr>
          <w:p w14:paraId="31F41ADD"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196.622.577 </w:t>
            </w:r>
          </w:p>
        </w:tc>
        <w:tc>
          <w:tcPr>
            <w:tcW w:w="789" w:type="pct"/>
            <w:tcBorders>
              <w:top w:val="nil"/>
              <w:left w:val="nil"/>
              <w:bottom w:val="single" w:sz="4" w:space="0" w:color="156082"/>
              <w:right w:val="nil"/>
            </w:tcBorders>
            <w:shd w:val="clear" w:color="000000" w:fill="DAE9F8"/>
            <w:noWrap/>
            <w:vAlign w:val="center"/>
            <w:hideMark/>
          </w:tcPr>
          <w:p w14:paraId="7CB75524" w14:textId="54BA9FDE" w:rsidR="005E26CD" w:rsidRPr="005E26CD" w:rsidRDefault="005E26CD" w:rsidP="005E26CD">
            <w:pPr>
              <w:spacing w:after="0" w:line="240" w:lineRule="auto"/>
              <w:jc w:val="right"/>
              <w:rPr>
                <w:rFonts w:ascii="Aptos Narrow" w:eastAsia="Times New Roman" w:hAnsi="Aptos Narrow" w:cs="Calibri"/>
                <w:b/>
                <w:bCs/>
                <w:color w:val="000000"/>
                <w:sz w:val="16"/>
                <w:szCs w:val="16"/>
              </w:rPr>
            </w:pPr>
            <w:r w:rsidRPr="005E26CD">
              <w:rPr>
                <w:rFonts w:ascii="Aptos Narrow" w:eastAsia="Times New Roman" w:hAnsi="Aptos Narrow" w:cs="Calibri"/>
                <w:b/>
                <w:bCs/>
                <w:color w:val="000000"/>
                <w:sz w:val="16"/>
                <w:szCs w:val="16"/>
              </w:rPr>
              <w:t xml:space="preserve">                (165.410.43</w:t>
            </w:r>
            <w:r w:rsidR="00532B4D">
              <w:rPr>
                <w:rFonts w:ascii="Aptos Narrow" w:eastAsia="Times New Roman" w:hAnsi="Aptos Narrow" w:cs="Calibri"/>
                <w:b/>
                <w:bCs/>
                <w:color w:val="000000"/>
                <w:sz w:val="16"/>
                <w:szCs w:val="16"/>
              </w:rPr>
              <w:t>7</w:t>
            </w:r>
            <w:r w:rsidRPr="005E26CD">
              <w:rPr>
                <w:rFonts w:ascii="Aptos Narrow" w:eastAsia="Times New Roman" w:hAnsi="Aptos Narrow" w:cs="Calibri"/>
                <w:b/>
                <w:bCs/>
                <w:color w:val="000000"/>
                <w:sz w:val="16"/>
                <w:szCs w:val="16"/>
              </w:rPr>
              <w:t>)</w:t>
            </w:r>
          </w:p>
        </w:tc>
        <w:tc>
          <w:tcPr>
            <w:tcW w:w="472" w:type="pct"/>
            <w:tcBorders>
              <w:top w:val="nil"/>
              <w:left w:val="nil"/>
              <w:bottom w:val="nil"/>
              <w:right w:val="nil"/>
            </w:tcBorders>
            <w:shd w:val="clear" w:color="auto" w:fill="auto"/>
            <w:noWrap/>
            <w:vAlign w:val="bottom"/>
            <w:hideMark/>
          </w:tcPr>
          <w:p w14:paraId="204A4383" w14:textId="77777777" w:rsidR="005E26CD" w:rsidRPr="005E26CD" w:rsidRDefault="005E26CD" w:rsidP="005E26CD">
            <w:pPr>
              <w:spacing w:after="0" w:line="240" w:lineRule="auto"/>
              <w:jc w:val="right"/>
              <w:rPr>
                <w:rFonts w:ascii="Aptos Narrow" w:eastAsia="Times New Roman" w:hAnsi="Aptos Narrow" w:cs="Calibri"/>
                <w:b/>
                <w:bCs/>
                <w:color w:val="000000"/>
                <w:sz w:val="16"/>
                <w:szCs w:val="16"/>
              </w:rPr>
            </w:pPr>
          </w:p>
        </w:tc>
      </w:tr>
      <w:tr w:rsidR="005E26CD" w:rsidRPr="005E26CD" w14:paraId="37E9FBBF" w14:textId="77777777" w:rsidTr="00FC7170">
        <w:trPr>
          <w:trHeight w:hRule="exact" w:val="227"/>
        </w:trPr>
        <w:tc>
          <w:tcPr>
            <w:tcW w:w="2172" w:type="pct"/>
            <w:tcBorders>
              <w:top w:val="single" w:sz="4" w:space="0" w:color="156082"/>
              <w:left w:val="nil"/>
              <w:bottom w:val="nil"/>
              <w:right w:val="nil"/>
            </w:tcBorders>
            <w:shd w:val="clear" w:color="auto" w:fill="auto"/>
            <w:noWrap/>
            <w:vAlign w:val="center"/>
            <w:hideMark/>
          </w:tcPr>
          <w:p w14:paraId="6D995530" w14:textId="77777777" w:rsidR="005E26CD" w:rsidRPr="005E26CD" w:rsidRDefault="005E26CD" w:rsidP="005E26CD">
            <w:pPr>
              <w:spacing w:after="0" w:line="240" w:lineRule="auto"/>
              <w:rPr>
                <w:rFonts w:ascii="Aptos Narrow" w:eastAsia="Times New Roman" w:hAnsi="Aptos Narrow" w:cs="Calibri"/>
                <w:sz w:val="16"/>
                <w:szCs w:val="16"/>
              </w:rPr>
            </w:pPr>
            <w:r w:rsidRPr="005E26CD">
              <w:rPr>
                <w:rFonts w:ascii="Aptos Narrow" w:eastAsia="Times New Roman" w:hAnsi="Aptos Narrow" w:cs="Calibri"/>
                <w:sz w:val="16"/>
                <w:szCs w:val="16"/>
              </w:rPr>
              <w:t>Lucro/Prejuízo por Ação (em reais)</w:t>
            </w:r>
          </w:p>
        </w:tc>
        <w:tc>
          <w:tcPr>
            <w:tcW w:w="782" w:type="pct"/>
            <w:tcBorders>
              <w:top w:val="nil"/>
              <w:left w:val="nil"/>
              <w:bottom w:val="nil"/>
              <w:right w:val="nil"/>
            </w:tcBorders>
            <w:shd w:val="clear" w:color="auto" w:fill="auto"/>
            <w:noWrap/>
            <w:vAlign w:val="center"/>
            <w:hideMark/>
          </w:tcPr>
          <w:p w14:paraId="2E661749" w14:textId="77777777" w:rsidR="005E26CD" w:rsidRPr="005E26CD" w:rsidRDefault="005E26CD" w:rsidP="005E26CD">
            <w:pPr>
              <w:spacing w:after="0" w:line="240" w:lineRule="auto"/>
              <w:jc w:val="right"/>
              <w:rPr>
                <w:rFonts w:ascii="Aptos Narrow" w:eastAsia="Times New Roman" w:hAnsi="Aptos Narrow" w:cs="Calibri"/>
                <w:sz w:val="16"/>
                <w:szCs w:val="16"/>
              </w:rPr>
            </w:pPr>
            <w:r w:rsidRPr="005E26CD">
              <w:rPr>
                <w:rFonts w:ascii="Aptos Narrow" w:eastAsia="Times New Roman" w:hAnsi="Aptos Narrow" w:cs="Calibri"/>
                <w:sz w:val="16"/>
                <w:szCs w:val="16"/>
              </w:rPr>
              <w:t xml:space="preserve">                                     3,86 </w:t>
            </w:r>
          </w:p>
        </w:tc>
        <w:tc>
          <w:tcPr>
            <w:tcW w:w="785" w:type="pct"/>
            <w:tcBorders>
              <w:top w:val="nil"/>
              <w:left w:val="nil"/>
              <w:bottom w:val="nil"/>
              <w:right w:val="nil"/>
            </w:tcBorders>
            <w:shd w:val="clear" w:color="auto" w:fill="auto"/>
            <w:noWrap/>
            <w:vAlign w:val="center"/>
            <w:hideMark/>
          </w:tcPr>
          <w:p w14:paraId="1D98274F" w14:textId="77777777" w:rsidR="005E26CD" w:rsidRPr="005E26CD" w:rsidRDefault="005E26CD" w:rsidP="005E26CD">
            <w:pPr>
              <w:spacing w:after="0" w:line="240" w:lineRule="auto"/>
              <w:jc w:val="right"/>
              <w:rPr>
                <w:rFonts w:ascii="Aptos Narrow" w:eastAsia="Times New Roman" w:hAnsi="Aptos Narrow" w:cs="Calibri"/>
                <w:sz w:val="16"/>
                <w:szCs w:val="16"/>
              </w:rPr>
            </w:pPr>
            <w:r w:rsidRPr="005E26CD">
              <w:rPr>
                <w:rFonts w:ascii="Aptos Narrow" w:eastAsia="Times New Roman" w:hAnsi="Aptos Narrow" w:cs="Calibri"/>
                <w:sz w:val="16"/>
                <w:szCs w:val="16"/>
              </w:rPr>
              <w:t xml:space="preserve">                                  24,30 </w:t>
            </w:r>
          </w:p>
        </w:tc>
        <w:tc>
          <w:tcPr>
            <w:tcW w:w="789" w:type="pct"/>
            <w:tcBorders>
              <w:top w:val="nil"/>
              <w:left w:val="nil"/>
              <w:bottom w:val="nil"/>
              <w:right w:val="nil"/>
            </w:tcBorders>
            <w:shd w:val="clear" w:color="auto" w:fill="auto"/>
            <w:noWrap/>
            <w:vAlign w:val="center"/>
            <w:hideMark/>
          </w:tcPr>
          <w:p w14:paraId="7128C8BB" w14:textId="77777777" w:rsidR="005E26CD" w:rsidRPr="005E26CD" w:rsidRDefault="005E26CD" w:rsidP="005E26CD">
            <w:pPr>
              <w:spacing w:after="0" w:line="240" w:lineRule="auto"/>
              <w:jc w:val="right"/>
              <w:rPr>
                <w:rFonts w:ascii="Aptos Narrow" w:eastAsia="Times New Roman" w:hAnsi="Aptos Narrow" w:cs="Calibri"/>
                <w:sz w:val="16"/>
                <w:szCs w:val="16"/>
              </w:rPr>
            </w:pPr>
          </w:p>
        </w:tc>
        <w:tc>
          <w:tcPr>
            <w:tcW w:w="472" w:type="pct"/>
            <w:tcBorders>
              <w:top w:val="nil"/>
              <w:left w:val="nil"/>
              <w:bottom w:val="nil"/>
              <w:right w:val="nil"/>
            </w:tcBorders>
            <w:shd w:val="clear" w:color="auto" w:fill="auto"/>
            <w:noWrap/>
            <w:vAlign w:val="bottom"/>
            <w:hideMark/>
          </w:tcPr>
          <w:p w14:paraId="44A98F44" w14:textId="77777777" w:rsidR="005E26CD" w:rsidRPr="005E26CD" w:rsidRDefault="005E26CD" w:rsidP="005E26CD">
            <w:pPr>
              <w:spacing w:after="0" w:line="240" w:lineRule="auto"/>
              <w:jc w:val="right"/>
              <w:rPr>
                <w:rFonts w:ascii="Times New Roman" w:eastAsia="Times New Roman" w:hAnsi="Times New Roman" w:cs="Times New Roman"/>
                <w:sz w:val="20"/>
                <w:szCs w:val="20"/>
              </w:rPr>
            </w:pPr>
          </w:p>
        </w:tc>
      </w:tr>
    </w:tbl>
    <w:p w14:paraId="24E39C15" w14:textId="77777777" w:rsidR="00E564ED" w:rsidRDefault="00E564ED" w:rsidP="00EB0EC7">
      <w:pPr>
        <w:ind w:left="1134" w:firstLine="567"/>
        <w:rPr>
          <w:rFonts w:ascii="Calibri" w:eastAsia="Times New Roman" w:hAnsi="Calibri" w:cs="Calibri"/>
          <w:sz w:val="16"/>
          <w:szCs w:val="16"/>
        </w:rPr>
      </w:pPr>
    </w:p>
    <w:p w14:paraId="20CE3196" w14:textId="3F01032D" w:rsidR="002C6444" w:rsidRDefault="002C6444" w:rsidP="0070649E">
      <w:pPr>
        <w:jc w:val="center"/>
        <w:rPr>
          <w:rFonts w:ascii="Calibri" w:hAnsi="Calibri" w:cs="Calibri"/>
          <w:bCs/>
          <w:color w:val="FF0000"/>
          <w:sz w:val="18"/>
          <w:szCs w:val="18"/>
        </w:rPr>
      </w:pPr>
      <w:r w:rsidRPr="00AC056B">
        <w:rPr>
          <w:rFonts w:ascii="Calibri" w:eastAsia="Times New Roman" w:hAnsi="Calibri" w:cs="Calibri"/>
          <w:sz w:val="16"/>
          <w:szCs w:val="16"/>
        </w:rPr>
        <w:t xml:space="preserve">(As Notas Explicativas são parte integrante das </w:t>
      </w:r>
      <w:r>
        <w:rPr>
          <w:rFonts w:ascii="Calibri" w:eastAsia="Times New Roman" w:hAnsi="Calibri" w:cs="Calibri"/>
          <w:sz w:val="16"/>
          <w:szCs w:val="16"/>
        </w:rPr>
        <w:t>D</w:t>
      </w:r>
      <w:r w:rsidRPr="00AC056B">
        <w:rPr>
          <w:rFonts w:ascii="Calibri" w:eastAsia="Times New Roman" w:hAnsi="Calibri" w:cs="Calibri"/>
          <w:sz w:val="16"/>
          <w:szCs w:val="16"/>
        </w:rPr>
        <w:t xml:space="preserve">emonstrações </w:t>
      </w:r>
      <w:r>
        <w:rPr>
          <w:rFonts w:ascii="Calibri" w:eastAsia="Times New Roman" w:hAnsi="Calibri" w:cs="Calibri"/>
          <w:sz w:val="16"/>
          <w:szCs w:val="16"/>
        </w:rPr>
        <w:t>F</w:t>
      </w:r>
      <w:r w:rsidRPr="00AC056B">
        <w:rPr>
          <w:rFonts w:ascii="Calibri" w:eastAsia="Times New Roman" w:hAnsi="Calibri" w:cs="Calibri"/>
          <w:sz w:val="16"/>
          <w:szCs w:val="16"/>
        </w:rPr>
        <w:t>inanceiras)</w:t>
      </w:r>
    </w:p>
    <w:p w14:paraId="00CFD11F" w14:textId="77777777" w:rsidR="009D6470" w:rsidRDefault="009D6470" w:rsidP="009D6470">
      <w:pPr>
        <w:spacing w:before="120"/>
        <w:ind w:right="57"/>
        <w:jc w:val="both"/>
        <w:rPr>
          <w:rFonts w:ascii="Calibri" w:hAnsi="Calibri" w:cs="Calibri"/>
          <w:bCs/>
          <w:color w:val="FF0000"/>
          <w:sz w:val="18"/>
          <w:szCs w:val="18"/>
        </w:rPr>
      </w:pPr>
    </w:p>
    <w:p w14:paraId="250D4125" w14:textId="77777777" w:rsidR="008411DD" w:rsidRPr="009D6470" w:rsidRDefault="008411DD" w:rsidP="009D6470">
      <w:pPr>
        <w:spacing w:before="120"/>
        <w:ind w:right="57"/>
        <w:jc w:val="both"/>
        <w:rPr>
          <w:rFonts w:ascii="Calibri" w:hAnsi="Calibri" w:cs="Calibri"/>
          <w:bCs/>
          <w:color w:val="FF0000"/>
          <w:sz w:val="18"/>
          <w:szCs w:val="18"/>
        </w:rPr>
      </w:pPr>
    </w:p>
    <w:p w14:paraId="355429A7" w14:textId="77777777" w:rsidR="00964952" w:rsidRDefault="00964952" w:rsidP="009D6470">
      <w:pPr>
        <w:spacing w:before="120"/>
        <w:ind w:right="57"/>
        <w:jc w:val="both"/>
        <w:rPr>
          <w:rFonts w:ascii="Calibri" w:hAnsi="Calibri" w:cs="Calibri"/>
          <w:bCs/>
          <w:color w:val="FF0000"/>
          <w:sz w:val="18"/>
          <w:szCs w:val="18"/>
        </w:rPr>
      </w:pPr>
    </w:p>
    <w:p w14:paraId="1FC4E677" w14:textId="77777777" w:rsidR="00801A8A" w:rsidRDefault="00801A8A" w:rsidP="009D6470">
      <w:pPr>
        <w:spacing w:before="120"/>
        <w:ind w:right="57"/>
        <w:jc w:val="both"/>
        <w:rPr>
          <w:rFonts w:ascii="Calibri" w:hAnsi="Calibri" w:cs="Calibri"/>
          <w:bCs/>
          <w:color w:val="FF0000"/>
          <w:sz w:val="18"/>
          <w:szCs w:val="18"/>
        </w:rPr>
      </w:pPr>
    </w:p>
    <w:p w14:paraId="6ACCAD46" w14:textId="77777777" w:rsidR="00801A8A" w:rsidRDefault="00801A8A" w:rsidP="009D6470">
      <w:pPr>
        <w:spacing w:before="120"/>
        <w:ind w:right="57"/>
        <w:jc w:val="both"/>
        <w:rPr>
          <w:rFonts w:ascii="Calibri" w:hAnsi="Calibri" w:cs="Calibri"/>
          <w:bCs/>
          <w:color w:val="FF0000"/>
          <w:sz w:val="18"/>
          <w:szCs w:val="18"/>
        </w:rPr>
      </w:pPr>
    </w:p>
    <w:p w14:paraId="75809B03" w14:textId="77777777" w:rsidR="00801A8A" w:rsidRDefault="00801A8A" w:rsidP="009D6470">
      <w:pPr>
        <w:spacing w:before="120"/>
        <w:ind w:right="57"/>
        <w:jc w:val="both"/>
        <w:rPr>
          <w:rFonts w:ascii="Calibri" w:hAnsi="Calibri" w:cs="Calibri"/>
          <w:bCs/>
          <w:color w:val="FF0000"/>
          <w:sz w:val="18"/>
          <w:szCs w:val="18"/>
        </w:rPr>
      </w:pPr>
    </w:p>
    <w:p w14:paraId="44CC47B8" w14:textId="77777777" w:rsidR="00801A8A" w:rsidRDefault="00801A8A" w:rsidP="009D6470">
      <w:pPr>
        <w:spacing w:before="120"/>
        <w:ind w:right="57"/>
        <w:jc w:val="both"/>
        <w:rPr>
          <w:rFonts w:ascii="Calibri" w:hAnsi="Calibri" w:cs="Calibri"/>
          <w:bCs/>
          <w:color w:val="FF0000"/>
          <w:sz w:val="18"/>
          <w:szCs w:val="18"/>
        </w:rPr>
      </w:pPr>
    </w:p>
    <w:p w14:paraId="459632CA" w14:textId="77777777" w:rsidR="00801A8A" w:rsidRDefault="00801A8A" w:rsidP="009D6470">
      <w:pPr>
        <w:spacing w:before="120"/>
        <w:ind w:right="57"/>
        <w:jc w:val="both"/>
        <w:rPr>
          <w:rFonts w:ascii="Calibri" w:hAnsi="Calibri" w:cs="Calibri"/>
          <w:bCs/>
          <w:color w:val="FF0000"/>
          <w:sz w:val="18"/>
          <w:szCs w:val="18"/>
        </w:rPr>
      </w:pPr>
    </w:p>
    <w:p w14:paraId="368C8639" w14:textId="77777777" w:rsidR="00801A8A" w:rsidRDefault="00801A8A" w:rsidP="009D6470">
      <w:pPr>
        <w:spacing w:before="120"/>
        <w:ind w:right="57"/>
        <w:jc w:val="both"/>
        <w:rPr>
          <w:rFonts w:ascii="Calibri" w:hAnsi="Calibri" w:cs="Calibri"/>
          <w:bCs/>
          <w:color w:val="FF0000"/>
          <w:sz w:val="18"/>
          <w:szCs w:val="18"/>
        </w:rPr>
      </w:pPr>
    </w:p>
    <w:p w14:paraId="2D7C3B1D" w14:textId="77777777" w:rsidR="00364C73" w:rsidRPr="009D6470" w:rsidRDefault="00364C73" w:rsidP="009D6470">
      <w:pPr>
        <w:spacing w:before="120"/>
        <w:ind w:right="57"/>
        <w:jc w:val="both"/>
        <w:rPr>
          <w:rFonts w:ascii="Calibri" w:hAnsi="Calibri" w:cs="Calibri"/>
          <w:bCs/>
          <w:color w:val="FF0000"/>
          <w:sz w:val="18"/>
          <w:szCs w:val="18"/>
        </w:rPr>
      </w:pPr>
    </w:p>
    <w:p w14:paraId="67DA89F8" w14:textId="6551D30E" w:rsidR="004B1E65" w:rsidRDefault="00364C73" w:rsidP="005A30A6">
      <w:pPr>
        <w:pStyle w:val="PargrafodaLista"/>
        <w:numPr>
          <w:ilvl w:val="0"/>
          <w:numId w:val="6"/>
        </w:numPr>
        <w:spacing w:before="120"/>
        <w:jc w:val="both"/>
        <w:rPr>
          <w:rFonts w:cstheme="minorHAnsi"/>
          <w:bCs/>
          <w:sz w:val="18"/>
          <w:szCs w:val="20"/>
        </w:rPr>
      </w:pPr>
      <w:r w:rsidRPr="00025C75">
        <w:rPr>
          <w:rFonts w:cstheme="minorHAnsi"/>
          <w:bCs/>
          <w:sz w:val="18"/>
          <w:szCs w:val="20"/>
        </w:rPr>
        <w:t xml:space="preserve">No SIAFI, nos termos da situação de apropriação exposta na </w:t>
      </w:r>
      <w:proofErr w:type="spellStart"/>
      <w:r w:rsidR="00BF3B5B" w:rsidRPr="00025C75">
        <w:rPr>
          <w:rFonts w:cstheme="minorHAnsi"/>
          <w:bCs/>
          <w:sz w:val="18"/>
          <w:szCs w:val="20"/>
        </w:rPr>
        <w:t>M</w:t>
      </w:r>
      <w:r w:rsidRPr="00025C75">
        <w:rPr>
          <w:rFonts w:cstheme="minorHAnsi"/>
          <w:bCs/>
          <w:sz w:val="18"/>
          <w:szCs w:val="20"/>
        </w:rPr>
        <w:t>acrofunção</w:t>
      </w:r>
      <w:proofErr w:type="spellEnd"/>
      <w:r w:rsidR="00BF3B5B" w:rsidRPr="00BF3B5B">
        <w:t xml:space="preserve"> </w:t>
      </w:r>
      <w:r w:rsidR="00BF3B5B" w:rsidRPr="00025C75">
        <w:rPr>
          <w:rFonts w:cstheme="minorHAnsi"/>
          <w:bCs/>
          <w:sz w:val="18"/>
          <w:szCs w:val="20"/>
        </w:rPr>
        <w:t>nº 021126 - Depósitos em Garantia</w:t>
      </w:r>
      <w:r w:rsidRPr="00025C75">
        <w:rPr>
          <w:rFonts w:cstheme="minorHAnsi"/>
          <w:bCs/>
          <w:sz w:val="18"/>
          <w:szCs w:val="20"/>
        </w:rPr>
        <w:t xml:space="preserve">, os valores </w:t>
      </w:r>
      <w:r w:rsidR="009C6BB0" w:rsidRPr="00025C75">
        <w:rPr>
          <w:rFonts w:cstheme="minorHAnsi"/>
          <w:bCs/>
          <w:sz w:val="18"/>
          <w:szCs w:val="20"/>
        </w:rPr>
        <w:t xml:space="preserve">de depósitos de cauções </w:t>
      </w:r>
      <w:r w:rsidR="00140650" w:rsidRPr="00025C75">
        <w:rPr>
          <w:rFonts w:cstheme="minorHAnsi"/>
          <w:bCs/>
          <w:sz w:val="18"/>
          <w:szCs w:val="20"/>
        </w:rPr>
        <w:t xml:space="preserve">relativos aos contratos dos fornecedores </w:t>
      </w:r>
      <w:r w:rsidRPr="00025C75">
        <w:rPr>
          <w:rFonts w:cstheme="minorHAnsi"/>
          <w:bCs/>
          <w:sz w:val="18"/>
          <w:szCs w:val="20"/>
        </w:rPr>
        <w:t>são contabilizados no ativo circulan</w:t>
      </w:r>
      <w:r w:rsidR="009C6BB0" w:rsidRPr="00025C75">
        <w:rPr>
          <w:rFonts w:cstheme="minorHAnsi"/>
          <w:bCs/>
          <w:sz w:val="18"/>
          <w:szCs w:val="20"/>
        </w:rPr>
        <w:t>te. Já na</w:t>
      </w:r>
      <w:r w:rsidR="009C5684" w:rsidRPr="00025C75">
        <w:rPr>
          <w:rFonts w:cstheme="minorHAnsi"/>
          <w:bCs/>
          <w:sz w:val="18"/>
          <w:szCs w:val="20"/>
        </w:rPr>
        <w:t xml:space="preserve"> </w:t>
      </w:r>
      <w:r w:rsidR="009C6BB0" w:rsidRPr="00025C75">
        <w:rPr>
          <w:rFonts w:cstheme="minorHAnsi"/>
          <w:bCs/>
          <w:sz w:val="18"/>
          <w:szCs w:val="20"/>
        </w:rPr>
        <w:t xml:space="preserve">Contabilidade Societária, estes são reclassificados do curto para o longo prazo. </w:t>
      </w:r>
      <w:r w:rsidR="00457317" w:rsidRPr="00025C75">
        <w:rPr>
          <w:rFonts w:cstheme="minorHAnsi"/>
          <w:bCs/>
          <w:sz w:val="18"/>
          <w:szCs w:val="20"/>
        </w:rPr>
        <w:t>Além disso, n</w:t>
      </w:r>
      <w:r w:rsidR="00560FB0" w:rsidRPr="00025C75">
        <w:rPr>
          <w:rFonts w:cstheme="minorHAnsi"/>
          <w:bCs/>
          <w:sz w:val="18"/>
          <w:szCs w:val="20"/>
        </w:rPr>
        <w:t xml:space="preserve">o 1º trimestre de 2024 houve o pagamento do depósito caução no valor de R$ 29 mil </w:t>
      </w:r>
      <w:r w:rsidR="00314DD3" w:rsidRPr="00025C75">
        <w:rPr>
          <w:rFonts w:cstheme="minorHAnsi"/>
          <w:bCs/>
          <w:sz w:val="18"/>
          <w:szCs w:val="20"/>
        </w:rPr>
        <w:t>para a</w:t>
      </w:r>
      <w:r w:rsidR="00560FB0" w:rsidRPr="00025C75">
        <w:rPr>
          <w:rFonts w:cstheme="minorHAnsi"/>
          <w:bCs/>
          <w:sz w:val="18"/>
          <w:szCs w:val="20"/>
        </w:rPr>
        <w:t xml:space="preserve"> Empresa Baiana de Ativos S. A. – BAHIAINVESTE, bem como de R$ 251 mil </w:t>
      </w:r>
      <w:r w:rsidR="00314DD3" w:rsidRPr="00025C75">
        <w:rPr>
          <w:rFonts w:cstheme="minorHAnsi"/>
          <w:bCs/>
          <w:sz w:val="18"/>
          <w:szCs w:val="20"/>
        </w:rPr>
        <w:t>para a</w:t>
      </w:r>
      <w:r w:rsidR="00560FB0" w:rsidRPr="00025C75">
        <w:rPr>
          <w:rFonts w:cstheme="minorHAnsi"/>
          <w:bCs/>
          <w:sz w:val="18"/>
          <w:szCs w:val="20"/>
        </w:rPr>
        <w:t xml:space="preserve"> Companhia de Desenvolvimento de Minas Gerais – CODEMGE, os quais se referem aos contratos em que a Infra S. A. atua como prestadora de serviços. Os lançamentos destes valores gerar</w:t>
      </w:r>
      <w:r w:rsidR="00917809" w:rsidRPr="00025C75">
        <w:rPr>
          <w:rFonts w:cstheme="minorHAnsi"/>
          <w:bCs/>
          <w:sz w:val="18"/>
          <w:szCs w:val="20"/>
        </w:rPr>
        <w:t>am</w:t>
      </w:r>
      <w:r w:rsidR="00560FB0" w:rsidRPr="00025C75">
        <w:rPr>
          <w:rFonts w:cstheme="minorHAnsi"/>
          <w:bCs/>
          <w:sz w:val="18"/>
          <w:szCs w:val="20"/>
        </w:rPr>
        <w:t xml:space="preserve"> desequilíbrios no SIAFI, os quais estão sendo regularizados junto à setorial contábil do Ministério dos Transportes</w:t>
      </w:r>
      <w:r w:rsidR="00167DAD" w:rsidRPr="00025C75">
        <w:rPr>
          <w:rFonts w:cstheme="minorHAnsi"/>
          <w:bCs/>
          <w:sz w:val="18"/>
          <w:szCs w:val="20"/>
        </w:rPr>
        <w:t>;</w:t>
      </w:r>
    </w:p>
    <w:p w14:paraId="4F6C7435" w14:textId="77777777" w:rsidR="004B1E65" w:rsidRDefault="00B5247F" w:rsidP="005A30A6">
      <w:pPr>
        <w:pStyle w:val="PargrafodaLista"/>
        <w:numPr>
          <w:ilvl w:val="0"/>
          <w:numId w:val="6"/>
        </w:numPr>
        <w:spacing w:before="120"/>
        <w:jc w:val="both"/>
        <w:rPr>
          <w:rFonts w:cstheme="minorHAnsi"/>
          <w:bCs/>
          <w:sz w:val="18"/>
          <w:szCs w:val="20"/>
        </w:rPr>
      </w:pPr>
      <w:r w:rsidRPr="004B1E65">
        <w:rPr>
          <w:rFonts w:cstheme="minorHAnsi"/>
          <w:bCs/>
          <w:sz w:val="18"/>
          <w:szCs w:val="20"/>
        </w:rPr>
        <w:t>As permissões de uso de pátios e terminais são registradas na Contabilidade Societária pelo regime de competência, contabilizando</w:t>
      </w:r>
      <w:r w:rsidR="00852BA2" w:rsidRPr="004B1E65">
        <w:rPr>
          <w:rFonts w:cstheme="minorHAnsi"/>
          <w:bCs/>
          <w:sz w:val="18"/>
          <w:szCs w:val="20"/>
        </w:rPr>
        <w:t>-se</w:t>
      </w:r>
      <w:r w:rsidRPr="004B1E65">
        <w:rPr>
          <w:rFonts w:cstheme="minorHAnsi"/>
          <w:bCs/>
          <w:sz w:val="18"/>
          <w:szCs w:val="20"/>
        </w:rPr>
        <w:t xml:space="preserve"> </w:t>
      </w:r>
      <w:r w:rsidR="007631FD" w:rsidRPr="004B1E65">
        <w:rPr>
          <w:rFonts w:cstheme="minorHAnsi"/>
          <w:bCs/>
          <w:sz w:val="18"/>
          <w:szCs w:val="20"/>
        </w:rPr>
        <w:t xml:space="preserve">os </w:t>
      </w:r>
      <w:r w:rsidRPr="004B1E65">
        <w:rPr>
          <w:rFonts w:cstheme="minorHAnsi"/>
          <w:bCs/>
          <w:sz w:val="18"/>
          <w:szCs w:val="20"/>
        </w:rPr>
        <w:t xml:space="preserve">direitos a receber no ativo circulante e não circulante, corrigidos monetariamente conforme </w:t>
      </w:r>
      <w:r w:rsidR="00AB4A60" w:rsidRPr="004B1E65">
        <w:rPr>
          <w:rFonts w:cstheme="minorHAnsi"/>
          <w:bCs/>
          <w:sz w:val="18"/>
          <w:szCs w:val="20"/>
        </w:rPr>
        <w:t>cláusulas contratuais</w:t>
      </w:r>
      <w:r w:rsidR="007631FD" w:rsidRPr="004B1E65">
        <w:rPr>
          <w:rFonts w:cstheme="minorHAnsi"/>
          <w:bCs/>
          <w:sz w:val="18"/>
          <w:szCs w:val="20"/>
        </w:rPr>
        <w:t xml:space="preserve">; bem como </w:t>
      </w:r>
      <w:r w:rsidR="00BB7E2F" w:rsidRPr="004B1E65">
        <w:rPr>
          <w:rFonts w:cstheme="minorHAnsi"/>
          <w:bCs/>
          <w:sz w:val="18"/>
          <w:szCs w:val="20"/>
        </w:rPr>
        <w:t>contabiliza</w:t>
      </w:r>
      <w:r w:rsidR="001B2668" w:rsidRPr="004B1E65">
        <w:rPr>
          <w:rFonts w:cstheme="minorHAnsi"/>
          <w:bCs/>
          <w:sz w:val="18"/>
          <w:szCs w:val="20"/>
        </w:rPr>
        <w:t>ndo</w:t>
      </w:r>
      <w:r w:rsidR="00BB7E2F" w:rsidRPr="004B1E65">
        <w:rPr>
          <w:rFonts w:cstheme="minorHAnsi"/>
          <w:bCs/>
          <w:sz w:val="18"/>
          <w:szCs w:val="20"/>
        </w:rPr>
        <w:t xml:space="preserve"> as receitas diferidas</w:t>
      </w:r>
      <w:r w:rsidR="00EB4078" w:rsidRPr="004B1E65">
        <w:rPr>
          <w:rFonts w:cstheme="minorHAnsi"/>
          <w:bCs/>
          <w:sz w:val="18"/>
          <w:szCs w:val="20"/>
        </w:rPr>
        <w:t xml:space="preserve"> no passivo circulante e não circulante</w:t>
      </w:r>
      <w:r w:rsidR="001B2668" w:rsidRPr="004B1E65">
        <w:rPr>
          <w:rFonts w:cstheme="minorHAnsi"/>
          <w:bCs/>
          <w:sz w:val="18"/>
          <w:szCs w:val="20"/>
        </w:rPr>
        <w:t xml:space="preserve">, </w:t>
      </w:r>
      <w:r w:rsidR="00EB4078" w:rsidRPr="004B1E65">
        <w:rPr>
          <w:rFonts w:cstheme="minorHAnsi"/>
          <w:bCs/>
          <w:sz w:val="18"/>
          <w:szCs w:val="20"/>
        </w:rPr>
        <w:t>apropria</w:t>
      </w:r>
      <w:r w:rsidR="001B2668" w:rsidRPr="004B1E65">
        <w:rPr>
          <w:rFonts w:cstheme="minorHAnsi"/>
          <w:bCs/>
          <w:sz w:val="18"/>
          <w:szCs w:val="20"/>
        </w:rPr>
        <w:t>ndo-as</w:t>
      </w:r>
      <w:r w:rsidR="00EB4078" w:rsidRPr="004B1E65">
        <w:rPr>
          <w:rFonts w:cstheme="minorHAnsi"/>
          <w:bCs/>
          <w:sz w:val="18"/>
          <w:szCs w:val="20"/>
        </w:rPr>
        <w:t xml:space="preserve"> em resultado </w:t>
      </w:r>
      <w:r w:rsidR="00AB4A60" w:rsidRPr="004B1E65">
        <w:rPr>
          <w:rFonts w:cstheme="minorHAnsi"/>
          <w:bCs/>
          <w:sz w:val="18"/>
          <w:szCs w:val="20"/>
        </w:rPr>
        <w:t>pelo prazo de vigência</w:t>
      </w:r>
      <w:r w:rsidR="00EB4078" w:rsidRPr="004B1E65">
        <w:rPr>
          <w:rFonts w:cstheme="minorHAnsi"/>
          <w:bCs/>
          <w:sz w:val="18"/>
          <w:szCs w:val="20"/>
        </w:rPr>
        <w:t xml:space="preserve"> contratual</w:t>
      </w:r>
      <w:r w:rsidRPr="004B1E65">
        <w:rPr>
          <w:rFonts w:cstheme="minorHAnsi"/>
          <w:bCs/>
          <w:sz w:val="18"/>
          <w:szCs w:val="20"/>
        </w:rPr>
        <w:t xml:space="preserve">. No SIAFI, essas receitas são registradas apenas quando recebidas. </w:t>
      </w:r>
      <w:r w:rsidR="001B2668" w:rsidRPr="004B1E65">
        <w:rPr>
          <w:rFonts w:cstheme="minorHAnsi"/>
          <w:bCs/>
          <w:sz w:val="18"/>
          <w:szCs w:val="20"/>
        </w:rPr>
        <w:t>A Gerência Contábil está averiguando junto à setorial contábil do Ministério dos Transportes uma maneira de efetuar os registros no SIAFI também pelo regime de competência.</w:t>
      </w:r>
    </w:p>
    <w:p w14:paraId="21CF9D99" w14:textId="2A5DD655" w:rsidR="004B1E65" w:rsidRPr="00FC5559" w:rsidRDefault="00AC339D" w:rsidP="00EA4A85">
      <w:pPr>
        <w:pStyle w:val="PargrafodaLista"/>
        <w:numPr>
          <w:ilvl w:val="0"/>
          <w:numId w:val="6"/>
        </w:numPr>
        <w:jc w:val="both"/>
        <w:rPr>
          <w:rFonts w:cstheme="minorHAnsi"/>
          <w:bCs/>
          <w:sz w:val="18"/>
          <w:szCs w:val="20"/>
        </w:rPr>
      </w:pPr>
      <w:r w:rsidRPr="004B1E65">
        <w:rPr>
          <w:rFonts w:cstheme="minorHAnsi"/>
          <w:bCs/>
          <w:sz w:val="18"/>
          <w:szCs w:val="20"/>
        </w:rPr>
        <w:t xml:space="preserve">Reclassificação do bloqueio judicial </w:t>
      </w:r>
      <w:r w:rsidR="00A331FD" w:rsidRPr="004B1E65">
        <w:rPr>
          <w:rFonts w:cstheme="minorHAnsi"/>
          <w:bCs/>
          <w:sz w:val="18"/>
          <w:szCs w:val="20"/>
        </w:rPr>
        <w:t xml:space="preserve">no valor de </w:t>
      </w:r>
      <w:r w:rsidR="00537CBB" w:rsidRPr="004B1E65">
        <w:rPr>
          <w:rFonts w:cstheme="minorHAnsi"/>
          <w:bCs/>
          <w:sz w:val="18"/>
          <w:szCs w:val="20"/>
        </w:rPr>
        <w:t xml:space="preserve">R$ </w:t>
      </w:r>
      <w:r w:rsidR="00A331FD" w:rsidRPr="004B1E65">
        <w:rPr>
          <w:rFonts w:cstheme="minorHAnsi"/>
          <w:bCs/>
          <w:sz w:val="18"/>
          <w:szCs w:val="20"/>
        </w:rPr>
        <w:t xml:space="preserve">76,5 mil </w:t>
      </w:r>
      <w:r w:rsidRPr="004B1E65">
        <w:rPr>
          <w:rFonts w:cstheme="minorHAnsi"/>
          <w:bCs/>
          <w:sz w:val="18"/>
          <w:szCs w:val="20"/>
        </w:rPr>
        <w:t xml:space="preserve">do curto para o longo prazo na </w:t>
      </w:r>
      <w:r w:rsidR="00733A86" w:rsidRPr="004B1E65">
        <w:rPr>
          <w:rFonts w:cstheme="minorHAnsi"/>
          <w:bCs/>
          <w:sz w:val="18"/>
          <w:szCs w:val="20"/>
        </w:rPr>
        <w:t>Contabilidade Societária</w:t>
      </w:r>
      <w:r w:rsidR="00CC2C84" w:rsidRPr="004B1E65">
        <w:rPr>
          <w:rFonts w:cstheme="minorHAnsi"/>
          <w:bCs/>
          <w:sz w:val="18"/>
          <w:szCs w:val="20"/>
        </w:rPr>
        <w:t>.</w:t>
      </w:r>
      <w:r w:rsidR="00CC2C84" w:rsidRPr="004B1E65">
        <w:rPr>
          <w:rFonts w:cs="Calibri"/>
          <w:bCs/>
          <w:sz w:val="18"/>
          <w:szCs w:val="20"/>
        </w:rPr>
        <w:t xml:space="preserve"> Além disso, houve registro de valores referentes a depósitos judiciais, no montante de </w:t>
      </w:r>
      <w:r w:rsidR="00537CBB" w:rsidRPr="004B1E65">
        <w:rPr>
          <w:rFonts w:cs="Calibri"/>
          <w:bCs/>
          <w:sz w:val="18"/>
          <w:szCs w:val="20"/>
        </w:rPr>
        <w:t xml:space="preserve">R$ </w:t>
      </w:r>
      <w:r w:rsidR="00CC2C84" w:rsidRPr="004B1E65">
        <w:rPr>
          <w:rFonts w:cs="Calibri"/>
          <w:bCs/>
          <w:sz w:val="18"/>
          <w:szCs w:val="20"/>
        </w:rPr>
        <w:t xml:space="preserve">12,36 milhões, mediante tratativas com a área responsável e </w:t>
      </w:r>
      <w:r w:rsidR="00CC2C84" w:rsidRPr="00FC5559">
        <w:rPr>
          <w:rFonts w:cs="Calibri"/>
          <w:bCs/>
          <w:sz w:val="18"/>
          <w:szCs w:val="20"/>
        </w:rPr>
        <w:t>recebimento dos extratos da CEF e do BB</w:t>
      </w:r>
      <w:r w:rsidR="00A43952" w:rsidRPr="00FC5559">
        <w:rPr>
          <w:rFonts w:cs="Calibri"/>
          <w:bCs/>
          <w:sz w:val="18"/>
          <w:szCs w:val="20"/>
        </w:rPr>
        <w:t xml:space="preserve"> em janeiro de 2024</w:t>
      </w:r>
      <w:r w:rsidR="00CC2C84" w:rsidRPr="00FC5559">
        <w:rPr>
          <w:rFonts w:cs="Calibri"/>
          <w:bCs/>
          <w:sz w:val="18"/>
          <w:szCs w:val="20"/>
        </w:rPr>
        <w:t>, os quais serão ajustados no SIAFI no decorrer d</w:t>
      </w:r>
      <w:r w:rsidR="00A43952" w:rsidRPr="00FC5559">
        <w:rPr>
          <w:rFonts w:cs="Calibri"/>
          <w:bCs/>
          <w:sz w:val="18"/>
          <w:szCs w:val="20"/>
        </w:rPr>
        <w:t>este</w:t>
      </w:r>
      <w:r w:rsidR="00CC2C84" w:rsidRPr="00FC5559">
        <w:rPr>
          <w:rFonts w:cs="Calibri"/>
          <w:bCs/>
          <w:sz w:val="18"/>
          <w:szCs w:val="20"/>
        </w:rPr>
        <w:t xml:space="preserve"> exercício;</w:t>
      </w:r>
    </w:p>
    <w:p w14:paraId="450D0E06" w14:textId="77777777" w:rsidR="004B1E65" w:rsidRPr="00FC5559" w:rsidRDefault="005D5B97" w:rsidP="00EA4A85">
      <w:pPr>
        <w:pStyle w:val="PargrafodaLista"/>
        <w:numPr>
          <w:ilvl w:val="0"/>
          <w:numId w:val="6"/>
        </w:numPr>
        <w:jc w:val="both"/>
        <w:rPr>
          <w:rFonts w:cstheme="minorHAnsi"/>
          <w:bCs/>
          <w:sz w:val="18"/>
          <w:szCs w:val="20"/>
        </w:rPr>
      </w:pPr>
      <w:r w:rsidRPr="00FC5559">
        <w:rPr>
          <w:rFonts w:cstheme="minorHAnsi"/>
          <w:sz w:val="18"/>
          <w:szCs w:val="20"/>
        </w:rPr>
        <w:t xml:space="preserve">Diferença refere-se </w:t>
      </w:r>
      <w:r w:rsidR="003D35BB" w:rsidRPr="00FC5559">
        <w:rPr>
          <w:rFonts w:cstheme="minorHAnsi"/>
          <w:sz w:val="18"/>
          <w:szCs w:val="20"/>
        </w:rPr>
        <w:t>à</w:t>
      </w:r>
      <w:r w:rsidR="00D91E9D" w:rsidRPr="00FC5559">
        <w:rPr>
          <w:rFonts w:cstheme="minorHAnsi"/>
          <w:sz w:val="18"/>
          <w:szCs w:val="20"/>
        </w:rPr>
        <w:t xml:space="preserve"> t</w:t>
      </w:r>
      <w:r w:rsidR="003E050F" w:rsidRPr="00FC5559">
        <w:rPr>
          <w:rFonts w:cstheme="minorHAnsi"/>
          <w:sz w:val="18"/>
          <w:szCs w:val="20"/>
        </w:rPr>
        <w:t xml:space="preserve">ransferência </w:t>
      </w:r>
      <w:r w:rsidR="00817F38" w:rsidRPr="00FC5559">
        <w:rPr>
          <w:rFonts w:cstheme="minorHAnsi"/>
          <w:sz w:val="18"/>
          <w:szCs w:val="20"/>
        </w:rPr>
        <w:t xml:space="preserve">trimestral do longo para o curto prazo </w:t>
      </w:r>
      <w:r w:rsidR="00B93AB0" w:rsidRPr="00FC5559">
        <w:rPr>
          <w:rFonts w:cstheme="minorHAnsi"/>
          <w:sz w:val="18"/>
          <w:szCs w:val="20"/>
        </w:rPr>
        <w:t>de</w:t>
      </w:r>
      <w:r w:rsidR="00B40873" w:rsidRPr="00FC5559">
        <w:rPr>
          <w:rFonts w:cstheme="minorHAnsi"/>
          <w:sz w:val="18"/>
          <w:szCs w:val="20"/>
        </w:rPr>
        <w:t xml:space="preserve"> despesa antecipada, relativo a</w:t>
      </w:r>
      <w:r w:rsidR="00153D00" w:rsidRPr="00FC5559">
        <w:rPr>
          <w:rFonts w:cstheme="minorHAnsi"/>
          <w:sz w:val="18"/>
          <w:szCs w:val="20"/>
        </w:rPr>
        <w:t>o</w:t>
      </w:r>
      <w:r w:rsidR="00B40873" w:rsidRPr="00FC5559">
        <w:rPr>
          <w:rFonts w:cstheme="minorHAnsi"/>
          <w:sz w:val="18"/>
          <w:szCs w:val="20"/>
        </w:rPr>
        <w:t xml:space="preserve"> fornecimento de licença de uso de softwares</w:t>
      </w:r>
      <w:r w:rsidR="002E1817" w:rsidRPr="00FC5559">
        <w:rPr>
          <w:rFonts w:cstheme="minorHAnsi"/>
          <w:sz w:val="18"/>
          <w:szCs w:val="20"/>
        </w:rPr>
        <w:t>,</w:t>
      </w:r>
      <w:r w:rsidR="006B33D2" w:rsidRPr="00FC5559">
        <w:rPr>
          <w:rFonts w:cstheme="minorHAnsi"/>
          <w:sz w:val="18"/>
          <w:szCs w:val="20"/>
        </w:rPr>
        <w:t xml:space="preserve"> </w:t>
      </w:r>
      <w:r w:rsidR="0045291D" w:rsidRPr="00FC5559">
        <w:rPr>
          <w:rFonts w:cstheme="minorHAnsi"/>
          <w:sz w:val="18"/>
          <w:szCs w:val="20"/>
        </w:rPr>
        <w:t>o qual foi efetuado após fechamento do SIAFI</w:t>
      </w:r>
      <w:r w:rsidR="00B40873" w:rsidRPr="00FC5559">
        <w:rPr>
          <w:rFonts w:cstheme="minorHAnsi"/>
          <w:sz w:val="18"/>
          <w:szCs w:val="20"/>
        </w:rPr>
        <w:t>;</w:t>
      </w:r>
      <w:r w:rsidR="00D713AB" w:rsidRPr="00FC5559">
        <w:rPr>
          <w:rFonts w:cstheme="minorHAnsi"/>
          <w:sz w:val="18"/>
          <w:szCs w:val="20"/>
        </w:rPr>
        <w:t xml:space="preserve"> </w:t>
      </w:r>
    </w:p>
    <w:p w14:paraId="3D09D5D2" w14:textId="77777777" w:rsidR="004B1E65" w:rsidRPr="00FC5559" w:rsidRDefault="00290C2E" w:rsidP="00EA4A85">
      <w:pPr>
        <w:pStyle w:val="PargrafodaLista"/>
        <w:numPr>
          <w:ilvl w:val="0"/>
          <w:numId w:val="6"/>
        </w:numPr>
        <w:jc w:val="both"/>
        <w:rPr>
          <w:rFonts w:cstheme="minorHAnsi"/>
          <w:bCs/>
          <w:sz w:val="18"/>
          <w:szCs w:val="20"/>
        </w:rPr>
      </w:pPr>
      <w:r w:rsidRPr="00FC5559">
        <w:rPr>
          <w:rFonts w:cstheme="minorHAnsi"/>
          <w:sz w:val="18"/>
          <w:szCs w:val="20"/>
        </w:rPr>
        <w:t xml:space="preserve">A baixa </w:t>
      </w:r>
      <w:r w:rsidR="006B579E" w:rsidRPr="00FC5559">
        <w:rPr>
          <w:rFonts w:cstheme="minorHAnsi"/>
          <w:sz w:val="18"/>
          <w:szCs w:val="20"/>
        </w:rPr>
        <w:t>de valores descontados dos empregados da GEIPOT</w:t>
      </w:r>
      <w:r w:rsidR="0034123C" w:rsidRPr="00FC5559">
        <w:rPr>
          <w:rFonts w:cstheme="minorHAnsi"/>
          <w:sz w:val="18"/>
          <w:szCs w:val="20"/>
        </w:rPr>
        <w:t>, referente</w:t>
      </w:r>
      <w:r w:rsidRPr="00FC5559">
        <w:rPr>
          <w:rFonts w:cstheme="minorHAnsi"/>
          <w:sz w:val="18"/>
          <w:szCs w:val="20"/>
        </w:rPr>
        <w:t xml:space="preserve"> à assistência </w:t>
      </w:r>
      <w:r w:rsidR="0034123C" w:rsidRPr="00FC5559">
        <w:rPr>
          <w:rFonts w:cstheme="minorHAnsi"/>
          <w:sz w:val="18"/>
          <w:szCs w:val="20"/>
        </w:rPr>
        <w:t>médica</w:t>
      </w:r>
      <w:r w:rsidR="00693CBF" w:rsidRPr="00FC5559">
        <w:rPr>
          <w:rFonts w:cstheme="minorHAnsi"/>
          <w:sz w:val="18"/>
          <w:szCs w:val="20"/>
        </w:rPr>
        <w:t>,</w:t>
      </w:r>
      <w:r w:rsidR="00EF466A" w:rsidRPr="00FC5559">
        <w:rPr>
          <w:rFonts w:cstheme="minorHAnsi"/>
          <w:sz w:val="18"/>
          <w:szCs w:val="20"/>
        </w:rPr>
        <w:t xml:space="preserve"> são descontado</w:t>
      </w:r>
      <w:r w:rsidR="00CD641B" w:rsidRPr="00FC5559">
        <w:rPr>
          <w:rFonts w:cstheme="minorHAnsi"/>
          <w:sz w:val="18"/>
          <w:szCs w:val="20"/>
        </w:rPr>
        <w:t>s</w:t>
      </w:r>
      <w:r w:rsidR="00EF466A" w:rsidRPr="00FC5559">
        <w:rPr>
          <w:rFonts w:cstheme="minorHAnsi"/>
          <w:sz w:val="18"/>
          <w:szCs w:val="20"/>
        </w:rPr>
        <w:t xml:space="preserve"> mensalmente na Folha de Pagamento dos colaboradores. </w:t>
      </w:r>
      <w:r w:rsidR="00BD77B5" w:rsidRPr="00FC5559">
        <w:rPr>
          <w:rFonts w:cstheme="minorHAnsi"/>
          <w:sz w:val="18"/>
          <w:szCs w:val="20"/>
        </w:rPr>
        <w:t>Em março de 2024, o</w:t>
      </w:r>
      <w:r w:rsidR="00060BD6" w:rsidRPr="00FC5559">
        <w:rPr>
          <w:rFonts w:cstheme="minorHAnsi"/>
          <w:sz w:val="18"/>
          <w:szCs w:val="20"/>
        </w:rPr>
        <w:t xml:space="preserve"> lançamento</w:t>
      </w:r>
      <w:r w:rsidR="003B660C" w:rsidRPr="00FC5559">
        <w:rPr>
          <w:rFonts w:cstheme="minorHAnsi"/>
          <w:sz w:val="18"/>
          <w:szCs w:val="20"/>
        </w:rPr>
        <w:t xml:space="preserve"> foi</w:t>
      </w:r>
      <w:r w:rsidR="00272AF3" w:rsidRPr="00FC5559">
        <w:rPr>
          <w:rFonts w:cstheme="minorHAnsi"/>
          <w:sz w:val="18"/>
          <w:szCs w:val="20"/>
        </w:rPr>
        <w:t xml:space="preserve"> realizado na Contabilidade Societária após o fechamento do SIAFI</w:t>
      </w:r>
      <w:r w:rsidR="007A4D77" w:rsidRPr="00FC5559">
        <w:rPr>
          <w:rFonts w:cstheme="minorHAnsi"/>
          <w:sz w:val="18"/>
          <w:szCs w:val="20"/>
        </w:rPr>
        <w:t>;</w:t>
      </w:r>
    </w:p>
    <w:p w14:paraId="06DC6137" w14:textId="77777777" w:rsidR="004B1E65" w:rsidRPr="00FC5559" w:rsidRDefault="00C04DAF" w:rsidP="00EA4A85">
      <w:pPr>
        <w:pStyle w:val="PargrafodaLista"/>
        <w:numPr>
          <w:ilvl w:val="0"/>
          <w:numId w:val="6"/>
        </w:numPr>
        <w:jc w:val="both"/>
        <w:rPr>
          <w:rFonts w:cstheme="minorHAnsi"/>
          <w:bCs/>
          <w:sz w:val="18"/>
          <w:szCs w:val="20"/>
        </w:rPr>
      </w:pPr>
      <w:r w:rsidRPr="00FC5559">
        <w:rPr>
          <w:rFonts w:cstheme="minorHAnsi"/>
          <w:sz w:val="18"/>
          <w:szCs w:val="20"/>
        </w:rPr>
        <w:t>Os registros do resultado da equivalência patrimonial sobre o investimento na Transnordestina Logística S</w:t>
      </w:r>
      <w:r w:rsidR="008631B7" w:rsidRPr="00FC5559">
        <w:rPr>
          <w:rFonts w:cstheme="minorHAnsi"/>
          <w:sz w:val="18"/>
          <w:szCs w:val="20"/>
        </w:rPr>
        <w:t>.</w:t>
      </w:r>
      <w:r w:rsidRPr="00FC5559">
        <w:rPr>
          <w:rFonts w:cstheme="minorHAnsi"/>
          <w:sz w:val="18"/>
          <w:szCs w:val="20"/>
        </w:rPr>
        <w:t>A</w:t>
      </w:r>
      <w:r w:rsidR="008631B7" w:rsidRPr="00FC5559">
        <w:rPr>
          <w:rFonts w:cstheme="minorHAnsi"/>
          <w:sz w:val="18"/>
          <w:szCs w:val="20"/>
        </w:rPr>
        <w:t>.</w:t>
      </w:r>
      <w:r w:rsidRPr="00FC5559">
        <w:rPr>
          <w:rFonts w:cstheme="minorHAnsi"/>
          <w:sz w:val="18"/>
          <w:szCs w:val="20"/>
        </w:rPr>
        <w:t xml:space="preserve"> são registrados no SIAFI intempestivamente, visto que a coligada envia à </w:t>
      </w:r>
      <w:r w:rsidR="00ED396F" w:rsidRPr="00FC5559">
        <w:rPr>
          <w:rFonts w:cstheme="minorHAnsi"/>
          <w:sz w:val="18"/>
          <w:szCs w:val="20"/>
        </w:rPr>
        <w:t>Infra S.A.</w:t>
      </w:r>
      <w:r w:rsidRPr="00FC5559">
        <w:rPr>
          <w:rFonts w:cstheme="minorHAnsi"/>
          <w:sz w:val="18"/>
          <w:szCs w:val="20"/>
        </w:rPr>
        <w:t xml:space="preserve"> suas demonstrações somente após serem auditadas. A diferença apresentada se refere ao resultado </w:t>
      </w:r>
      <w:r w:rsidR="00D37AEB" w:rsidRPr="00FC5559">
        <w:rPr>
          <w:rFonts w:cstheme="minorHAnsi"/>
          <w:sz w:val="18"/>
          <w:szCs w:val="20"/>
        </w:rPr>
        <w:t>do 1º trimestre de 2024</w:t>
      </w:r>
      <w:r w:rsidRPr="00FC5559">
        <w:rPr>
          <w:rFonts w:cstheme="minorHAnsi"/>
          <w:sz w:val="18"/>
          <w:szCs w:val="20"/>
        </w:rPr>
        <w:t xml:space="preserve">, </w:t>
      </w:r>
      <w:r w:rsidR="008449FF" w:rsidRPr="00FC5559">
        <w:rPr>
          <w:rFonts w:cstheme="minorHAnsi"/>
          <w:sz w:val="18"/>
          <w:szCs w:val="20"/>
        </w:rPr>
        <w:t xml:space="preserve">que será registrado no SIAFI apenas no </w:t>
      </w:r>
      <w:r w:rsidR="00D37AEB" w:rsidRPr="00FC5559">
        <w:rPr>
          <w:rFonts w:cstheme="minorHAnsi"/>
          <w:sz w:val="18"/>
          <w:szCs w:val="20"/>
        </w:rPr>
        <w:t>2</w:t>
      </w:r>
      <w:r w:rsidR="006B4B40" w:rsidRPr="00FC5559">
        <w:rPr>
          <w:rFonts w:cstheme="minorHAnsi"/>
          <w:sz w:val="18"/>
          <w:szCs w:val="20"/>
        </w:rPr>
        <w:t>° trimestre de 2024</w:t>
      </w:r>
      <w:r w:rsidR="00BF599A" w:rsidRPr="00FC5559">
        <w:rPr>
          <w:rFonts w:cstheme="minorHAnsi"/>
          <w:sz w:val="18"/>
          <w:szCs w:val="20"/>
        </w:rPr>
        <w:t xml:space="preserve">. </w:t>
      </w:r>
      <w:r w:rsidR="00876CA7" w:rsidRPr="00FC5559">
        <w:rPr>
          <w:rFonts w:cstheme="minorHAnsi"/>
          <w:sz w:val="18"/>
          <w:szCs w:val="20"/>
        </w:rPr>
        <w:t>O</w:t>
      </w:r>
      <w:r w:rsidR="00986BD5" w:rsidRPr="00FC5559">
        <w:rPr>
          <w:rFonts w:cstheme="minorHAnsi"/>
          <w:sz w:val="18"/>
          <w:szCs w:val="20"/>
        </w:rPr>
        <w:t xml:space="preserve"> resultado </w:t>
      </w:r>
      <w:r w:rsidR="00FC6723" w:rsidRPr="00FC5559">
        <w:rPr>
          <w:rFonts w:cstheme="minorHAnsi"/>
          <w:sz w:val="18"/>
          <w:szCs w:val="20"/>
        </w:rPr>
        <w:t xml:space="preserve">relativo </w:t>
      </w:r>
      <w:r w:rsidR="004658C4" w:rsidRPr="00FC5559">
        <w:rPr>
          <w:rFonts w:cstheme="minorHAnsi"/>
          <w:sz w:val="18"/>
          <w:szCs w:val="20"/>
        </w:rPr>
        <w:t xml:space="preserve">ao </w:t>
      </w:r>
      <w:r w:rsidR="008D533A" w:rsidRPr="00FC5559">
        <w:rPr>
          <w:rFonts w:cstheme="minorHAnsi"/>
          <w:sz w:val="18"/>
          <w:szCs w:val="20"/>
        </w:rPr>
        <w:t>4º trimestre de 2</w:t>
      </w:r>
      <w:r w:rsidR="00465142" w:rsidRPr="00FC5559">
        <w:rPr>
          <w:rFonts w:cstheme="minorHAnsi"/>
          <w:sz w:val="18"/>
          <w:szCs w:val="20"/>
        </w:rPr>
        <w:t>023</w:t>
      </w:r>
      <w:r w:rsidR="008D533A" w:rsidRPr="00FC5559">
        <w:rPr>
          <w:rFonts w:cstheme="minorHAnsi"/>
          <w:sz w:val="18"/>
          <w:szCs w:val="20"/>
        </w:rPr>
        <w:t xml:space="preserve"> foi apropriado </w:t>
      </w:r>
      <w:r w:rsidR="00025F95" w:rsidRPr="00FC5559">
        <w:rPr>
          <w:rFonts w:cstheme="minorHAnsi"/>
          <w:sz w:val="18"/>
          <w:szCs w:val="20"/>
        </w:rPr>
        <w:t>na conta de ajuste de exercícios anteriores</w:t>
      </w:r>
      <w:r w:rsidRPr="00FC5559">
        <w:rPr>
          <w:rFonts w:cstheme="minorHAnsi"/>
          <w:sz w:val="18"/>
          <w:szCs w:val="20"/>
        </w:rPr>
        <w:t>;</w:t>
      </w:r>
    </w:p>
    <w:p w14:paraId="5711F6A9" w14:textId="6CF4456E" w:rsidR="004B1E65" w:rsidRDefault="00C04DAF" w:rsidP="00EA4A85">
      <w:pPr>
        <w:pStyle w:val="PargrafodaLista"/>
        <w:numPr>
          <w:ilvl w:val="0"/>
          <w:numId w:val="6"/>
        </w:numPr>
        <w:jc w:val="both"/>
        <w:rPr>
          <w:rFonts w:cstheme="minorHAnsi"/>
          <w:bCs/>
          <w:sz w:val="18"/>
          <w:szCs w:val="20"/>
        </w:rPr>
      </w:pPr>
      <w:r w:rsidRPr="004B1E65">
        <w:rPr>
          <w:rFonts w:cstheme="minorHAnsi"/>
          <w:bCs/>
          <w:sz w:val="18"/>
          <w:szCs w:val="20"/>
        </w:rPr>
        <w:t xml:space="preserve">Em setembro de 2022, </w:t>
      </w:r>
      <w:r w:rsidR="00175101" w:rsidRPr="004B1E65">
        <w:rPr>
          <w:rFonts w:cstheme="minorHAnsi"/>
          <w:bCs/>
          <w:sz w:val="18"/>
          <w:szCs w:val="20"/>
        </w:rPr>
        <w:t>a implantação do</w:t>
      </w:r>
      <w:r w:rsidRPr="004B1E65">
        <w:rPr>
          <w:rFonts w:cstheme="minorHAnsi"/>
          <w:bCs/>
          <w:sz w:val="18"/>
          <w:szCs w:val="20"/>
        </w:rPr>
        <w:t xml:space="preserve"> Sistema Integrado de Administração Patrimonial </w:t>
      </w:r>
      <w:r w:rsidR="000048FC" w:rsidRPr="004B1E65">
        <w:rPr>
          <w:rFonts w:cstheme="minorHAnsi"/>
          <w:bCs/>
          <w:sz w:val="18"/>
          <w:szCs w:val="20"/>
        </w:rPr>
        <w:t>–</w:t>
      </w:r>
      <w:r w:rsidR="00A95DD0" w:rsidRPr="004B1E65">
        <w:rPr>
          <w:rFonts w:cstheme="minorHAnsi"/>
          <w:bCs/>
          <w:sz w:val="18"/>
          <w:szCs w:val="20"/>
        </w:rPr>
        <w:t xml:space="preserve"> </w:t>
      </w:r>
      <w:r w:rsidR="00DE646C" w:rsidRPr="004B1E65">
        <w:rPr>
          <w:rFonts w:cstheme="minorHAnsi"/>
          <w:bCs/>
          <w:sz w:val="18"/>
          <w:szCs w:val="20"/>
        </w:rPr>
        <w:t>SIADS</w:t>
      </w:r>
      <w:r w:rsidRPr="004B1E65">
        <w:rPr>
          <w:rFonts w:cstheme="minorHAnsi"/>
          <w:bCs/>
          <w:sz w:val="18"/>
          <w:szCs w:val="20"/>
        </w:rPr>
        <w:t xml:space="preserve"> na então VALEC</w:t>
      </w:r>
      <w:r w:rsidR="00175101" w:rsidRPr="004B1E65">
        <w:rPr>
          <w:rFonts w:cstheme="minorHAnsi"/>
          <w:bCs/>
          <w:sz w:val="18"/>
          <w:szCs w:val="20"/>
        </w:rPr>
        <w:t xml:space="preserve"> gerou</w:t>
      </w:r>
      <w:r w:rsidRPr="004B1E65">
        <w:rPr>
          <w:rFonts w:cstheme="minorHAnsi"/>
          <w:bCs/>
          <w:sz w:val="18"/>
          <w:szCs w:val="20"/>
        </w:rPr>
        <w:t xml:space="preserve"> lançamentos automáticos no SIAFI </w:t>
      </w:r>
      <w:r w:rsidR="00175101" w:rsidRPr="004B1E65">
        <w:rPr>
          <w:rFonts w:cstheme="minorHAnsi"/>
          <w:bCs/>
          <w:sz w:val="18"/>
          <w:szCs w:val="20"/>
        </w:rPr>
        <w:t>para o</w:t>
      </w:r>
      <w:r w:rsidRPr="004B1E65">
        <w:rPr>
          <w:rFonts w:cstheme="minorHAnsi"/>
          <w:bCs/>
          <w:sz w:val="18"/>
          <w:szCs w:val="20"/>
        </w:rPr>
        <w:t xml:space="preserve"> controle de bens móveis. </w:t>
      </w:r>
      <w:r w:rsidR="00175101" w:rsidRPr="004B1E65">
        <w:rPr>
          <w:rFonts w:cstheme="minorHAnsi"/>
          <w:bCs/>
          <w:sz w:val="18"/>
          <w:szCs w:val="20"/>
        </w:rPr>
        <w:t>No entanto</w:t>
      </w:r>
      <w:r w:rsidRPr="004B1E65">
        <w:rPr>
          <w:rFonts w:cstheme="minorHAnsi"/>
          <w:bCs/>
          <w:sz w:val="18"/>
          <w:szCs w:val="20"/>
        </w:rPr>
        <w:t xml:space="preserve">, a adoção do </w:t>
      </w:r>
      <w:r w:rsidR="00DE646C" w:rsidRPr="004B1E65">
        <w:rPr>
          <w:rFonts w:cstheme="minorHAnsi"/>
          <w:bCs/>
          <w:sz w:val="18"/>
          <w:szCs w:val="20"/>
        </w:rPr>
        <w:t>SIADS</w:t>
      </w:r>
      <w:r w:rsidRPr="004B1E65">
        <w:rPr>
          <w:rFonts w:cstheme="minorHAnsi"/>
          <w:bCs/>
          <w:sz w:val="18"/>
          <w:szCs w:val="20"/>
        </w:rPr>
        <w:t xml:space="preserve"> na Contabilidade da </w:t>
      </w:r>
      <w:r w:rsidR="007A0D64" w:rsidRPr="004B1E65">
        <w:rPr>
          <w:rFonts w:cstheme="minorHAnsi"/>
          <w:bCs/>
          <w:sz w:val="18"/>
          <w:szCs w:val="20"/>
        </w:rPr>
        <w:t>Infra</w:t>
      </w:r>
      <w:r w:rsidR="00A47EAA" w:rsidRPr="004B1E65">
        <w:rPr>
          <w:rFonts w:cstheme="minorHAnsi"/>
          <w:bCs/>
          <w:sz w:val="18"/>
          <w:szCs w:val="20"/>
        </w:rPr>
        <w:t xml:space="preserve"> S.A.</w:t>
      </w:r>
      <w:r w:rsidRPr="004B1E65">
        <w:rPr>
          <w:rFonts w:cstheme="minorHAnsi"/>
          <w:bCs/>
          <w:sz w:val="18"/>
          <w:szCs w:val="20"/>
        </w:rPr>
        <w:t xml:space="preserve"> criou </w:t>
      </w:r>
      <w:r w:rsidR="00175101" w:rsidRPr="004B1E65">
        <w:rPr>
          <w:rFonts w:cstheme="minorHAnsi"/>
          <w:bCs/>
          <w:sz w:val="18"/>
          <w:szCs w:val="20"/>
        </w:rPr>
        <w:t>divergências, pois</w:t>
      </w:r>
      <w:r w:rsidRPr="004B1E65">
        <w:rPr>
          <w:rFonts w:cstheme="minorHAnsi"/>
          <w:bCs/>
          <w:sz w:val="18"/>
          <w:szCs w:val="20"/>
        </w:rPr>
        <w:t xml:space="preserve"> a metodologia para cálculo </w:t>
      </w:r>
      <w:r w:rsidR="00175101" w:rsidRPr="004B1E65">
        <w:rPr>
          <w:rFonts w:cstheme="minorHAnsi"/>
          <w:bCs/>
          <w:sz w:val="18"/>
          <w:szCs w:val="20"/>
        </w:rPr>
        <w:t>da</w:t>
      </w:r>
      <w:r w:rsidRPr="004B1E65">
        <w:rPr>
          <w:rFonts w:cstheme="minorHAnsi"/>
          <w:bCs/>
          <w:sz w:val="18"/>
          <w:szCs w:val="20"/>
        </w:rPr>
        <w:t xml:space="preserve"> vida útil </w:t>
      </w:r>
      <w:r w:rsidR="00175101" w:rsidRPr="004B1E65">
        <w:rPr>
          <w:rFonts w:cstheme="minorHAnsi"/>
          <w:bCs/>
          <w:sz w:val="18"/>
          <w:szCs w:val="20"/>
        </w:rPr>
        <w:t>e</w:t>
      </w:r>
      <w:r w:rsidRPr="004B1E65">
        <w:rPr>
          <w:rFonts w:cstheme="minorHAnsi"/>
          <w:bCs/>
          <w:sz w:val="18"/>
          <w:szCs w:val="20"/>
        </w:rPr>
        <w:t xml:space="preserve"> do valor residual dos bens </w:t>
      </w:r>
      <w:r w:rsidR="00175101" w:rsidRPr="004B1E65">
        <w:rPr>
          <w:rFonts w:cstheme="minorHAnsi"/>
          <w:bCs/>
          <w:sz w:val="18"/>
          <w:szCs w:val="20"/>
        </w:rPr>
        <w:t>difere da</w:t>
      </w:r>
      <w:r w:rsidRPr="004B1E65">
        <w:rPr>
          <w:rFonts w:cstheme="minorHAnsi"/>
          <w:bCs/>
          <w:sz w:val="18"/>
          <w:szCs w:val="20"/>
        </w:rPr>
        <w:t xml:space="preserve"> Contabilidade Societária</w:t>
      </w:r>
      <w:r w:rsidR="00175101" w:rsidRPr="004B1E65">
        <w:rPr>
          <w:rFonts w:cstheme="minorHAnsi"/>
          <w:bCs/>
          <w:sz w:val="18"/>
          <w:szCs w:val="20"/>
        </w:rPr>
        <w:t>. Isso resultou em descasamento das informações dos bens</w:t>
      </w:r>
      <w:r w:rsidR="005C2C69" w:rsidRPr="004B1E65">
        <w:rPr>
          <w:rFonts w:cstheme="minorHAnsi"/>
          <w:bCs/>
          <w:sz w:val="18"/>
          <w:szCs w:val="20"/>
        </w:rPr>
        <w:t xml:space="preserve"> controlados por meio do SIADS</w:t>
      </w:r>
      <w:r w:rsidR="00175101" w:rsidRPr="004B1E65">
        <w:rPr>
          <w:rFonts w:cstheme="minorHAnsi"/>
          <w:bCs/>
          <w:sz w:val="18"/>
          <w:szCs w:val="20"/>
        </w:rPr>
        <w:t xml:space="preserve">, especialmente nos valores contábeis. </w:t>
      </w:r>
      <w:r w:rsidR="00B16A66" w:rsidRPr="004B1E65">
        <w:rPr>
          <w:rFonts w:cstheme="minorHAnsi"/>
          <w:bCs/>
          <w:sz w:val="18"/>
          <w:szCs w:val="20"/>
        </w:rPr>
        <w:t xml:space="preserve">Por esta razão, </w:t>
      </w:r>
      <w:r w:rsidR="00AC3612" w:rsidRPr="004B1E65">
        <w:rPr>
          <w:rFonts w:cstheme="minorHAnsi"/>
          <w:bCs/>
          <w:sz w:val="18"/>
          <w:szCs w:val="20"/>
        </w:rPr>
        <w:t xml:space="preserve">para fins da </w:t>
      </w:r>
      <w:r w:rsidR="00D319AB" w:rsidRPr="004B1E65">
        <w:rPr>
          <w:rFonts w:cstheme="minorHAnsi"/>
          <w:bCs/>
          <w:sz w:val="18"/>
          <w:szCs w:val="20"/>
        </w:rPr>
        <w:t>C</w:t>
      </w:r>
      <w:r w:rsidR="00AC3612" w:rsidRPr="004B1E65">
        <w:rPr>
          <w:rFonts w:cstheme="minorHAnsi"/>
          <w:bCs/>
          <w:sz w:val="18"/>
          <w:szCs w:val="20"/>
        </w:rPr>
        <w:t xml:space="preserve">ontabilidade </w:t>
      </w:r>
      <w:r w:rsidR="00D319AB" w:rsidRPr="004B1E65">
        <w:rPr>
          <w:rFonts w:cstheme="minorHAnsi"/>
          <w:bCs/>
          <w:sz w:val="18"/>
          <w:szCs w:val="20"/>
        </w:rPr>
        <w:t>S</w:t>
      </w:r>
      <w:r w:rsidR="00AC3612" w:rsidRPr="004B1E65">
        <w:rPr>
          <w:rFonts w:cstheme="minorHAnsi"/>
          <w:bCs/>
          <w:sz w:val="18"/>
          <w:szCs w:val="20"/>
        </w:rPr>
        <w:t>ocietária</w:t>
      </w:r>
      <w:r w:rsidR="00C83141" w:rsidRPr="004B1E65">
        <w:rPr>
          <w:rFonts w:cstheme="minorHAnsi"/>
          <w:bCs/>
          <w:sz w:val="18"/>
          <w:szCs w:val="20"/>
        </w:rPr>
        <w:t>, o</w:t>
      </w:r>
      <w:r w:rsidRPr="004B1E65">
        <w:rPr>
          <w:rFonts w:cstheme="minorHAnsi"/>
          <w:bCs/>
          <w:sz w:val="18"/>
          <w:szCs w:val="20"/>
        </w:rPr>
        <w:t xml:space="preserve"> controle contábil dos bens </w:t>
      </w:r>
      <w:r w:rsidR="00175101" w:rsidRPr="004B1E65">
        <w:rPr>
          <w:rFonts w:cstheme="minorHAnsi"/>
          <w:bCs/>
          <w:sz w:val="18"/>
          <w:szCs w:val="20"/>
        </w:rPr>
        <w:t>continua</w:t>
      </w:r>
      <w:r w:rsidRPr="004B1E65">
        <w:rPr>
          <w:rFonts w:cstheme="minorHAnsi"/>
          <w:bCs/>
          <w:sz w:val="18"/>
          <w:szCs w:val="20"/>
        </w:rPr>
        <w:t xml:space="preserve"> sendo realizado </w:t>
      </w:r>
      <w:r w:rsidR="00EA28ED" w:rsidRPr="004B1E65">
        <w:rPr>
          <w:rFonts w:cstheme="minorHAnsi"/>
          <w:bCs/>
          <w:sz w:val="18"/>
          <w:szCs w:val="20"/>
        </w:rPr>
        <w:t>pela Gerência Contábil por meio do</w:t>
      </w:r>
      <w:r w:rsidRPr="004B1E65">
        <w:rPr>
          <w:rFonts w:cstheme="minorHAnsi"/>
          <w:bCs/>
          <w:sz w:val="18"/>
          <w:szCs w:val="20"/>
        </w:rPr>
        <w:t xml:space="preserve"> Sistema de Depreciação </w:t>
      </w:r>
      <w:r w:rsidR="000048FC" w:rsidRPr="004B1E65">
        <w:rPr>
          <w:rFonts w:cstheme="minorHAnsi"/>
          <w:bCs/>
          <w:sz w:val="18"/>
          <w:szCs w:val="20"/>
        </w:rPr>
        <w:t>–</w:t>
      </w:r>
      <w:r w:rsidR="00D455E4" w:rsidRPr="004B1E65">
        <w:rPr>
          <w:rFonts w:cstheme="minorHAnsi"/>
          <w:bCs/>
          <w:sz w:val="18"/>
          <w:szCs w:val="20"/>
        </w:rPr>
        <w:t xml:space="preserve"> </w:t>
      </w:r>
      <w:r w:rsidR="00DE646C" w:rsidRPr="004B1E65">
        <w:rPr>
          <w:rFonts w:cstheme="minorHAnsi"/>
          <w:bCs/>
          <w:sz w:val="18"/>
          <w:szCs w:val="20"/>
        </w:rPr>
        <w:t>SISDEP</w:t>
      </w:r>
      <w:r w:rsidR="00430ADB" w:rsidRPr="004B1E65">
        <w:rPr>
          <w:rFonts w:cstheme="minorHAnsi"/>
          <w:bCs/>
          <w:sz w:val="18"/>
          <w:szCs w:val="20"/>
        </w:rPr>
        <w:t>;</w:t>
      </w:r>
    </w:p>
    <w:p w14:paraId="7F772BFF" w14:textId="77777777" w:rsidR="004B1E65" w:rsidRDefault="00C04DAF" w:rsidP="00EA4A85">
      <w:pPr>
        <w:pStyle w:val="PargrafodaLista"/>
        <w:numPr>
          <w:ilvl w:val="0"/>
          <w:numId w:val="6"/>
        </w:numPr>
        <w:jc w:val="both"/>
        <w:rPr>
          <w:rFonts w:cstheme="minorHAnsi"/>
          <w:bCs/>
          <w:sz w:val="18"/>
          <w:szCs w:val="20"/>
        </w:rPr>
      </w:pPr>
      <w:r w:rsidRPr="004B1E65">
        <w:rPr>
          <w:rFonts w:cstheme="minorHAnsi"/>
          <w:bCs/>
          <w:sz w:val="18"/>
          <w:szCs w:val="20"/>
        </w:rPr>
        <w:t xml:space="preserve">Conforme item anterior, com a adoção do </w:t>
      </w:r>
      <w:r w:rsidR="00DE646C" w:rsidRPr="004B1E65">
        <w:rPr>
          <w:rFonts w:cstheme="minorHAnsi"/>
          <w:bCs/>
          <w:sz w:val="18"/>
          <w:szCs w:val="20"/>
        </w:rPr>
        <w:t>SIADS</w:t>
      </w:r>
      <w:r w:rsidRPr="004B1E65">
        <w:rPr>
          <w:rFonts w:cstheme="minorHAnsi"/>
          <w:bCs/>
          <w:sz w:val="18"/>
          <w:szCs w:val="20"/>
        </w:rPr>
        <w:t xml:space="preserve">, a metodologia de cálculo do valor contábil no SIAFI ficou divergente da </w:t>
      </w:r>
      <w:r w:rsidR="00733A86" w:rsidRPr="004B1E65">
        <w:rPr>
          <w:rFonts w:cstheme="minorHAnsi"/>
          <w:bCs/>
          <w:sz w:val="18"/>
          <w:szCs w:val="20"/>
        </w:rPr>
        <w:t>Contabilidade Societária</w:t>
      </w:r>
      <w:r w:rsidRPr="004B1E65">
        <w:rPr>
          <w:rFonts w:cstheme="minorHAnsi"/>
          <w:bCs/>
          <w:sz w:val="18"/>
          <w:szCs w:val="20"/>
        </w:rPr>
        <w:t>. Sendo assim, optou-se por manter a conta "123910100 - Redução a Valor Recuperável - Bens Móveis" apenas nos controles societários, visto que o valor contábil dos bens provisionados está diferente no SIAFI;</w:t>
      </w:r>
    </w:p>
    <w:p w14:paraId="54D85B4C" w14:textId="721882E5" w:rsidR="004B1E65" w:rsidRDefault="008E1B54" w:rsidP="00EA4A85">
      <w:pPr>
        <w:pStyle w:val="PargrafodaLista"/>
        <w:numPr>
          <w:ilvl w:val="0"/>
          <w:numId w:val="6"/>
        </w:numPr>
        <w:jc w:val="both"/>
        <w:rPr>
          <w:rFonts w:cstheme="minorHAnsi"/>
          <w:bCs/>
          <w:sz w:val="18"/>
          <w:szCs w:val="20"/>
        </w:rPr>
      </w:pPr>
      <w:r w:rsidRPr="004B1E65">
        <w:rPr>
          <w:rFonts w:cstheme="minorHAnsi"/>
          <w:bCs/>
          <w:sz w:val="18"/>
          <w:szCs w:val="20"/>
        </w:rPr>
        <w:t xml:space="preserve">O Pronunciamento Técnico CPC 06 (R2) – Arrendamentos </w:t>
      </w:r>
      <w:r w:rsidR="00237A01" w:rsidRPr="004B1E65">
        <w:rPr>
          <w:rFonts w:cstheme="minorHAnsi"/>
          <w:bCs/>
          <w:sz w:val="18"/>
          <w:szCs w:val="20"/>
        </w:rPr>
        <w:t>estabelece</w:t>
      </w:r>
      <w:r w:rsidRPr="004B1E65">
        <w:rPr>
          <w:rFonts w:cstheme="minorHAnsi"/>
          <w:bCs/>
          <w:sz w:val="18"/>
          <w:szCs w:val="20"/>
        </w:rPr>
        <w:t xml:space="preserve"> que contratos de aluguel</w:t>
      </w:r>
      <w:r w:rsidR="00B826E5" w:rsidRPr="004B1E65">
        <w:rPr>
          <w:rFonts w:cstheme="minorHAnsi"/>
          <w:bCs/>
          <w:sz w:val="18"/>
          <w:szCs w:val="20"/>
        </w:rPr>
        <w:t>, que se enquadram nos requisitos estipulados naquele pronunciamento,</w:t>
      </w:r>
      <w:r w:rsidRPr="004B1E65">
        <w:rPr>
          <w:rFonts w:cstheme="minorHAnsi"/>
          <w:bCs/>
          <w:sz w:val="18"/>
          <w:szCs w:val="20"/>
        </w:rPr>
        <w:t xml:space="preserve"> sejam registrados no ativo </w:t>
      </w:r>
      <w:r w:rsidR="00B54C06" w:rsidRPr="004B1E65">
        <w:rPr>
          <w:rFonts w:cstheme="minorHAnsi"/>
          <w:bCs/>
          <w:sz w:val="18"/>
          <w:szCs w:val="20"/>
        </w:rPr>
        <w:t>imobilizado</w:t>
      </w:r>
      <w:r w:rsidRPr="004B1E65">
        <w:rPr>
          <w:rFonts w:cstheme="minorHAnsi"/>
          <w:bCs/>
          <w:sz w:val="18"/>
          <w:szCs w:val="20"/>
        </w:rPr>
        <w:t xml:space="preserve"> </w:t>
      </w:r>
      <w:r w:rsidR="00E070AD" w:rsidRPr="004B1E65">
        <w:rPr>
          <w:rFonts w:cstheme="minorHAnsi"/>
          <w:bCs/>
          <w:sz w:val="18"/>
          <w:szCs w:val="20"/>
        </w:rPr>
        <w:t xml:space="preserve">como </w:t>
      </w:r>
      <w:r w:rsidR="005A22A1" w:rsidRPr="004B1E65">
        <w:rPr>
          <w:rFonts w:cstheme="minorHAnsi"/>
          <w:bCs/>
          <w:sz w:val="18"/>
          <w:szCs w:val="20"/>
        </w:rPr>
        <w:t>D</w:t>
      </w:r>
      <w:r w:rsidRPr="004B1E65">
        <w:rPr>
          <w:rFonts w:cstheme="minorHAnsi"/>
          <w:bCs/>
          <w:sz w:val="18"/>
          <w:szCs w:val="20"/>
        </w:rPr>
        <w:t xml:space="preserve">ireito de </w:t>
      </w:r>
      <w:r w:rsidR="00F820C3" w:rsidRPr="004B1E65">
        <w:rPr>
          <w:rFonts w:cstheme="minorHAnsi"/>
          <w:bCs/>
          <w:sz w:val="18"/>
          <w:szCs w:val="20"/>
        </w:rPr>
        <w:t>U</w:t>
      </w:r>
      <w:r w:rsidRPr="004B1E65">
        <w:rPr>
          <w:rFonts w:cstheme="minorHAnsi"/>
          <w:bCs/>
          <w:sz w:val="18"/>
          <w:szCs w:val="20"/>
        </w:rPr>
        <w:t xml:space="preserve">so e </w:t>
      </w:r>
      <w:r w:rsidR="00E070AD" w:rsidRPr="004B1E65">
        <w:rPr>
          <w:rFonts w:cstheme="minorHAnsi"/>
          <w:bCs/>
          <w:sz w:val="18"/>
          <w:szCs w:val="20"/>
        </w:rPr>
        <w:t>no passivo</w:t>
      </w:r>
      <w:r w:rsidRPr="004B1E65">
        <w:rPr>
          <w:rFonts w:cstheme="minorHAnsi"/>
          <w:bCs/>
          <w:sz w:val="18"/>
          <w:szCs w:val="20"/>
        </w:rPr>
        <w:t xml:space="preserve"> </w:t>
      </w:r>
      <w:r w:rsidR="00520902" w:rsidRPr="004B1E65">
        <w:rPr>
          <w:rFonts w:cstheme="minorHAnsi"/>
          <w:bCs/>
          <w:sz w:val="18"/>
          <w:szCs w:val="20"/>
        </w:rPr>
        <w:t>como</w:t>
      </w:r>
      <w:r w:rsidRPr="004B1E65">
        <w:rPr>
          <w:rFonts w:cstheme="minorHAnsi"/>
          <w:bCs/>
          <w:sz w:val="18"/>
          <w:szCs w:val="20"/>
        </w:rPr>
        <w:t xml:space="preserve"> </w:t>
      </w:r>
      <w:r w:rsidR="005A22A1" w:rsidRPr="004B1E65">
        <w:rPr>
          <w:rFonts w:cstheme="minorHAnsi"/>
          <w:bCs/>
          <w:sz w:val="18"/>
          <w:szCs w:val="20"/>
        </w:rPr>
        <w:t>A</w:t>
      </w:r>
      <w:r w:rsidRPr="004B1E65">
        <w:rPr>
          <w:rFonts w:cstheme="minorHAnsi"/>
          <w:bCs/>
          <w:sz w:val="18"/>
          <w:szCs w:val="20"/>
        </w:rPr>
        <w:t xml:space="preserve">rrendamentos </w:t>
      </w:r>
      <w:r w:rsidR="00520902" w:rsidRPr="004B1E65">
        <w:rPr>
          <w:rFonts w:cstheme="minorHAnsi"/>
          <w:bCs/>
          <w:sz w:val="18"/>
          <w:szCs w:val="20"/>
        </w:rPr>
        <w:t xml:space="preserve">a </w:t>
      </w:r>
      <w:r w:rsidR="005A22A1" w:rsidRPr="004B1E65">
        <w:rPr>
          <w:rFonts w:cstheme="minorHAnsi"/>
          <w:bCs/>
          <w:sz w:val="18"/>
          <w:szCs w:val="20"/>
        </w:rPr>
        <w:t>P</w:t>
      </w:r>
      <w:r w:rsidR="00520902" w:rsidRPr="004B1E65">
        <w:rPr>
          <w:rFonts w:cstheme="minorHAnsi"/>
          <w:bCs/>
          <w:sz w:val="18"/>
          <w:szCs w:val="20"/>
        </w:rPr>
        <w:t>agar</w:t>
      </w:r>
      <w:r w:rsidR="009579D4" w:rsidRPr="004B1E65">
        <w:rPr>
          <w:rFonts w:cstheme="minorHAnsi"/>
          <w:bCs/>
          <w:sz w:val="18"/>
          <w:szCs w:val="20"/>
        </w:rPr>
        <w:t xml:space="preserve">, reduzido </w:t>
      </w:r>
      <w:r w:rsidR="007C0AEC" w:rsidRPr="004B1E65">
        <w:rPr>
          <w:rFonts w:cstheme="minorHAnsi"/>
          <w:bCs/>
          <w:sz w:val="18"/>
          <w:szCs w:val="20"/>
        </w:rPr>
        <w:t>por</w:t>
      </w:r>
      <w:r w:rsidR="009579D4" w:rsidRPr="004B1E65">
        <w:rPr>
          <w:rFonts w:cstheme="minorHAnsi"/>
          <w:bCs/>
          <w:sz w:val="18"/>
          <w:szCs w:val="20"/>
        </w:rPr>
        <w:t xml:space="preserve"> conta de juros a transcorrer</w:t>
      </w:r>
      <w:r w:rsidR="001801E6" w:rsidRPr="004B1E65">
        <w:rPr>
          <w:rFonts w:cstheme="minorHAnsi"/>
          <w:bCs/>
          <w:sz w:val="18"/>
          <w:szCs w:val="20"/>
        </w:rPr>
        <w:t>. Há</w:t>
      </w:r>
      <w:r w:rsidRPr="004B1E65">
        <w:rPr>
          <w:rFonts w:cstheme="minorHAnsi"/>
          <w:bCs/>
          <w:sz w:val="18"/>
          <w:szCs w:val="20"/>
        </w:rPr>
        <w:t xml:space="preserve"> a </w:t>
      </w:r>
      <w:r w:rsidR="005A7E57" w:rsidRPr="004B1E65">
        <w:rPr>
          <w:rFonts w:cstheme="minorHAnsi"/>
          <w:bCs/>
          <w:sz w:val="18"/>
          <w:szCs w:val="20"/>
        </w:rPr>
        <w:t xml:space="preserve">apropriação mensal da </w:t>
      </w:r>
      <w:r w:rsidRPr="004B1E65">
        <w:rPr>
          <w:rFonts w:cstheme="minorHAnsi"/>
          <w:bCs/>
          <w:sz w:val="18"/>
          <w:szCs w:val="20"/>
        </w:rPr>
        <w:t>depreciação d</w:t>
      </w:r>
      <w:r w:rsidR="005A7E57" w:rsidRPr="004B1E65">
        <w:rPr>
          <w:rFonts w:cstheme="minorHAnsi"/>
          <w:bCs/>
          <w:sz w:val="18"/>
          <w:szCs w:val="20"/>
        </w:rPr>
        <w:t>o</w:t>
      </w:r>
      <w:r w:rsidRPr="004B1E65">
        <w:rPr>
          <w:rFonts w:cstheme="minorHAnsi"/>
          <w:bCs/>
          <w:sz w:val="18"/>
          <w:szCs w:val="20"/>
        </w:rPr>
        <w:t xml:space="preserve"> direito e </w:t>
      </w:r>
      <w:r w:rsidR="005A7E57" w:rsidRPr="004B1E65">
        <w:rPr>
          <w:rFonts w:cstheme="minorHAnsi"/>
          <w:bCs/>
          <w:sz w:val="18"/>
          <w:szCs w:val="20"/>
        </w:rPr>
        <w:t>d</w:t>
      </w:r>
      <w:r w:rsidRPr="004B1E65">
        <w:rPr>
          <w:rFonts w:cstheme="minorHAnsi"/>
          <w:bCs/>
          <w:sz w:val="18"/>
          <w:szCs w:val="20"/>
        </w:rPr>
        <w:t>os juros da operação</w:t>
      </w:r>
      <w:r w:rsidR="00277C14" w:rsidRPr="004B1E65">
        <w:rPr>
          <w:rFonts w:cstheme="minorHAnsi"/>
          <w:bCs/>
          <w:sz w:val="18"/>
          <w:szCs w:val="20"/>
        </w:rPr>
        <w:t xml:space="preserve"> em resultado</w:t>
      </w:r>
      <w:r w:rsidRPr="004B1E65">
        <w:rPr>
          <w:rFonts w:cstheme="minorHAnsi"/>
          <w:bCs/>
          <w:sz w:val="18"/>
          <w:szCs w:val="20"/>
        </w:rPr>
        <w:t xml:space="preserve">. No SIAFI, esses contratos são classificados como Ativo Intangível </w:t>
      </w:r>
      <w:r w:rsidR="00E6721E" w:rsidRPr="004B1E65">
        <w:rPr>
          <w:rFonts w:cstheme="minorHAnsi"/>
          <w:bCs/>
          <w:sz w:val="18"/>
          <w:szCs w:val="20"/>
        </w:rPr>
        <w:t xml:space="preserve">e Passivo de </w:t>
      </w:r>
      <w:r w:rsidR="00AA7D94" w:rsidRPr="004B1E65">
        <w:rPr>
          <w:rFonts w:cstheme="minorHAnsi"/>
          <w:bCs/>
          <w:sz w:val="18"/>
          <w:szCs w:val="20"/>
        </w:rPr>
        <w:t>A</w:t>
      </w:r>
      <w:r w:rsidR="00E6721E" w:rsidRPr="004B1E65">
        <w:rPr>
          <w:rFonts w:cstheme="minorHAnsi"/>
          <w:bCs/>
          <w:sz w:val="18"/>
          <w:szCs w:val="20"/>
        </w:rPr>
        <w:t xml:space="preserve">rrendamento </w:t>
      </w:r>
      <w:r w:rsidRPr="004B1E65">
        <w:rPr>
          <w:rFonts w:cstheme="minorHAnsi"/>
          <w:bCs/>
          <w:sz w:val="18"/>
          <w:szCs w:val="20"/>
        </w:rPr>
        <w:t xml:space="preserve">pelos valores líquidos, </w:t>
      </w:r>
      <w:r w:rsidR="002C33DF" w:rsidRPr="004B1E65">
        <w:rPr>
          <w:rFonts w:cstheme="minorHAnsi"/>
          <w:bCs/>
          <w:sz w:val="18"/>
          <w:szCs w:val="20"/>
        </w:rPr>
        <w:t>em decorrência da limitação de situações disponíveis para registro.</w:t>
      </w:r>
    </w:p>
    <w:p w14:paraId="43628123" w14:textId="77777777" w:rsidR="004B1E65" w:rsidRPr="008C2096" w:rsidRDefault="007A4A7F" w:rsidP="00EA4A85">
      <w:pPr>
        <w:pStyle w:val="PargrafodaLista"/>
        <w:numPr>
          <w:ilvl w:val="0"/>
          <w:numId w:val="6"/>
        </w:numPr>
        <w:jc w:val="both"/>
        <w:rPr>
          <w:rFonts w:cstheme="minorHAnsi"/>
          <w:bCs/>
          <w:sz w:val="18"/>
          <w:szCs w:val="20"/>
        </w:rPr>
      </w:pPr>
      <w:r w:rsidRPr="008C2096">
        <w:rPr>
          <w:rFonts w:cstheme="minorHAnsi"/>
          <w:sz w:val="18"/>
          <w:szCs w:val="20"/>
        </w:rPr>
        <w:t>O Pagamento do</w:t>
      </w:r>
      <w:r w:rsidR="00CD0B50" w:rsidRPr="008C2096">
        <w:rPr>
          <w:rFonts w:cstheme="minorHAnsi"/>
          <w:sz w:val="18"/>
          <w:szCs w:val="20"/>
        </w:rPr>
        <w:t xml:space="preserve">s produtos </w:t>
      </w:r>
      <w:r w:rsidR="008E5964" w:rsidRPr="008C2096">
        <w:rPr>
          <w:rFonts w:cstheme="minorHAnsi"/>
          <w:sz w:val="18"/>
          <w:szCs w:val="20"/>
        </w:rPr>
        <w:t>entregues no escopo 1 (Estudos de Tráfego), Escopo 2 (Cadastro Geral</w:t>
      </w:r>
      <w:r w:rsidR="005965A9" w:rsidRPr="008C2096">
        <w:rPr>
          <w:rFonts w:cstheme="minorHAnsi"/>
          <w:sz w:val="18"/>
          <w:szCs w:val="20"/>
        </w:rPr>
        <w:t xml:space="preserve"> de Rodovia) e Escopo 10 (Modelagem Jurídica), </w:t>
      </w:r>
      <w:r w:rsidR="005D5F30" w:rsidRPr="008C2096">
        <w:rPr>
          <w:rFonts w:cstheme="minorHAnsi"/>
          <w:sz w:val="18"/>
          <w:szCs w:val="20"/>
        </w:rPr>
        <w:t>relativos ao</w:t>
      </w:r>
      <w:r w:rsidR="005A6B9E" w:rsidRPr="008C2096">
        <w:rPr>
          <w:rFonts w:cstheme="minorHAnsi"/>
          <w:sz w:val="18"/>
          <w:szCs w:val="20"/>
        </w:rPr>
        <w:t xml:space="preserve"> Acordo de Parceria nº </w:t>
      </w:r>
      <w:r w:rsidR="00AF0954" w:rsidRPr="008C2096">
        <w:rPr>
          <w:rFonts w:cstheme="minorHAnsi"/>
          <w:sz w:val="18"/>
          <w:szCs w:val="20"/>
        </w:rPr>
        <w:t>02/2021</w:t>
      </w:r>
      <w:r w:rsidR="005A6B9E" w:rsidRPr="008C2096">
        <w:rPr>
          <w:rFonts w:cstheme="minorHAnsi"/>
          <w:sz w:val="18"/>
          <w:szCs w:val="20"/>
        </w:rPr>
        <w:t>, celebrado entre a Infra S.A. e o Banco Interamericano de Desenvolvimento (BID)</w:t>
      </w:r>
      <w:r w:rsidR="005D5F30" w:rsidRPr="008C2096">
        <w:rPr>
          <w:rFonts w:cstheme="minorHAnsi"/>
          <w:sz w:val="18"/>
          <w:szCs w:val="20"/>
        </w:rPr>
        <w:t>, foram reclassificados d</w:t>
      </w:r>
      <w:r w:rsidR="00CE5F95" w:rsidRPr="008C2096">
        <w:rPr>
          <w:rFonts w:cstheme="minorHAnsi"/>
          <w:sz w:val="18"/>
          <w:szCs w:val="20"/>
        </w:rPr>
        <w:t xml:space="preserve">e despesa para o intangível após o fechamento do SIAFI, devido </w:t>
      </w:r>
      <w:r w:rsidR="00D25591" w:rsidRPr="008C2096">
        <w:rPr>
          <w:rFonts w:cstheme="minorHAnsi"/>
          <w:sz w:val="18"/>
          <w:szCs w:val="20"/>
        </w:rPr>
        <w:t>à</w:t>
      </w:r>
      <w:r w:rsidR="00CE5F95" w:rsidRPr="008C2096">
        <w:rPr>
          <w:rFonts w:cstheme="minorHAnsi"/>
          <w:sz w:val="18"/>
          <w:szCs w:val="20"/>
        </w:rPr>
        <w:t xml:space="preserve"> expectativa de benefícios econômicos futuro</w:t>
      </w:r>
      <w:r w:rsidR="00406B81" w:rsidRPr="008C2096">
        <w:rPr>
          <w:rFonts w:cstheme="minorHAnsi"/>
          <w:sz w:val="18"/>
          <w:szCs w:val="20"/>
        </w:rPr>
        <w:t>s</w:t>
      </w:r>
      <w:r w:rsidR="00CE5F95" w:rsidRPr="008C2096">
        <w:rPr>
          <w:rFonts w:cstheme="minorHAnsi"/>
          <w:sz w:val="18"/>
          <w:szCs w:val="20"/>
        </w:rPr>
        <w:t>;</w:t>
      </w:r>
    </w:p>
    <w:p w14:paraId="39A14AB5" w14:textId="3202CEDB" w:rsidR="004B1E65" w:rsidRDefault="0051252B" w:rsidP="00EA4A85">
      <w:pPr>
        <w:pStyle w:val="PargrafodaLista"/>
        <w:numPr>
          <w:ilvl w:val="0"/>
          <w:numId w:val="6"/>
        </w:numPr>
        <w:jc w:val="both"/>
        <w:rPr>
          <w:rFonts w:cstheme="minorHAnsi"/>
          <w:bCs/>
          <w:sz w:val="18"/>
          <w:szCs w:val="20"/>
        </w:rPr>
      </w:pPr>
      <w:r>
        <w:rPr>
          <w:rFonts w:cstheme="minorHAnsi"/>
          <w:bCs/>
          <w:sz w:val="18"/>
          <w:szCs w:val="20"/>
        </w:rPr>
        <w:t xml:space="preserve">Refere-se a processos </w:t>
      </w:r>
      <w:r w:rsidR="00D5017A">
        <w:rPr>
          <w:rFonts w:cstheme="minorHAnsi"/>
          <w:bCs/>
          <w:sz w:val="18"/>
          <w:szCs w:val="20"/>
        </w:rPr>
        <w:t>de</w:t>
      </w:r>
      <w:r>
        <w:rPr>
          <w:rFonts w:cstheme="minorHAnsi"/>
          <w:bCs/>
          <w:sz w:val="18"/>
          <w:szCs w:val="20"/>
        </w:rPr>
        <w:t xml:space="preserve"> pagamento</w:t>
      </w:r>
      <w:r w:rsidR="00D5017A">
        <w:rPr>
          <w:rFonts w:cstheme="minorHAnsi"/>
          <w:bCs/>
          <w:sz w:val="18"/>
          <w:szCs w:val="20"/>
        </w:rPr>
        <w:t>,</w:t>
      </w:r>
      <w:r w:rsidR="00D26582">
        <w:rPr>
          <w:rFonts w:cstheme="minorHAnsi"/>
          <w:bCs/>
          <w:sz w:val="18"/>
          <w:szCs w:val="20"/>
        </w:rPr>
        <w:t xml:space="preserve"> de competência do mês de março</w:t>
      </w:r>
      <w:r w:rsidR="00D5017A">
        <w:rPr>
          <w:rFonts w:cstheme="minorHAnsi"/>
          <w:bCs/>
          <w:sz w:val="18"/>
          <w:szCs w:val="20"/>
        </w:rPr>
        <w:t>,</w:t>
      </w:r>
      <w:r>
        <w:rPr>
          <w:rFonts w:cstheme="minorHAnsi"/>
          <w:bCs/>
          <w:sz w:val="18"/>
          <w:szCs w:val="20"/>
        </w:rPr>
        <w:t xml:space="preserve"> </w:t>
      </w:r>
      <w:r w:rsidR="00D26582">
        <w:rPr>
          <w:rFonts w:cstheme="minorHAnsi"/>
          <w:bCs/>
          <w:sz w:val="18"/>
          <w:szCs w:val="20"/>
        </w:rPr>
        <w:t>encaminhados à</w:t>
      </w:r>
      <w:r w:rsidR="008010DF">
        <w:rPr>
          <w:rFonts w:cstheme="minorHAnsi"/>
          <w:bCs/>
          <w:sz w:val="18"/>
          <w:szCs w:val="20"/>
        </w:rPr>
        <w:t xml:space="preserve"> Gerência Financeira</w:t>
      </w:r>
      <w:r w:rsidR="00AE68F5" w:rsidRPr="004B1E65">
        <w:rPr>
          <w:rFonts w:cstheme="minorHAnsi"/>
          <w:bCs/>
          <w:sz w:val="18"/>
          <w:szCs w:val="20"/>
        </w:rPr>
        <w:t xml:space="preserve"> </w:t>
      </w:r>
      <w:r w:rsidR="00D26582">
        <w:rPr>
          <w:rFonts w:cstheme="minorHAnsi"/>
          <w:bCs/>
          <w:sz w:val="18"/>
          <w:szCs w:val="20"/>
        </w:rPr>
        <w:t xml:space="preserve">somente </w:t>
      </w:r>
      <w:r w:rsidR="00AE68F5" w:rsidRPr="004B1E65">
        <w:rPr>
          <w:rFonts w:cstheme="minorHAnsi"/>
          <w:bCs/>
          <w:sz w:val="18"/>
          <w:szCs w:val="20"/>
        </w:rPr>
        <w:t>após o fechamento do SIAFI</w:t>
      </w:r>
      <w:r w:rsidR="000E31CC">
        <w:rPr>
          <w:rFonts w:cstheme="minorHAnsi"/>
          <w:bCs/>
          <w:sz w:val="18"/>
          <w:szCs w:val="20"/>
        </w:rPr>
        <w:t xml:space="preserve">. </w:t>
      </w:r>
      <w:r w:rsidR="000E31CC" w:rsidRPr="004B1E65">
        <w:rPr>
          <w:rFonts w:cstheme="minorHAnsi"/>
          <w:bCs/>
          <w:sz w:val="18"/>
          <w:szCs w:val="20"/>
        </w:rPr>
        <w:t xml:space="preserve">Deste valor total, destaca-se </w:t>
      </w:r>
      <w:r w:rsidR="00DE626C">
        <w:rPr>
          <w:rFonts w:cstheme="minorHAnsi"/>
          <w:bCs/>
          <w:sz w:val="18"/>
          <w:szCs w:val="20"/>
        </w:rPr>
        <w:t xml:space="preserve">o gasto com aluguel da Sede, </w:t>
      </w:r>
      <w:r w:rsidR="00EA701E">
        <w:rPr>
          <w:rFonts w:cstheme="minorHAnsi"/>
          <w:bCs/>
          <w:sz w:val="18"/>
          <w:szCs w:val="20"/>
        </w:rPr>
        <w:t>apropriado</w:t>
      </w:r>
      <w:r w:rsidR="000E31CC" w:rsidRPr="004B1E65">
        <w:rPr>
          <w:rFonts w:cstheme="minorHAnsi"/>
          <w:bCs/>
          <w:sz w:val="18"/>
          <w:szCs w:val="20"/>
        </w:rPr>
        <w:t xml:space="preserve"> por competência </w:t>
      </w:r>
      <w:r w:rsidR="0069031D">
        <w:rPr>
          <w:rFonts w:cstheme="minorHAnsi"/>
          <w:bCs/>
          <w:sz w:val="18"/>
          <w:szCs w:val="20"/>
        </w:rPr>
        <w:t>na contabilidade societária</w:t>
      </w:r>
      <w:r w:rsidR="00EA701E">
        <w:rPr>
          <w:rFonts w:cstheme="minorHAnsi"/>
          <w:bCs/>
          <w:sz w:val="18"/>
          <w:szCs w:val="20"/>
        </w:rPr>
        <w:t>,</w:t>
      </w:r>
      <w:r w:rsidR="000E31CC" w:rsidRPr="004B1E65">
        <w:rPr>
          <w:rFonts w:cstheme="minorHAnsi"/>
          <w:bCs/>
          <w:sz w:val="18"/>
          <w:szCs w:val="20"/>
        </w:rPr>
        <w:t xml:space="preserve"> enquanto no SIAFI a liquidação foi feita </w:t>
      </w:r>
      <w:r w:rsidR="00B812F8">
        <w:rPr>
          <w:rFonts w:cstheme="minorHAnsi"/>
          <w:bCs/>
          <w:sz w:val="18"/>
          <w:szCs w:val="20"/>
        </w:rPr>
        <w:t>no mês subsequente</w:t>
      </w:r>
      <w:r w:rsidR="000E31CC" w:rsidRPr="004B1E65">
        <w:rPr>
          <w:rFonts w:cstheme="minorHAnsi"/>
          <w:bCs/>
          <w:sz w:val="18"/>
          <w:szCs w:val="20"/>
        </w:rPr>
        <w:t>;</w:t>
      </w:r>
    </w:p>
    <w:p w14:paraId="7422FFF1" w14:textId="452D87AC" w:rsidR="004B1E65" w:rsidRPr="0067050F" w:rsidRDefault="00C7795B" w:rsidP="00EA4A85">
      <w:pPr>
        <w:pStyle w:val="PargrafodaLista"/>
        <w:numPr>
          <w:ilvl w:val="0"/>
          <w:numId w:val="6"/>
        </w:numPr>
        <w:jc w:val="both"/>
        <w:rPr>
          <w:rFonts w:cstheme="minorHAnsi"/>
          <w:bCs/>
          <w:sz w:val="18"/>
          <w:szCs w:val="20"/>
        </w:rPr>
      </w:pPr>
      <w:r w:rsidRPr="004B1E65">
        <w:rPr>
          <w:rFonts w:cs="Calibri"/>
          <w:bCs/>
          <w:sz w:val="18"/>
          <w:szCs w:val="20"/>
        </w:rPr>
        <w:t xml:space="preserve">O IRPJ e a CSLL </w:t>
      </w:r>
      <w:r w:rsidR="0075784A">
        <w:rPr>
          <w:rFonts w:cs="Calibri"/>
          <w:bCs/>
          <w:sz w:val="18"/>
          <w:szCs w:val="20"/>
        </w:rPr>
        <w:t>são</w:t>
      </w:r>
      <w:r w:rsidRPr="004B1E65">
        <w:rPr>
          <w:rFonts w:cs="Calibri"/>
          <w:bCs/>
          <w:sz w:val="18"/>
          <w:szCs w:val="20"/>
        </w:rPr>
        <w:t xml:space="preserve"> registrados no SIAFI por competência, porém com base em estimativa realizada por meio do balancete do próprio SIAFI</w:t>
      </w:r>
      <w:r w:rsidR="00053AF2">
        <w:rPr>
          <w:rFonts w:cs="Calibri"/>
          <w:bCs/>
          <w:sz w:val="18"/>
          <w:szCs w:val="20"/>
        </w:rPr>
        <w:t xml:space="preserve">, </w:t>
      </w:r>
      <w:r w:rsidR="00205456">
        <w:rPr>
          <w:rFonts w:cs="Calibri"/>
          <w:bCs/>
          <w:sz w:val="18"/>
          <w:szCs w:val="20"/>
        </w:rPr>
        <w:t xml:space="preserve">o qual é </w:t>
      </w:r>
      <w:r w:rsidR="00053AF2">
        <w:rPr>
          <w:rFonts w:cs="Calibri"/>
          <w:bCs/>
          <w:sz w:val="18"/>
          <w:szCs w:val="20"/>
        </w:rPr>
        <w:t>regido pelas normas da Contabilidade Pública</w:t>
      </w:r>
      <w:r w:rsidRPr="004B1E65">
        <w:rPr>
          <w:rFonts w:cs="Calibri"/>
          <w:bCs/>
          <w:sz w:val="18"/>
          <w:szCs w:val="20"/>
        </w:rPr>
        <w:t xml:space="preserve">. Após o fechamento do balancete societário, </w:t>
      </w:r>
      <w:r w:rsidR="00205456">
        <w:rPr>
          <w:rFonts w:cs="Calibri"/>
          <w:bCs/>
          <w:sz w:val="18"/>
          <w:szCs w:val="20"/>
        </w:rPr>
        <w:t xml:space="preserve">a Gerência Tributária </w:t>
      </w:r>
      <w:r w:rsidRPr="004B1E65">
        <w:rPr>
          <w:rFonts w:cs="Calibri"/>
          <w:bCs/>
          <w:sz w:val="18"/>
          <w:szCs w:val="20"/>
        </w:rPr>
        <w:t>verificou a necessidade de ajustes na apuração, ocasionando a diferença de valores</w:t>
      </w:r>
      <w:r w:rsidR="00205456">
        <w:rPr>
          <w:rFonts w:cs="Calibri"/>
          <w:bCs/>
          <w:sz w:val="18"/>
          <w:szCs w:val="20"/>
        </w:rPr>
        <w:t xml:space="preserve">, </w:t>
      </w:r>
      <w:r w:rsidR="00205456" w:rsidRPr="004B1E65">
        <w:rPr>
          <w:rFonts w:cs="Calibri"/>
          <w:bCs/>
          <w:sz w:val="18"/>
          <w:szCs w:val="20"/>
        </w:rPr>
        <w:t xml:space="preserve">os quais </w:t>
      </w:r>
      <w:r w:rsidR="00CE073A">
        <w:rPr>
          <w:rFonts w:cs="Calibri"/>
          <w:bCs/>
          <w:sz w:val="18"/>
          <w:szCs w:val="20"/>
        </w:rPr>
        <w:t>são</w:t>
      </w:r>
      <w:r w:rsidR="00205456" w:rsidRPr="004B1E65">
        <w:rPr>
          <w:rFonts w:cs="Calibri"/>
          <w:bCs/>
          <w:sz w:val="18"/>
          <w:szCs w:val="20"/>
        </w:rPr>
        <w:t xml:space="preserve"> ajustados no SIAFI </w:t>
      </w:r>
      <w:r w:rsidR="00205456">
        <w:rPr>
          <w:rFonts w:cs="Calibri"/>
          <w:bCs/>
          <w:sz w:val="18"/>
          <w:szCs w:val="20"/>
        </w:rPr>
        <w:t>em períodos subsequentes</w:t>
      </w:r>
      <w:r w:rsidRPr="004B1E65">
        <w:rPr>
          <w:rFonts w:cs="Calibri"/>
          <w:bCs/>
          <w:sz w:val="18"/>
          <w:szCs w:val="20"/>
        </w:rPr>
        <w:t>. Destaca-se que o balancete societário é elaborado após o fechamento do SIAFI, haja vista a necessidade de importação dos dados do SIAFI para o sistema contábil</w:t>
      </w:r>
      <w:r w:rsidR="006D1F27">
        <w:rPr>
          <w:rFonts w:cs="Calibri"/>
          <w:bCs/>
          <w:sz w:val="18"/>
          <w:szCs w:val="20"/>
        </w:rPr>
        <w:t xml:space="preserve">. </w:t>
      </w:r>
      <w:r w:rsidR="006D1F27" w:rsidRPr="0067050F">
        <w:rPr>
          <w:rFonts w:cs="Calibri"/>
          <w:bCs/>
          <w:sz w:val="18"/>
          <w:szCs w:val="20"/>
        </w:rPr>
        <w:t>A</w:t>
      </w:r>
      <w:r w:rsidR="00025B2F" w:rsidRPr="0067050F">
        <w:rPr>
          <w:rFonts w:cs="Calibri"/>
          <w:bCs/>
          <w:sz w:val="18"/>
          <w:szCs w:val="20"/>
        </w:rPr>
        <w:t xml:space="preserve">lém disso, </w:t>
      </w:r>
      <w:r w:rsidR="0035528D" w:rsidRPr="0067050F">
        <w:rPr>
          <w:rFonts w:cs="Calibri"/>
          <w:bCs/>
          <w:sz w:val="18"/>
          <w:szCs w:val="20"/>
        </w:rPr>
        <w:t>em relação ao</w:t>
      </w:r>
      <w:r w:rsidR="00770145" w:rsidRPr="0067050F">
        <w:rPr>
          <w:rFonts w:cs="Calibri"/>
          <w:bCs/>
          <w:sz w:val="18"/>
          <w:szCs w:val="20"/>
        </w:rPr>
        <w:t xml:space="preserve"> PIS e </w:t>
      </w:r>
      <w:r w:rsidR="00E57C97" w:rsidRPr="0067050F">
        <w:rPr>
          <w:rFonts w:cs="Calibri"/>
          <w:bCs/>
          <w:sz w:val="18"/>
          <w:szCs w:val="20"/>
        </w:rPr>
        <w:t>COFINS</w:t>
      </w:r>
      <w:r w:rsidR="0035528D" w:rsidRPr="0067050F">
        <w:rPr>
          <w:rFonts w:cs="Calibri"/>
          <w:bCs/>
          <w:sz w:val="18"/>
          <w:szCs w:val="20"/>
        </w:rPr>
        <w:t xml:space="preserve">, </w:t>
      </w:r>
      <w:r w:rsidR="00EC58FF" w:rsidRPr="0067050F">
        <w:rPr>
          <w:rFonts w:cs="Calibri"/>
          <w:bCs/>
          <w:sz w:val="18"/>
          <w:szCs w:val="20"/>
        </w:rPr>
        <w:t xml:space="preserve">há uma diferença de 54 mil entre as rubricas </w:t>
      </w:r>
      <w:r w:rsidR="00A4062D" w:rsidRPr="0067050F">
        <w:rPr>
          <w:rFonts w:cs="Calibri"/>
          <w:bCs/>
          <w:sz w:val="18"/>
          <w:szCs w:val="20"/>
        </w:rPr>
        <w:t>“G</w:t>
      </w:r>
      <w:r w:rsidR="00EC58FF" w:rsidRPr="0067050F">
        <w:rPr>
          <w:rFonts w:cs="Calibri"/>
          <w:bCs/>
          <w:sz w:val="18"/>
          <w:szCs w:val="20"/>
        </w:rPr>
        <w:t xml:space="preserve">erais e </w:t>
      </w:r>
      <w:r w:rsidR="00A4062D" w:rsidRPr="0067050F">
        <w:rPr>
          <w:rFonts w:cs="Calibri"/>
          <w:bCs/>
          <w:sz w:val="18"/>
          <w:szCs w:val="20"/>
        </w:rPr>
        <w:t>A</w:t>
      </w:r>
      <w:r w:rsidR="00EC58FF" w:rsidRPr="0067050F">
        <w:rPr>
          <w:rFonts w:cs="Calibri"/>
          <w:bCs/>
          <w:sz w:val="18"/>
          <w:szCs w:val="20"/>
        </w:rPr>
        <w:t>dministrativas</w:t>
      </w:r>
      <w:r w:rsidR="00A4062D" w:rsidRPr="0067050F">
        <w:rPr>
          <w:rFonts w:cs="Calibri"/>
          <w:bCs/>
          <w:sz w:val="18"/>
          <w:szCs w:val="20"/>
        </w:rPr>
        <w:t>”</w:t>
      </w:r>
      <w:r w:rsidR="00EC58FF" w:rsidRPr="0067050F">
        <w:rPr>
          <w:rFonts w:cs="Calibri"/>
          <w:bCs/>
          <w:sz w:val="18"/>
          <w:szCs w:val="20"/>
        </w:rPr>
        <w:t xml:space="preserve"> e </w:t>
      </w:r>
      <w:r w:rsidR="00A4062D" w:rsidRPr="0067050F">
        <w:rPr>
          <w:rFonts w:cs="Calibri"/>
          <w:bCs/>
          <w:sz w:val="18"/>
          <w:szCs w:val="20"/>
        </w:rPr>
        <w:t>“Outras Receitas/Despesas”</w:t>
      </w:r>
      <w:r w:rsidR="00DD4E76" w:rsidRPr="0067050F">
        <w:rPr>
          <w:rFonts w:cs="Calibri"/>
          <w:bCs/>
          <w:sz w:val="18"/>
          <w:szCs w:val="20"/>
        </w:rPr>
        <w:t xml:space="preserve">, tendo em vista que no SIAFI o registro é </w:t>
      </w:r>
      <w:r w:rsidR="00A717D0" w:rsidRPr="0067050F">
        <w:rPr>
          <w:rFonts w:cs="Calibri"/>
          <w:bCs/>
          <w:sz w:val="18"/>
          <w:szCs w:val="20"/>
        </w:rPr>
        <w:t>realizado</w:t>
      </w:r>
      <w:r w:rsidR="00DD4E76" w:rsidRPr="0067050F">
        <w:rPr>
          <w:rFonts w:cs="Calibri"/>
          <w:bCs/>
          <w:sz w:val="18"/>
          <w:szCs w:val="20"/>
        </w:rPr>
        <w:t xml:space="preserve"> </w:t>
      </w:r>
      <w:r w:rsidR="00A717D0" w:rsidRPr="0067050F">
        <w:rPr>
          <w:rFonts w:cs="Calibri"/>
          <w:bCs/>
          <w:sz w:val="18"/>
          <w:szCs w:val="20"/>
        </w:rPr>
        <w:t>em despesa na</w:t>
      </w:r>
      <w:r w:rsidR="00DD4E76" w:rsidRPr="0067050F">
        <w:rPr>
          <w:rFonts w:cs="Calibri"/>
          <w:bCs/>
          <w:sz w:val="18"/>
          <w:szCs w:val="20"/>
        </w:rPr>
        <w:t xml:space="preserve"> </w:t>
      </w:r>
      <w:r w:rsidR="00CA67E5" w:rsidRPr="0067050F">
        <w:rPr>
          <w:rFonts w:cs="Calibri"/>
          <w:bCs/>
          <w:sz w:val="18"/>
          <w:szCs w:val="20"/>
        </w:rPr>
        <w:t xml:space="preserve">pública, enquanto na societária </w:t>
      </w:r>
      <w:r w:rsidR="00C43D1F" w:rsidRPr="0067050F">
        <w:rPr>
          <w:rFonts w:cs="Calibri"/>
          <w:bCs/>
          <w:sz w:val="18"/>
          <w:szCs w:val="20"/>
        </w:rPr>
        <w:t>fica em dedução de receita</w:t>
      </w:r>
      <w:r w:rsidR="00C17697" w:rsidRPr="0067050F">
        <w:rPr>
          <w:rFonts w:cs="Calibri"/>
          <w:bCs/>
          <w:sz w:val="18"/>
          <w:szCs w:val="20"/>
        </w:rPr>
        <w:t>s</w:t>
      </w:r>
      <w:r w:rsidRPr="0067050F">
        <w:rPr>
          <w:rFonts w:cs="Calibri"/>
          <w:bCs/>
          <w:sz w:val="18"/>
          <w:szCs w:val="20"/>
        </w:rPr>
        <w:t>;</w:t>
      </w:r>
    </w:p>
    <w:p w14:paraId="36478F06" w14:textId="77777777" w:rsidR="004B1E65" w:rsidRDefault="004F78AC" w:rsidP="00EA4A85">
      <w:pPr>
        <w:pStyle w:val="PargrafodaLista"/>
        <w:numPr>
          <w:ilvl w:val="0"/>
          <w:numId w:val="6"/>
        </w:numPr>
        <w:jc w:val="both"/>
        <w:rPr>
          <w:rFonts w:cstheme="minorHAnsi"/>
          <w:bCs/>
          <w:sz w:val="18"/>
          <w:szCs w:val="20"/>
        </w:rPr>
      </w:pPr>
      <w:r w:rsidRPr="004B1E65">
        <w:rPr>
          <w:rFonts w:cstheme="minorHAnsi"/>
          <w:bCs/>
          <w:sz w:val="18"/>
          <w:szCs w:val="20"/>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46B7EC13" w14:textId="77777777" w:rsidR="004B1E65" w:rsidRDefault="00A827FA" w:rsidP="00EA4A85">
      <w:pPr>
        <w:pStyle w:val="PargrafodaLista"/>
        <w:numPr>
          <w:ilvl w:val="0"/>
          <w:numId w:val="6"/>
        </w:numPr>
        <w:jc w:val="both"/>
        <w:rPr>
          <w:rFonts w:cstheme="minorHAnsi"/>
          <w:bCs/>
          <w:sz w:val="18"/>
          <w:szCs w:val="20"/>
        </w:rPr>
      </w:pPr>
      <w:r w:rsidRPr="004B1E65">
        <w:rPr>
          <w:rFonts w:cstheme="minorHAnsi"/>
          <w:bCs/>
          <w:sz w:val="18"/>
          <w:szCs w:val="20"/>
        </w:rPr>
        <w:lastRenderedPageBreak/>
        <w:t>A Infra S.A. sempre adotou por procedimento a r</w:t>
      </w:r>
      <w:r w:rsidR="00C04DAF" w:rsidRPr="004B1E65">
        <w:rPr>
          <w:rFonts w:cstheme="minorHAnsi"/>
          <w:bCs/>
          <w:sz w:val="18"/>
          <w:szCs w:val="20"/>
        </w:rPr>
        <w:t>eclassificação de depósito</w:t>
      </w:r>
      <w:r w:rsidR="00F42545" w:rsidRPr="004B1E65">
        <w:rPr>
          <w:rFonts w:cstheme="minorHAnsi"/>
          <w:bCs/>
          <w:sz w:val="18"/>
          <w:szCs w:val="20"/>
        </w:rPr>
        <w:t>s</w:t>
      </w:r>
      <w:r w:rsidR="00C04DAF" w:rsidRPr="004B1E65">
        <w:rPr>
          <w:rFonts w:cstheme="minorHAnsi"/>
          <w:bCs/>
          <w:sz w:val="18"/>
          <w:szCs w:val="20"/>
        </w:rPr>
        <w:t xml:space="preserve"> retido</w:t>
      </w:r>
      <w:r w:rsidR="00F42545" w:rsidRPr="004B1E65">
        <w:rPr>
          <w:rFonts w:cstheme="minorHAnsi"/>
          <w:bCs/>
          <w:sz w:val="18"/>
          <w:szCs w:val="20"/>
        </w:rPr>
        <w:t>s</w:t>
      </w:r>
      <w:r w:rsidR="00C04DAF" w:rsidRPr="004B1E65">
        <w:rPr>
          <w:rFonts w:cstheme="minorHAnsi"/>
          <w:bCs/>
          <w:sz w:val="18"/>
          <w:szCs w:val="20"/>
        </w:rPr>
        <w:t xml:space="preserve"> </w:t>
      </w:r>
      <w:r w:rsidR="008123DD" w:rsidRPr="004B1E65">
        <w:rPr>
          <w:rFonts w:cstheme="minorHAnsi"/>
          <w:bCs/>
          <w:sz w:val="18"/>
          <w:szCs w:val="20"/>
        </w:rPr>
        <w:t>sobre</w:t>
      </w:r>
      <w:r w:rsidR="00C04DAF" w:rsidRPr="004B1E65">
        <w:rPr>
          <w:rFonts w:cstheme="minorHAnsi"/>
          <w:bCs/>
          <w:sz w:val="18"/>
          <w:szCs w:val="20"/>
        </w:rPr>
        <w:t xml:space="preserve"> fornecedores do </w:t>
      </w:r>
      <w:r w:rsidR="005E2557" w:rsidRPr="004B1E65">
        <w:rPr>
          <w:rFonts w:cstheme="minorHAnsi"/>
          <w:bCs/>
          <w:sz w:val="18"/>
          <w:szCs w:val="20"/>
        </w:rPr>
        <w:t>curto</w:t>
      </w:r>
      <w:r w:rsidR="00C04DAF" w:rsidRPr="004B1E65">
        <w:rPr>
          <w:rFonts w:cstheme="minorHAnsi"/>
          <w:bCs/>
          <w:sz w:val="18"/>
          <w:szCs w:val="20"/>
        </w:rPr>
        <w:t xml:space="preserve"> para </w:t>
      </w:r>
      <w:r w:rsidR="005E2557" w:rsidRPr="004B1E65">
        <w:rPr>
          <w:rFonts w:cstheme="minorHAnsi"/>
          <w:bCs/>
          <w:sz w:val="18"/>
          <w:szCs w:val="20"/>
        </w:rPr>
        <w:t>longo</w:t>
      </w:r>
      <w:r w:rsidR="00C04DAF" w:rsidRPr="004B1E65">
        <w:rPr>
          <w:rFonts w:cstheme="minorHAnsi"/>
          <w:bCs/>
          <w:sz w:val="18"/>
          <w:szCs w:val="20"/>
        </w:rPr>
        <w:t xml:space="preserve"> prazo na </w:t>
      </w:r>
      <w:r w:rsidR="00733A86" w:rsidRPr="004B1E65">
        <w:rPr>
          <w:rFonts w:cstheme="minorHAnsi"/>
          <w:bCs/>
          <w:sz w:val="18"/>
          <w:szCs w:val="20"/>
        </w:rPr>
        <w:t>Contabilidade Societária</w:t>
      </w:r>
      <w:r w:rsidR="00E64835" w:rsidRPr="004B1E65">
        <w:rPr>
          <w:rFonts w:cstheme="minorHAnsi"/>
          <w:bCs/>
          <w:sz w:val="18"/>
          <w:szCs w:val="20"/>
        </w:rPr>
        <w:t xml:space="preserve">. Considerando que referida conta </w:t>
      </w:r>
      <w:r w:rsidR="00EA68F4" w:rsidRPr="004B1E65">
        <w:rPr>
          <w:rFonts w:cstheme="minorHAnsi"/>
          <w:bCs/>
          <w:sz w:val="18"/>
          <w:szCs w:val="20"/>
        </w:rPr>
        <w:t xml:space="preserve">está vinculada </w:t>
      </w:r>
      <w:r w:rsidR="00C3466B" w:rsidRPr="004B1E65">
        <w:rPr>
          <w:rFonts w:cstheme="minorHAnsi"/>
          <w:bCs/>
          <w:sz w:val="18"/>
          <w:szCs w:val="20"/>
        </w:rPr>
        <w:t>às</w:t>
      </w:r>
      <w:r w:rsidR="00EA68F4" w:rsidRPr="004B1E65">
        <w:rPr>
          <w:rFonts w:cstheme="minorHAnsi"/>
          <w:bCs/>
          <w:sz w:val="18"/>
          <w:szCs w:val="20"/>
        </w:rPr>
        <w:t xml:space="preserve"> liquidações de notas fiscais</w:t>
      </w:r>
      <w:r w:rsidR="00552DFB" w:rsidRPr="004B1E65">
        <w:rPr>
          <w:rFonts w:cstheme="minorHAnsi"/>
          <w:bCs/>
          <w:sz w:val="18"/>
          <w:szCs w:val="20"/>
        </w:rPr>
        <w:t>, essa</w:t>
      </w:r>
      <w:r w:rsidR="004814D8" w:rsidRPr="004B1E65">
        <w:rPr>
          <w:rFonts w:cstheme="minorHAnsi"/>
          <w:bCs/>
          <w:sz w:val="18"/>
          <w:szCs w:val="20"/>
        </w:rPr>
        <w:t xml:space="preserve"> não existe no SIAFI no </w:t>
      </w:r>
      <w:r w:rsidR="00C3466B" w:rsidRPr="004B1E65">
        <w:rPr>
          <w:rFonts w:cstheme="minorHAnsi"/>
          <w:bCs/>
          <w:sz w:val="18"/>
          <w:szCs w:val="20"/>
        </w:rPr>
        <w:t>passivo não circulante</w:t>
      </w:r>
      <w:r w:rsidR="004814D8" w:rsidRPr="004B1E65">
        <w:rPr>
          <w:rFonts w:cstheme="minorHAnsi"/>
          <w:bCs/>
          <w:sz w:val="18"/>
          <w:szCs w:val="20"/>
        </w:rPr>
        <w:t>, impossibilitando a reclassificação para o longo prazo</w:t>
      </w:r>
      <w:r w:rsidR="00552DFB" w:rsidRPr="004B1E65">
        <w:rPr>
          <w:rFonts w:cstheme="minorHAnsi"/>
          <w:bCs/>
          <w:sz w:val="18"/>
          <w:szCs w:val="20"/>
        </w:rPr>
        <w:t xml:space="preserve"> em referido sistema</w:t>
      </w:r>
      <w:r w:rsidR="00C04DAF" w:rsidRPr="004B1E65">
        <w:rPr>
          <w:rFonts w:cstheme="minorHAnsi"/>
          <w:bCs/>
          <w:sz w:val="18"/>
          <w:szCs w:val="20"/>
        </w:rPr>
        <w:t>;</w:t>
      </w:r>
    </w:p>
    <w:p w14:paraId="40B9A015" w14:textId="77777777" w:rsidR="004B1E65" w:rsidRDefault="00C04DAF" w:rsidP="00EA4A85">
      <w:pPr>
        <w:pStyle w:val="PargrafodaLista"/>
        <w:numPr>
          <w:ilvl w:val="0"/>
          <w:numId w:val="6"/>
        </w:numPr>
        <w:jc w:val="both"/>
        <w:rPr>
          <w:rFonts w:cstheme="minorHAnsi"/>
          <w:bCs/>
          <w:sz w:val="18"/>
          <w:szCs w:val="20"/>
        </w:rPr>
      </w:pPr>
      <w:r w:rsidRPr="004B1E65">
        <w:rPr>
          <w:rFonts w:cstheme="minorHAnsi"/>
          <w:bCs/>
          <w:sz w:val="18"/>
          <w:szCs w:val="20"/>
        </w:rPr>
        <w:t xml:space="preserve">Conforme descrito na </w:t>
      </w:r>
      <w:r w:rsidR="00C859EE" w:rsidRPr="004B1E65">
        <w:rPr>
          <w:rFonts w:cstheme="minorHAnsi"/>
          <w:bCs/>
          <w:sz w:val="18"/>
          <w:szCs w:val="20"/>
        </w:rPr>
        <w:t>Nota Explicativa</w:t>
      </w:r>
      <w:r w:rsidR="00CD07A0" w:rsidRPr="004B1E65">
        <w:rPr>
          <w:rFonts w:cstheme="minorHAnsi"/>
          <w:bCs/>
          <w:sz w:val="18"/>
          <w:szCs w:val="20"/>
        </w:rPr>
        <w:t xml:space="preserve"> </w:t>
      </w:r>
      <w:r w:rsidR="000E39A7" w:rsidRPr="004B1E65">
        <w:rPr>
          <w:rFonts w:cstheme="minorHAnsi"/>
          <w:bCs/>
          <w:sz w:val="18"/>
          <w:szCs w:val="20"/>
        </w:rPr>
        <w:t>2</w:t>
      </w:r>
      <w:r w:rsidR="00E87B33" w:rsidRPr="004B1E65">
        <w:rPr>
          <w:rFonts w:cstheme="minorHAnsi"/>
          <w:bCs/>
          <w:sz w:val="18"/>
          <w:szCs w:val="20"/>
        </w:rPr>
        <w:t>4</w:t>
      </w:r>
      <w:r w:rsidRPr="004B1E65">
        <w:rPr>
          <w:rFonts w:cstheme="minorHAnsi"/>
          <w:bCs/>
          <w:sz w:val="18"/>
          <w:szCs w:val="20"/>
        </w:rPr>
        <w:t xml:space="preserve">,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w:t>
      </w:r>
      <w:r w:rsidR="008B2236" w:rsidRPr="004B1E65">
        <w:rPr>
          <w:rFonts w:cstheme="minorHAnsi"/>
          <w:bCs/>
          <w:sz w:val="18"/>
          <w:szCs w:val="20"/>
        </w:rPr>
        <w:t>E</w:t>
      </w:r>
      <w:r w:rsidRPr="004B1E65">
        <w:rPr>
          <w:rFonts w:cstheme="minorHAnsi"/>
          <w:bCs/>
          <w:sz w:val="18"/>
          <w:szCs w:val="20"/>
        </w:rPr>
        <w:t>mpresa</w:t>
      </w:r>
      <w:r w:rsidR="001A65EA" w:rsidRPr="004B1E65">
        <w:rPr>
          <w:rFonts w:cstheme="minorHAnsi"/>
          <w:bCs/>
          <w:sz w:val="18"/>
          <w:szCs w:val="20"/>
        </w:rPr>
        <w:t>;</w:t>
      </w:r>
    </w:p>
    <w:p w14:paraId="22F237F7" w14:textId="77777777" w:rsidR="004B1E65" w:rsidRDefault="00C04DAF" w:rsidP="00EA4A85">
      <w:pPr>
        <w:pStyle w:val="PargrafodaLista"/>
        <w:numPr>
          <w:ilvl w:val="0"/>
          <w:numId w:val="6"/>
        </w:numPr>
        <w:jc w:val="both"/>
        <w:rPr>
          <w:rFonts w:cstheme="minorHAnsi"/>
          <w:bCs/>
          <w:sz w:val="18"/>
          <w:szCs w:val="20"/>
        </w:rPr>
      </w:pPr>
      <w:r w:rsidRPr="004B1E65">
        <w:rPr>
          <w:rFonts w:cstheme="minorHAnsi"/>
          <w:bCs/>
          <w:sz w:val="18"/>
          <w:szCs w:val="20"/>
        </w:rPr>
        <w:t xml:space="preserve">Considerando que parte das diferenças apontadas afetam diretamente o resultado do exercício, consequentemente o saldo Prejuízos Acumulados reconhecido no SIAFI apresenta-se diferente do saldo apurado na </w:t>
      </w:r>
      <w:r w:rsidR="00733A86" w:rsidRPr="004B1E65">
        <w:rPr>
          <w:rFonts w:cstheme="minorHAnsi"/>
          <w:bCs/>
          <w:sz w:val="18"/>
          <w:szCs w:val="20"/>
        </w:rPr>
        <w:t>Contabilidade Societária</w:t>
      </w:r>
      <w:r w:rsidR="00FD0F93" w:rsidRPr="004B1E65">
        <w:rPr>
          <w:rFonts w:cstheme="minorHAnsi"/>
          <w:bCs/>
          <w:sz w:val="18"/>
          <w:szCs w:val="20"/>
        </w:rPr>
        <w:t xml:space="preserve">, principalmente impactado </w:t>
      </w:r>
      <w:r w:rsidR="00F6303F" w:rsidRPr="004B1E65">
        <w:rPr>
          <w:rFonts w:cstheme="minorHAnsi"/>
          <w:bCs/>
          <w:sz w:val="18"/>
          <w:szCs w:val="20"/>
        </w:rPr>
        <w:t xml:space="preserve">pelo critério de reconhecimento do Investimento Cruzado, consoante apresentado </w:t>
      </w:r>
      <w:r w:rsidR="00CD07A0" w:rsidRPr="004B1E65">
        <w:rPr>
          <w:rFonts w:cstheme="minorHAnsi"/>
          <w:bCs/>
          <w:sz w:val="18"/>
          <w:szCs w:val="20"/>
        </w:rPr>
        <w:t>no item 1</w:t>
      </w:r>
      <w:r w:rsidR="004548CF" w:rsidRPr="004B1E65">
        <w:rPr>
          <w:rFonts w:cstheme="minorHAnsi"/>
          <w:bCs/>
          <w:sz w:val="18"/>
          <w:szCs w:val="20"/>
        </w:rPr>
        <w:t>5</w:t>
      </w:r>
      <w:r w:rsidRPr="004B1E65">
        <w:rPr>
          <w:rFonts w:cstheme="minorHAnsi"/>
          <w:bCs/>
          <w:sz w:val="18"/>
          <w:szCs w:val="20"/>
        </w:rPr>
        <w:t xml:space="preserve">; </w:t>
      </w:r>
    </w:p>
    <w:p w14:paraId="4D471346" w14:textId="00F3C5A7" w:rsidR="00814928" w:rsidRPr="004B1E65" w:rsidRDefault="009057FB" w:rsidP="00EA4A85">
      <w:pPr>
        <w:pStyle w:val="PargrafodaLista"/>
        <w:numPr>
          <w:ilvl w:val="0"/>
          <w:numId w:val="6"/>
        </w:numPr>
        <w:jc w:val="both"/>
        <w:rPr>
          <w:rFonts w:cstheme="minorHAnsi"/>
          <w:bCs/>
          <w:sz w:val="18"/>
          <w:szCs w:val="20"/>
        </w:rPr>
      </w:pPr>
      <w:r w:rsidRPr="004B1E65">
        <w:rPr>
          <w:rFonts w:cstheme="minorHAnsi"/>
          <w:bCs/>
          <w:sz w:val="18"/>
          <w:szCs w:val="20"/>
        </w:rPr>
        <w:t>Os</w:t>
      </w:r>
      <w:r w:rsidR="00E92AE0" w:rsidRPr="004B1E65">
        <w:rPr>
          <w:rFonts w:cstheme="minorHAnsi"/>
          <w:bCs/>
          <w:sz w:val="18"/>
          <w:szCs w:val="20"/>
        </w:rPr>
        <w:t xml:space="preserve"> valores da apuração de PIS e COFINS sobre </w:t>
      </w:r>
      <w:r w:rsidR="00256581" w:rsidRPr="004B1E65">
        <w:rPr>
          <w:rFonts w:cstheme="minorHAnsi"/>
          <w:bCs/>
          <w:sz w:val="18"/>
          <w:szCs w:val="20"/>
        </w:rPr>
        <w:t xml:space="preserve">as receitas </w:t>
      </w:r>
      <w:r w:rsidRPr="004B1E65">
        <w:rPr>
          <w:rFonts w:cstheme="minorHAnsi"/>
          <w:bCs/>
          <w:sz w:val="18"/>
          <w:szCs w:val="20"/>
        </w:rPr>
        <w:t xml:space="preserve">brutas </w:t>
      </w:r>
      <w:r w:rsidR="00E92AE0" w:rsidRPr="004B1E65">
        <w:rPr>
          <w:rFonts w:cstheme="minorHAnsi"/>
          <w:bCs/>
          <w:sz w:val="18"/>
          <w:szCs w:val="20"/>
        </w:rPr>
        <w:t>foram registrados como dedução de receita na Contabilidade Societária e como despesa na contabilidade pública, representados na rubrica "Gerais e Administrativas";</w:t>
      </w:r>
    </w:p>
    <w:p w14:paraId="4549788F" w14:textId="77777777" w:rsidR="00262B4D" w:rsidRPr="007951F8" w:rsidRDefault="00262B4D" w:rsidP="00B01CA0">
      <w:pPr>
        <w:spacing w:before="120"/>
        <w:ind w:right="57"/>
        <w:rPr>
          <w:rFonts w:cstheme="minorHAnsi"/>
          <w:b/>
          <w:color w:val="FF0000"/>
          <w:sz w:val="20"/>
          <w:szCs w:val="20"/>
        </w:rPr>
      </w:pPr>
    </w:p>
    <w:p w14:paraId="4C3EEF4E" w14:textId="77777777" w:rsidR="00D8059C" w:rsidRPr="007951F8" w:rsidRDefault="00D8059C" w:rsidP="00D92393">
      <w:pPr>
        <w:tabs>
          <w:tab w:val="left" w:pos="5245"/>
          <w:tab w:val="left" w:pos="5387"/>
        </w:tabs>
        <w:spacing w:after="0"/>
        <w:ind w:right="57"/>
        <w:jc w:val="center"/>
        <w:rPr>
          <w:rFonts w:cstheme="minorHAnsi"/>
          <w:b/>
          <w:color w:val="FF0000"/>
          <w:sz w:val="20"/>
          <w:szCs w:val="20"/>
        </w:rPr>
      </w:pPr>
    </w:p>
    <w:p w14:paraId="7C5B1670" w14:textId="7E6C2474"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JORGE LUIZ MACEDO BASTOS</w:t>
      </w:r>
    </w:p>
    <w:p w14:paraId="4D78B73B" w14:textId="77777777"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Diretor-Presidente</w:t>
      </w:r>
    </w:p>
    <w:p w14:paraId="1126857E"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36E025FA" w14:textId="77777777" w:rsidR="00ED770D" w:rsidRDefault="00ED770D" w:rsidP="00D92393">
      <w:pPr>
        <w:tabs>
          <w:tab w:val="left" w:pos="5245"/>
          <w:tab w:val="left" w:pos="5387"/>
        </w:tabs>
        <w:spacing w:after="0"/>
        <w:ind w:right="57"/>
        <w:jc w:val="center"/>
        <w:rPr>
          <w:rFonts w:cstheme="minorHAnsi"/>
          <w:bCs/>
          <w:sz w:val="20"/>
          <w:szCs w:val="20"/>
        </w:rPr>
      </w:pPr>
    </w:p>
    <w:p w14:paraId="501DC089"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3B340615"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11C4CAF" w14:textId="256F559C"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ELISABETH ALVES DA SILVA BRAGA</w:t>
      </w:r>
    </w:p>
    <w:p w14:paraId="66A667A5" w14:textId="29D1B950" w:rsidR="008A3F43" w:rsidRPr="007951F8" w:rsidRDefault="008A3F43"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Diretora de Administração e Finanças</w:t>
      </w:r>
    </w:p>
    <w:p w14:paraId="4FA147C8" w14:textId="77777777" w:rsidR="003B6256" w:rsidRDefault="003B6256" w:rsidP="00D92393">
      <w:pPr>
        <w:tabs>
          <w:tab w:val="left" w:pos="5245"/>
          <w:tab w:val="left" w:pos="5387"/>
        </w:tabs>
        <w:spacing w:after="0"/>
        <w:ind w:right="57"/>
        <w:jc w:val="center"/>
        <w:rPr>
          <w:rFonts w:cstheme="minorHAnsi"/>
          <w:bCs/>
          <w:sz w:val="20"/>
          <w:szCs w:val="20"/>
        </w:rPr>
      </w:pPr>
    </w:p>
    <w:p w14:paraId="20702402" w14:textId="77777777" w:rsidR="00ED770D" w:rsidRDefault="00ED770D" w:rsidP="00D92393">
      <w:pPr>
        <w:tabs>
          <w:tab w:val="left" w:pos="5245"/>
          <w:tab w:val="left" w:pos="5387"/>
        </w:tabs>
        <w:spacing w:after="0"/>
        <w:ind w:right="57"/>
        <w:jc w:val="center"/>
        <w:rPr>
          <w:rFonts w:cstheme="minorHAnsi"/>
          <w:bCs/>
          <w:sz w:val="20"/>
          <w:szCs w:val="20"/>
        </w:rPr>
      </w:pPr>
    </w:p>
    <w:p w14:paraId="09222B35"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2D209100"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E014946" w14:textId="77777777" w:rsidR="00E429B0" w:rsidRPr="007951F8" w:rsidRDefault="00E429B0"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 LUÍS LUDOLFO DA SILVA</w:t>
      </w:r>
    </w:p>
    <w:p w14:paraId="51890820" w14:textId="28D9FE66" w:rsidR="004C7804" w:rsidRPr="007951F8" w:rsidRDefault="004C7804"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Empreendimentos</w:t>
      </w:r>
    </w:p>
    <w:p w14:paraId="3C1367C8"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7EE058DB" w14:textId="77777777" w:rsidR="00ED770D" w:rsidRDefault="00ED770D" w:rsidP="00D92393">
      <w:pPr>
        <w:tabs>
          <w:tab w:val="left" w:pos="5245"/>
          <w:tab w:val="left" w:pos="5387"/>
        </w:tabs>
        <w:spacing w:after="0"/>
        <w:ind w:right="57"/>
        <w:jc w:val="center"/>
        <w:rPr>
          <w:rFonts w:cstheme="minorHAnsi"/>
          <w:bCs/>
          <w:sz w:val="20"/>
          <w:szCs w:val="20"/>
        </w:rPr>
      </w:pPr>
    </w:p>
    <w:p w14:paraId="7FBDCA2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F1FDE1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A7E08F7" w14:textId="1FF16D43"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MARCELO VINAUD</w:t>
      </w:r>
      <w:r w:rsidR="00DE56E5" w:rsidRPr="007951F8">
        <w:rPr>
          <w:rFonts w:cstheme="minorHAnsi"/>
          <w:b/>
          <w:sz w:val="20"/>
          <w:szCs w:val="20"/>
        </w:rPr>
        <w:t xml:space="preserve"> PRADO</w:t>
      </w:r>
    </w:p>
    <w:p w14:paraId="04FFF17A" w14:textId="30E5DC2F"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Mercado e Inovação</w:t>
      </w:r>
    </w:p>
    <w:p w14:paraId="5BCEB766" w14:textId="245EB007" w:rsidR="004C7804" w:rsidRDefault="004C7804" w:rsidP="00D92393">
      <w:pPr>
        <w:tabs>
          <w:tab w:val="left" w:pos="5245"/>
          <w:tab w:val="left" w:pos="5387"/>
        </w:tabs>
        <w:spacing w:after="0"/>
        <w:ind w:right="57"/>
        <w:jc w:val="center"/>
        <w:rPr>
          <w:rFonts w:cstheme="minorHAnsi"/>
          <w:bCs/>
          <w:sz w:val="20"/>
          <w:szCs w:val="20"/>
        </w:rPr>
      </w:pPr>
    </w:p>
    <w:p w14:paraId="2F006EDE" w14:textId="77777777" w:rsidR="00ED770D" w:rsidRDefault="00ED770D" w:rsidP="00D92393">
      <w:pPr>
        <w:tabs>
          <w:tab w:val="left" w:pos="5245"/>
          <w:tab w:val="left" w:pos="5387"/>
        </w:tabs>
        <w:spacing w:after="0"/>
        <w:ind w:right="57"/>
        <w:jc w:val="center"/>
        <w:rPr>
          <w:rFonts w:cstheme="minorHAnsi"/>
          <w:bCs/>
          <w:sz w:val="20"/>
          <w:szCs w:val="20"/>
        </w:rPr>
      </w:pPr>
    </w:p>
    <w:p w14:paraId="3EA9FF8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8247BD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734B4E9B" w14:textId="0498E20B"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CRISTIANO DELLA GIUSTINA</w:t>
      </w:r>
    </w:p>
    <w:p w14:paraId="75440A24" w14:textId="5D8C8807"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Planejamento</w:t>
      </w:r>
    </w:p>
    <w:p w14:paraId="6BA1C5DD"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1ABBF54C" w14:textId="77777777" w:rsidR="00ED770D" w:rsidRDefault="00ED770D" w:rsidP="00D92393">
      <w:pPr>
        <w:tabs>
          <w:tab w:val="left" w:pos="5245"/>
          <w:tab w:val="left" w:pos="5387"/>
        </w:tabs>
        <w:spacing w:after="0"/>
        <w:ind w:right="57"/>
        <w:jc w:val="center"/>
        <w:rPr>
          <w:rFonts w:cstheme="minorHAnsi"/>
          <w:bCs/>
          <w:sz w:val="20"/>
          <w:szCs w:val="20"/>
        </w:rPr>
      </w:pPr>
    </w:p>
    <w:p w14:paraId="37BE1AA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56C8DFC8"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2BAD3190" w14:textId="3E72958F"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ANDREIA ALVES PIMENT</w:t>
      </w:r>
      <w:r w:rsidR="002F4D01" w:rsidRPr="007951F8">
        <w:rPr>
          <w:rFonts w:cstheme="minorHAnsi"/>
          <w:b/>
          <w:sz w:val="20"/>
          <w:szCs w:val="20"/>
        </w:rPr>
        <w:t>A</w:t>
      </w:r>
    </w:p>
    <w:p w14:paraId="3BFD407B" w14:textId="76B9C021"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Contadora</w:t>
      </w:r>
    </w:p>
    <w:p w14:paraId="19B81D06" w14:textId="77777777" w:rsidR="00373487"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CRC - SC 034016/O-7 T-PR</w:t>
      </w:r>
    </w:p>
    <w:p w14:paraId="34E9E288" w14:textId="77777777" w:rsidR="00373487" w:rsidRDefault="00373487" w:rsidP="00D92393">
      <w:pPr>
        <w:tabs>
          <w:tab w:val="left" w:pos="5245"/>
          <w:tab w:val="left" w:pos="5387"/>
        </w:tabs>
        <w:spacing w:after="0"/>
        <w:ind w:right="57"/>
        <w:jc w:val="center"/>
        <w:rPr>
          <w:rFonts w:cstheme="minorHAnsi"/>
          <w:bCs/>
          <w:sz w:val="20"/>
          <w:szCs w:val="20"/>
        </w:rPr>
      </w:pPr>
    </w:p>
    <w:p w14:paraId="3B475979" w14:textId="77777777" w:rsidR="00373487" w:rsidRDefault="00373487" w:rsidP="00D92393">
      <w:pPr>
        <w:tabs>
          <w:tab w:val="left" w:pos="5245"/>
          <w:tab w:val="left" w:pos="5387"/>
        </w:tabs>
        <w:spacing w:after="0"/>
        <w:ind w:right="57"/>
        <w:jc w:val="center"/>
        <w:rPr>
          <w:rFonts w:cstheme="minorHAnsi"/>
          <w:bCs/>
          <w:sz w:val="20"/>
          <w:szCs w:val="20"/>
        </w:rPr>
      </w:pPr>
    </w:p>
    <w:p w14:paraId="2B298DA6" w14:textId="77777777" w:rsidR="00373487" w:rsidRDefault="00373487" w:rsidP="00D92393">
      <w:pPr>
        <w:tabs>
          <w:tab w:val="left" w:pos="5245"/>
          <w:tab w:val="left" w:pos="5387"/>
        </w:tabs>
        <w:spacing w:after="0"/>
        <w:ind w:right="57"/>
        <w:jc w:val="center"/>
        <w:rPr>
          <w:rFonts w:cstheme="minorHAnsi"/>
          <w:bCs/>
          <w:sz w:val="20"/>
          <w:szCs w:val="20"/>
        </w:rPr>
      </w:pPr>
    </w:p>
    <w:p w14:paraId="52138708" w14:textId="77777777" w:rsidR="00373487" w:rsidRDefault="00373487" w:rsidP="00D92393">
      <w:pPr>
        <w:tabs>
          <w:tab w:val="left" w:pos="5245"/>
          <w:tab w:val="left" w:pos="5387"/>
        </w:tabs>
        <w:spacing w:after="0"/>
        <w:ind w:right="57"/>
        <w:jc w:val="center"/>
        <w:rPr>
          <w:rFonts w:cstheme="minorHAnsi"/>
          <w:bCs/>
          <w:sz w:val="20"/>
          <w:szCs w:val="20"/>
        </w:rPr>
      </w:pPr>
    </w:p>
    <w:p w14:paraId="1A004C94" w14:textId="77777777" w:rsidR="00373487" w:rsidRDefault="00373487" w:rsidP="00D92393">
      <w:pPr>
        <w:tabs>
          <w:tab w:val="left" w:pos="5245"/>
          <w:tab w:val="left" w:pos="5387"/>
        </w:tabs>
        <w:spacing w:after="0"/>
        <w:ind w:right="57"/>
        <w:jc w:val="center"/>
        <w:rPr>
          <w:rFonts w:cstheme="minorHAnsi"/>
          <w:bCs/>
          <w:sz w:val="20"/>
          <w:szCs w:val="20"/>
        </w:rPr>
      </w:pPr>
    </w:p>
    <w:p w14:paraId="7CE6A984" w14:textId="77777777" w:rsidR="00373487" w:rsidRDefault="00373487" w:rsidP="00D92393">
      <w:pPr>
        <w:tabs>
          <w:tab w:val="left" w:pos="5245"/>
          <w:tab w:val="left" w:pos="5387"/>
        </w:tabs>
        <w:spacing w:after="0"/>
        <w:ind w:right="57"/>
        <w:jc w:val="center"/>
        <w:rPr>
          <w:rFonts w:cstheme="minorHAnsi"/>
          <w:bCs/>
          <w:sz w:val="20"/>
          <w:szCs w:val="20"/>
        </w:rPr>
      </w:pPr>
    </w:p>
    <w:p w14:paraId="468B2947" w14:textId="6F5ED2BE" w:rsidR="00373487" w:rsidRDefault="00373487" w:rsidP="00373487">
      <w:pPr>
        <w:pStyle w:val="Ttulo1"/>
      </w:pPr>
      <w:bookmarkStart w:id="116" w:name="_Toc184926714"/>
      <w:r>
        <w:t>Anexo I</w:t>
      </w:r>
      <w:bookmarkEnd w:id="116"/>
      <w:r>
        <w:t xml:space="preserve"> </w:t>
      </w:r>
    </w:p>
    <w:p w14:paraId="776D252D" w14:textId="77777777" w:rsidR="00907278" w:rsidRDefault="00907278" w:rsidP="00907278">
      <w:r w:rsidRPr="00907278">
        <w:t>Apresentam-se abaixo as reclassificações realizadas</w:t>
      </w:r>
      <w:r>
        <w:t xml:space="preserve"> nas Demonstrações Financeiras do 1º trimestre de 2023</w:t>
      </w:r>
      <w:r w:rsidRPr="00907278">
        <w:t>:</w:t>
      </w:r>
    </w:p>
    <w:p w14:paraId="44AFB914" w14:textId="574C0098" w:rsidR="00CE52FD" w:rsidRDefault="00A02D1B" w:rsidP="001C64FD">
      <w:pPr>
        <w:pStyle w:val="Ttulo2"/>
      </w:pPr>
      <w:bookmarkStart w:id="117" w:name="_Toc184926715"/>
      <w:r>
        <w:t xml:space="preserve">Demonstração </w:t>
      </w:r>
      <w:r w:rsidR="00CE52FD" w:rsidRPr="00CE52FD">
        <w:t>do Resultado do Exercício</w:t>
      </w:r>
      <w:bookmarkEnd w:id="117"/>
    </w:p>
    <w:tbl>
      <w:tblPr>
        <w:tblW w:w="5000" w:type="pct"/>
        <w:tblCellMar>
          <w:left w:w="70" w:type="dxa"/>
          <w:right w:w="70" w:type="dxa"/>
        </w:tblCellMar>
        <w:tblLook w:val="04A0" w:firstRow="1" w:lastRow="0" w:firstColumn="1" w:lastColumn="0" w:noHBand="0" w:noVBand="1"/>
      </w:tblPr>
      <w:tblGrid>
        <w:gridCol w:w="6230"/>
        <w:gridCol w:w="1359"/>
        <w:gridCol w:w="1519"/>
        <w:gridCol w:w="1359"/>
      </w:tblGrid>
      <w:tr w:rsidR="003B1D7B" w:rsidRPr="003B1D7B" w14:paraId="1BDDCB62" w14:textId="77777777" w:rsidTr="005A30A6">
        <w:trPr>
          <w:trHeight w:hRule="exact" w:val="526"/>
        </w:trPr>
        <w:tc>
          <w:tcPr>
            <w:tcW w:w="5196" w:type="dxa"/>
            <w:tcBorders>
              <w:top w:val="nil"/>
              <w:left w:val="nil"/>
              <w:bottom w:val="single" w:sz="4" w:space="0" w:color="156082"/>
              <w:right w:val="nil"/>
            </w:tcBorders>
            <w:shd w:val="clear" w:color="auto" w:fill="auto"/>
            <w:noWrap/>
            <w:vAlign w:val="center"/>
            <w:hideMark/>
          </w:tcPr>
          <w:p w14:paraId="383A71DC"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DEMONSTRAÇÃO DO RESULTADO DO EXERCÍCIO</w:t>
            </w:r>
          </w:p>
        </w:tc>
        <w:tc>
          <w:tcPr>
            <w:tcW w:w="1134" w:type="dxa"/>
            <w:tcBorders>
              <w:top w:val="nil"/>
              <w:left w:val="nil"/>
              <w:bottom w:val="single" w:sz="4" w:space="0" w:color="156082"/>
              <w:right w:val="nil"/>
            </w:tcBorders>
            <w:shd w:val="clear" w:color="auto" w:fill="auto"/>
            <w:vAlign w:val="center"/>
            <w:hideMark/>
          </w:tcPr>
          <w:p w14:paraId="7A2DD99C" w14:textId="77777777" w:rsid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1º Trimestre 2023 </w:t>
            </w:r>
          </w:p>
          <w:p w14:paraId="352EDE03" w14:textId="7F730258"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publicado</w:t>
            </w:r>
          </w:p>
        </w:tc>
        <w:tc>
          <w:tcPr>
            <w:tcW w:w="1134" w:type="dxa"/>
            <w:tcBorders>
              <w:top w:val="nil"/>
              <w:left w:val="nil"/>
              <w:bottom w:val="single" w:sz="4" w:space="0" w:color="156082"/>
              <w:right w:val="nil"/>
            </w:tcBorders>
            <w:shd w:val="clear" w:color="auto" w:fill="auto"/>
            <w:vAlign w:val="center"/>
            <w:hideMark/>
          </w:tcPr>
          <w:p w14:paraId="6207F1CE" w14:textId="77777777"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Reclassificações</w:t>
            </w:r>
          </w:p>
        </w:tc>
        <w:tc>
          <w:tcPr>
            <w:tcW w:w="1134" w:type="dxa"/>
            <w:tcBorders>
              <w:top w:val="nil"/>
              <w:left w:val="nil"/>
              <w:bottom w:val="single" w:sz="4" w:space="0" w:color="156082"/>
              <w:right w:val="nil"/>
            </w:tcBorders>
            <w:shd w:val="clear" w:color="auto" w:fill="auto"/>
            <w:vAlign w:val="center"/>
            <w:hideMark/>
          </w:tcPr>
          <w:p w14:paraId="09D43B67" w14:textId="77777777" w:rsid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1º Trimestre 2023 </w:t>
            </w:r>
          </w:p>
          <w:p w14:paraId="65D44812" w14:textId="4C022863"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ajustado </w:t>
            </w:r>
          </w:p>
        </w:tc>
      </w:tr>
      <w:tr w:rsidR="003B1D7B" w:rsidRPr="003B1D7B" w14:paraId="07A36B1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6D03735"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Receita Bruta</w:t>
            </w:r>
          </w:p>
        </w:tc>
        <w:tc>
          <w:tcPr>
            <w:tcW w:w="1134" w:type="dxa"/>
            <w:tcBorders>
              <w:top w:val="nil"/>
              <w:left w:val="nil"/>
              <w:bottom w:val="nil"/>
              <w:right w:val="nil"/>
            </w:tcBorders>
            <w:shd w:val="clear" w:color="auto" w:fill="auto"/>
            <w:noWrap/>
            <w:vAlign w:val="center"/>
            <w:hideMark/>
          </w:tcPr>
          <w:p w14:paraId="1CE2C678" w14:textId="61371B96"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42E4B7BE" w14:textId="7247126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(1.606.504)</w:t>
            </w:r>
          </w:p>
        </w:tc>
        <w:tc>
          <w:tcPr>
            <w:tcW w:w="1134" w:type="dxa"/>
            <w:tcBorders>
              <w:top w:val="nil"/>
              <w:left w:val="nil"/>
              <w:bottom w:val="nil"/>
              <w:right w:val="nil"/>
            </w:tcBorders>
            <w:shd w:val="clear" w:color="auto" w:fill="auto"/>
            <w:noWrap/>
            <w:vAlign w:val="center"/>
            <w:hideMark/>
          </w:tcPr>
          <w:p w14:paraId="5B69DF2B" w14:textId="114CED51"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1.606.504 </w:t>
            </w:r>
          </w:p>
        </w:tc>
      </w:tr>
      <w:tr w:rsidR="003B1D7B" w:rsidRPr="003B1D7B" w14:paraId="2FF61682"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34FE523"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Receita de Exploração da Ferrovia</w:t>
            </w:r>
          </w:p>
        </w:tc>
        <w:tc>
          <w:tcPr>
            <w:tcW w:w="1134" w:type="dxa"/>
            <w:tcBorders>
              <w:top w:val="nil"/>
              <w:left w:val="nil"/>
              <w:bottom w:val="nil"/>
              <w:right w:val="nil"/>
            </w:tcBorders>
            <w:shd w:val="clear" w:color="auto" w:fill="auto"/>
            <w:noWrap/>
            <w:vAlign w:val="center"/>
            <w:hideMark/>
          </w:tcPr>
          <w:p w14:paraId="4B1647C1" w14:textId="6216AAB1" w:rsidR="003B1D7B" w:rsidRPr="003B1D7B" w:rsidRDefault="003B1D7B" w:rsidP="005A30A6">
            <w:pPr>
              <w:spacing w:after="0" w:line="240" w:lineRule="auto"/>
              <w:jc w:val="right"/>
              <w:rPr>
                <w:rFonts w:ascii="Aptos Narrow" w:eastAsia="Times New Roman" w:hAnsi="Aptos Narrow" w:cs="Calibri"/>
                <w:sz w:val="16"/>
                <w:szCs w:val="16"/>
              </w:rPr>
            </w:pPr>
            <w:bookmarkStart w:id="118" w:name="_Toc139478536"/>
            <w:bookmarkStart w:id="119" w:name="_Toc139471051"/>
            <w:bookmarkStart w:id="120" w:name="_Toc139470965"/>
            <w:bookmarkStart w:id="121" w:name="_Toc139279270"/>
            <w:r w:rsidRPr="003B1D7B">
              <w:rPr>
                <w:rFonts w:ascii="Aptos Narrow" w:eastAsia="Times New Roman" w:hAnsi="Aptos Narrow" w:cs="Calibri"/>
                <w:sz w:val="16"/>
                <w:szCs w:val="16"/>
              </w:rPr>
              <w:t xml:space="preserve"> 5.190 </w:t>
            </w:r>
            <w:bookmarkEnd w:id="118"/>
            <w:bookmarkEnd w:id="119"/>
            <w:bookmarkEnd w:id="120"/>
            <w:bookmarkEnd w:id="121"/>
          </w:p>
        </w:tc>
        <w:tc>
          <w:tcPr>
            <w:tcW w:w="1134" w:type="dxa"/>
            <w:tcBorders>
              <w:top w:val="nil"/>
              <w:left w:val="nil"/>
              <w:bottom w:val="nil"/>
              <w:right w:val="nil"/>
            </w:tcBorders>
            <w:shd w:val="clear" w:color="auto" w:fill="auto"/>
            <w:noWrap/>
            <w:vAlign w:val="center"/>
            <w:hideMark/>
          </w:tcPr>
          <w:p w14:paraId="30CBA15D" w14:textId="7E19C7EC"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5.190 </w:t>
            </w:r>
          </w:p>
        </w:tc>
        <w:tc>
          <w:tcPr>
            <w:tcW w:w="1134" w:type="dxa"/>
            <w:tcBorders>
              <w:top w:val="nil"/>
              <w:left w:val="nil"/>
              <w:bottom w:val="nil"/>
              <w:right w:val="nil"/>
            </w:tcBorders>
            <w:shd w:val="clear" w:color="auto" w:fill="auto"/>
            <w:noWrap/>
            <w:vAlign w:val="center"/>
            <w:hideMark/>
          </w:tcPr>
          <w:p w14:paraId="0EFA35FE" w14:textId="2574305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r>
      <w:tr w:rsidR="003B1D7B" w:rsidRPr="003B1D7B" w14:paraId="70C762A8" w14:textId="77777777" w:rsidTr="005A30A6">
        <w:trPr>
          <w:trHeight w:hRule="exact" w:val="227"/>
        </w:trPr>
        <w:tc>
          <w:tcPr>
            <w:tcW w:w="5196" w:type="dxa"/>
            <w:tcBorders>
              <w:top w:val="nil"/>
              <w:left w:val="nil"/>
              <w:bottom w:val="nil"/>
              <w:right w:val="nil"/>
            </w:tcBorders>
            <w:shd w:val="clear" w:color="auto" w:fill="auto"/>
            <w:noWrap/>
            <w:vAlign w:val="center"/>
            <w:hideMark/>
          </w:tcPr>
          <w:p w14:paraId="0ECA4CC6"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Receita com Subconcessão FIOL</w:t>
            </w:r>
          </w:p>
        </w:tc>
        <w:tc>
          <w:tcPr>
            <w:tcW w:w="1134" w:type="dxa"/>
            <w:tcBorders>
              <w:top w:val="nil"/>
              <w:left w:val="nil"/>
              <w:bottom w:val="nil"/>
              <w:right w:val="nil"/>
            </w:tcBorders>
            <w:shd w:val="clear" w:color="auto" w:fill="auto"/>
            <w:noWrap/>
            <w:vAlign w:val="center"/>
            <w:hideMark/>
          </w:tcPr>
          <w:p w14:paraId="01F00FB7" w14:textId="2B80F0C1" w:rsidR="003B1D7B" w:rsidRPr="003B1D7B" w:rsidRDefault="003B1D7B" w:rsidP="005A30A6">
            <w:pPr>
              <w:spacing w:after="0" w:line="240" w:lineRule="auto"/>
              <w:jc w:val="right"/>
              <w:rPr>
                <w:rFonts w:ascii="Aptos Narrow" w:eastAsia="Times New Roman" w:hAnsi="Aptos Narrow" w:cs="Calibri"/>
                <w:sz w:val="16"/>
                <w:szCs w:val="16"/>
              </w:rPr>
            </w:pPr>
            <w:bookmarkStart w:id="122" w:name="_Toc139478539"/>
            <w:bookmarkStart w:id="123" w:name="_Toc139471054"/>
            <w:bookmarkStart w:id="124" w:name="_Toc139470968"/>
            <w:bookmarkStart w:id="125" w:name="_Toc139279273"/>
            <w:bookmarkStart w:id="126" w:name="RANGE!E61"/>
            <w:r w:rsidRPr="003B1D7B">
              <w:rPr>
                <w:rFonts w:ascii="Aptos Narrow" w:eastAsia="Times New Roman" w:hAnsi="Aptos Narrow" w:cs="Calibri"/>
                <w:sz w:val="16"/>
                <w:szCs w:val="16"/>
              </w:rPr>
              <w:t xml:space="preserve"> 545.500 </w:t>
            </w:r>
            <w:bookmarkEnd w:id="122"/>
            <w:bookmarkEnd w:id="123"/>
            <w:bookmarkEnd w:id="124"/>
            <w:bookmarkEnd w:id="125"/>
            <w:bookmarkEnd w:id="126"/>
          </w:p>
        </w:tc>
        <w:tc>
          <w:tcPr>
            <w:tcW w:w="1134" w:type="dxa"/>
            <w:tcBorders>
              <w:top w:val="nil"/>
              <w:left w:val="nil"/>
              <w:bottom w:val="nil"/>
              <w:right w:val="nil"/>
            </w:tcBorders>
            <w:shd w:val="clear" w:color="auto" w:fill="auto"/>
            <w:noWrap/>
            <w:vAlign w:val="center"/>
            <w:hideMark/>
          </w:tcPr>
          <w:p w14:paraId="71979367" w14:textId="5DC1CE6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545.500 </w:t>
            </w:r>
          </w:p>
        </w:tc>
        <w:tc>
          <w:tcPr>
            <w:tcW w:w="1134" w:type="dxa"/>
            <w:tcBorders>
              <w:top w:val="nil"/>
              <w:left w:val="nil"/>
              <w:bottom w:val="nil"/>
              <w:right w:val="nil"/>
            </w:tcBorders>
            <w:shd w:val="clear" w:color="auto" w:fill="auto"/>
            <w:noWrap/>
            <w:vAlign w:val="center"/>
            <w:hideMark/>
          </w:tcPr>
          <w:p w14:paraId="5EFED1E7" w14:textId="53C0D880"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r>
      <w:tr w:rsidR="003B1D7B" w:rsidRPr="003B1D7B" w14:paraId="0D3DC360"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C20BBC5"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Permissão para uso de pátios</w:t>
            </w:r>
          </w:p>
        </w:tc>
        <w:tc>
          <w:tcPr>
            <w:tcW w:w="1134" w:type="dxa"/>
            <w:tcBorders>
              <w:top w:val="nil"/>
              <w:left w:val="nil"/>
              <w:bottom w:val="nil"/>
              <w:right w:val="nil"/>
            </w:tcBorders>
            <w:shd w:val="clear" w:color="auto" w:fill="auto"/>
            <w:noWrap/>
            <w:vAlign w:val="center"/>
            <w:hideMark/>
          </w:tcPr>
          <w:p w14:paraId="7ED04E67" w14:textId="1A6745C9" w:rsidR="003B1D7B" w:rsidRPr="003B1D7B" w:rsidRDefault="003B1D7B" w:rsidP="005A30A6">
            <w:pPr>
              <w:spacing w:after="0" w:line="240" w:lineRule="auto"/>
              <w:jc w:val="right"/>
              <w:rPr>
                <w:rFonts w:ascii="Aptos Narrow" w:eastAsia="Times New Roman" w:hAnsi="Aptos Narrow" w:cs="Calibri"/>
                <w:sz w:val="16"/>
                <w:szCs w:val="16"/>
              </w:rPr>
            </w:pPr>
            <w:bookmarkStart w:id="127" w:name="_Toc139478542"/>
            <w:bookmarkStart w:id="128" w:name="_Toc139471057"/>
            <w:bookmarkStart w:id="129" w:name="_Toc139470971"/>
            <w:bookmarkStart w:id="130" w:name="_Toc139279276"/>
            <w:bookmarkStart w:id="131" w:name="RANGE!E62"/>
            <w:r w:rsidRPr="003B1D7B">
              <w:rPr>
                <w:rFonts w:ascii="Aptos Narrow" w:eastAsia="Times New Roman" w:hAnsi="Aptos Narrow" w:cs="Calibri"/>
                <w:sz w:val="16"/>
                <w:szCs w:val="16"/>
              </w:rPr>
              <w:t xml:space="preserve">1.055.814 </w:t>
            </w:r>
            <w:bookmarkEnd w:id="127"/>
            <w:bookmarkEnd w:id="128"/>
            <w:bookmarkEnd w:id="129"/>
            <w:bookmarkEnd w:id="130"/>
            <w:bookmarkEnd w:id="131"/>
          </w:p>
        </w:tc>
        <w:tc>
          <w:tcPr>
            <w:tcW w:w="1134" w:type="dxa"/>
            <w:tcBorders>
              <w:top w:val="nil"/>
              <w:left w:val="nil"/>
              <w:bottom w:val="nil"/>
              <w:right w:val="nil"/>
            </w:tcBorders>
            <w:shd w:val="clear" w:color="auto" w:fill="auto"/>
            <w:noWrap/>
            <w:vAlign w:val="center"/>
            <w:hideMark/>
          </w:tcPr>
          <w:p w14:paraId="185CBD75" w14:textId="6576E7D1"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1.055.814 </w:t>
            </w:r>
          </w:p>
        </w:tc>
        <w:tc>
          <w:tcPr>
            <w:tcW w:w="1134" w:type="dxa"/>
            <w:tcBorders>
              <w:top w:val="nil"/>
              <w:left w:val="nil"/>
              <w:bottom w:val="nil"/>
              <w:right w:val="nil"/>
            </w:tcBorders>
            <w:shd w:val="clear" w:color="auto" w:fill="auto"/>
            <w:noWrap/>
            <w:vAlign w:val="center"/>
            <w:hideMark/>
          </w:tcPr>
          <w:p w14:paraId="38DCE4AE" w14:textId="568448AD"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r>
      <w:tr w:rsidR="003B1D7B" w:rsidRPr="003B1D7B" w14:paraId="4188341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157CFD63"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 Deduções</w:t>
            </w:r>
          </w:p>
        </w:tc>
        <w:tc>
          <w:tcPr>
            <w:tcW w:w="1134" w:type="dxa"/>
            <w:tcBorders>
              <w:top w:val="nil"/>
              <w:left w:val="nil"/>
              <w:bottom w:val="nil"/>
              <w:right w:val="nil"/>
            </w:tcBorders>
            <w:shd w:val="clear" w:color="auto" w:fill="auto"/>
            <w:noWrap/>
            <w:vAlign w:val="center"/>
            <w:hideMark/>
          </w:tcPr>
          <w:p w14:paraId="77118BB0" w14:textId="57F04E9F" w:rsidR="003B1D7B" w:rsidRPr="003B1D7B" w:rsidRDefault="003B1D7B" w:rsidP="005A30A6">
            <w:pPr>
              <w:spacing w:after="0" w:line="240" w:lineRule="auto"/>
              <w:jc w:val="right"/>
              <w:rPr>
                <w:rFonts w:ascii="Aptos Narrow" w:eastAsia="Times New Roman" w:hAnsi="Aptos Narrow" w:cs="Calibri"/>
                <w:sz w:val="16"/>
                <w:szCs w:val="16"/>
              </w:rPr>
            </w:pPr>
            <w:bookmarkStart w:id="132" w:name="_Toc139478545"/>
            <w:bookmarkStart w:id="133" w:name="_Toc139471060"/>
            <w:bookmarkStart w:id="134" w:name="_Toc139470974"/>
            <w:bookmarkStart w:id="135" w:name="_Toc139279279"/>
            <w:bookmarkStart w:id="136" w:name="RANGE!E63"/>
            <w:r w:rsidRPr="003B1D7B">
              <w:rPr>
                <w:rFonts w:ascii="Aptos Narrow" w:eastAsia="Times New Roman" w:hAnsi="Aptos Narrow" w:cs="Calibri"/>
                <w:sz w:val="16"/>
                <w:szCs w:val="16"/>
              </w:rPr>
              <w:t xml:space="preserve"> (163.152)</w:t>
            </w:r>
            <w:bookmarkEnd w:id="132"/>
            <w:bookmarkEnd w:id="133"/>
            <w:bookmarkEnd w:id="134"/>
            <w:bookmarkEnd w:id="135"/>
            <w:bookmarkEnd w:id="136"/>
          </w:p>
        </w:tc>
        <w:tc>
          <w:tcPr>
            <w:tcW w:w="1134" w:type="dxa"/>
            <w:tcBorders>
              <w:top w:val="nil"/>
              <w:left w:val="nil"/>
              <w:bottom w:val="nil"/>
              <w:right w:val="nil"/>
            </w:tcBorders>
            <w:shd w:val="clear" w:color="auto" w:fill="auto"/>
            <w:noWrap/>
            <w:vAlign w:val="center"/>
            <w:hideMark/>
          </w:tcPr>
          <w:p w14:paraId="7728DF23" w14:textId="2AE3069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760539D2" w14:textId="4E7305EB"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(163.152)</w:t>
            </w:r>
          </w:p>
        </w:tc>
      </w:tr>
      <w:tr w:rsidR="003B1D7B" w:rsidRPr="003B1D7B" w14:paraId="5D4271CA"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1430124"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RECEITA LÍQUIDA</w:t>
            </w:r>
          </w:p>
        </w:tc>
        <w:tc>
          <w:tcPr>
            <w:tcW w:w="1134" w:type="dxa"/>
            <w:tcBorders>
              <w:top w:val="nil"/>
              <w:left w:val="nil"/>
              <w:bottom w:val="nil"/>
              <w:right w:val="nil"/>
            </w:tcBorders>
            <w:shd w:val="clear" w:color="auto" w:fill="auto"/>
            <w:noWrap/>
            <w:vAlign w:val="center"/>
            <w:hideMark/>
          </w:tcPr>
          <w:p w14:paraId="228F910E" w14:textId="19A1848A"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1.443.352 </w:t>
            </w:r>
          </w:p>
        </w:tc>
        <w:tc>
          <w:tcPr>
            <w:tcW w:w="1134" w:type="dxa"/>
            <w:tcBorders>
              <w:top w:val="nil"/>
              <w:left w:val="nil"/>
              <w:bottom w:val="nil"/>
              <w:right w:val="nil"/>
            </w:tcBorders>
            <w:shd w:val="clear" w:color="auto" w:fill="auto"/>
            <w:noWrap/>
            <w:vAlign w:val="center"/>
            <w:hideMark/>
          </w:tcPr>
          <w:p w14:paraId="78BC8ACB"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74257D3D" w14:textId="761C7369"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1.443.352 </w:t>
            </w:r>
          </w:p>
        </w:tc>
      </w:tr>
      <w:tr w:rsidR="003B1D7B" w:rsidRPr="003B1D7B" w14:paraId="39A2A9C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59142A1F"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 Custo do Serviço Prestado</w:t>
            </w:r>
          </w:p>
        </w:tc>
        <w:tc>
          <w:tcPr>
            <w:tcW w:w="1134" w:type="dxa"/>
            <w:tcBorders>
              <w:top w:val="nil"/>
              <w:left w:val="nil"/>
              <w:bottom w:val="nil"/>
              <w:right w:val="nil"/>
            </w:tcBorders>
            <w:shd w:val="clear" w:color="auto" w:fill="auto"/>
            <w:noWrap/>
            <w:vAlign w:val="center"/>
            <w:hideMark/>
          </w:tcPr>
          <w:p w14:paraId="75A0DBFF" w14:textId="02227F2B"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3724C5B1" w14:textId="642C0E7F"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18C0DB1D" w14:textId="0E0B5917"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r>
      <w:tr w:rsidR="003B1D7B" w:rsidRPr="003B1D7B" w14:paraId="78772759" w14:textId="77777777" w:rsidTr="005A30A6">
        <w:trPr>
          <w:trHeight w:hRule="exact" w:val="227"/>
        </w:trPr>
        <w:tc>
          <w:tcPr>
            <w:tcW w:w="5196" w:type="dxa"/>
            <w:tcBorders>
              <w:top w:val="nil"/>
              <w:left w:val="nil"/>
              <w:bottom w:val="nil"/>
              <w:right w:val="nil"/>
            </w:tcBorders>
            <w:shd w:val="clear" w:color="auto" w:fill="auto"/>
            <w:noWrap/>
            <w:vAlign w:val="center"/>
            <w:hideMark/>
          </w:tcPr>
          <w:p w14:paraId="3057DA49"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BRUTO</w:t>
            </w:r>
          </w:p>
        </w:tc>
        <w:tc>
          <w:tcPr>
            <w:tcW w:w="1134" w:type="dxa"/>
            <w:tcBorders>
              <w:top w:val="nil"/>
              <w:left w:val="nil"/>
              <w:bottom w:val="nil"/>
              <w:right w:val="nil"/>
            </w:tcBorders>
            <w:shd w:val="clear" w:color="auto" w:fill="auto"/>
            <w:noWrap/>
            <w:vAlign w:val="center"/>
            <w:hideMark/>
          </w:tcPr>
          <w:p w14:paraId="355DF5B1" w14:textId="5204A023"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1.443.352 </w:t>
            </w:r>
          </w:p>
        </w:tc>
        <w:tc>
          <w:tcPr>
            <w:tcW w:w="1134" w:type="dxa"/>
            <w:tcBorders>
              <w:top w:val="nil"/>
              <w:left w:val="nil"/>
              <w:bottom w:val="nil"/>
              <w:right w:val="nil"/>
            </w:tcBorders>
            <w:shd w:val="clear" w:color="auto" w:fill="auto"/>
            <w:noWrap/>
            <w:vAlign w:val="center"/>
            <w:hideMark/>
          </w:tcPr>
          <w:p w14:paraId="70A7529A"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5E18CCD6" w14:textId="34BC8E06"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1.443.352 </w:t>
            </w:r>
          </w:p>
        </w:tc>
      </w:tr>
      <w:tr w:rsidR="003B1D7B" w:rsidRPr="003B1D7B" w14:paraId="395CEDB0" w14:textId="77777777" w:rsidTr="005A30A6">
        <w:trPr>
          <w:trHeight w:hRule="exact" w:val="227"/>
        </w:trPr>
        <w:tc>
          <w:tcPr>
            <w:tcW w:w="5196" w:type="dxa"/>
            <w:tcBorders>
              <w:top w:val="nil"/>
              <w:left w:val="nil"/>
              <w:bottom w:val="nil"/>
              <w:right w:val="nil"/>
            </w:tcBorders>
            <w:shd w:val="clear" w:color="auto" w:fill="auto"/>
            <w:noWrap/>
            <w:vAlign w:val="center"/>
            <w:hideMark/>
          </w:tcPr>
          <w:p w14:paraId="0E2D79F8"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DESPESAS OPERACIONAIS</w:t>
            </w:r>
          </w:p>
        </w:tc>
        <w:tc>
          <w:tcPr>
            <w:tcW w:w="1134" w:type="dxa"/>
            <w:tcBorders>
              <w:top w:val="nil"/>
              <w:left w:val="nil"/>
              <w:bottom w:val="nil"/>
              <w:right w:val="nil"/>
            </w:tcBorders>
            <w:shd w:val="clear" w:color="auto" w:fill="auto"/>
            <w:noWrap/>
            <w:vAlign w:val="center"/>
            <w:hideMark/>
          </w:tcPr>
          <w:p w14:paraId="01ACE3A8" w14:textId="5BE789DA"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(49.478.857)</w:t>
            </w:r>
          </w:p>
        </w:tc>
        <w:tc>
          <w:tcPr>
            <w:tcW w:w="1134" w:type="dxa"/>
            <w:tcBorders>
              <w:top w:val="nil"/>
              <w:left w:val="nil"/>
              <w:bottom w:val="nil"/>
              <w:right w:val="nil"/>
            </w:tcBorders>
            <w:shd w:val="clear" w:color="auto" w:fill="auto"/>
            <w:noWrap/>
            <w:vAlign w:val="center"/>
            <w:hideMark/>
          </w:tcPr>
          <w:p w14:paraId="60A65F39"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699FFA94" w14:textId="0161FD6E"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(49.478.857)</w:t>
            </w:r>
          </w:p>
        </w:tc>
      </w:tr>
      <w:tr w:rsidR="003B1D7B" w:rsidRPr="003B1D7B" w14:paraId="3587486E" w14:textId="77777777" w:rsidTr="005A30A6">
        <w:trPr>
          <w:trHeight w:hRule="exact" w:val="227"/>
        </w:trPr>
        <w:tc>
          <w:tcPr>
            <w:tcW w:w="5196" w:type="dxa"/>
            <w:tcBorders>
              <w:top w:val="nil"/>
              <w:left w:val="nil"/>
              <w:bottom w:val="nil"/>
              <w:right w:val="nil"/>
            </w:tcBorders>
            <w:shd w:val="clear" w:color="auto" w:fill="auto"/>
            <w:noWrap/>
            <w:vAlign w:val="center"/>
            <w:hideMark/>
          </w:tcPr>
          <w:p w14:paraId="3D173E52"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Pessoal</w:t>
            </w:r>
          </w:p>
        </w:tc>
        <w:tc>
          <w:tcPr>
            <w:tcW w:w="1134" w:type="dxa"/>
            <w:tcBorders>
              <w:top w:val="nil"/>
              <w:left w:val="nil"/>
              <w:bottom w:val="nil"/>
              <w:right w:val="nil"/>
            </w:tcBorders>
            <w:shd w:val="clear" w:color="auto" w:fill="auto"/>
            <w:noWrap/>
            <w:vAlign w:val="center"/>
            <w:hideMark/>
          </w:tcPr>
          <w:p w14:paraId="3FBEB145" w14:textId="1C1436C6"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(41.627.019)</w:t>
            </w:r>
          </w:p>
        </w:tc>
        <w:tc>
          <w:tcPr>
            <w:tcW w:w="1134" w:type="dxa"/>
            <w:tcBorders>
              <w:top w:val="nil"/>
              <w:left w:val="nil"/>
              <w:bottom w:val="nil"/>
              <w:right w:val="nil"/>
            </w:tcBorders>
            <w:shd w:val="clear" w:color="auto" w:fill="auto"/>
            <w:noWrap/>
            <w:vAlign w:val="center"/>
            <w:hideMark/>
          </w:tcPr>
          <w:p w14:paraId="11A389F9" w14:textId="724E090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49F0CA22" w14:textId="031CC4E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(41.627.019)</w:t>
            </w:r>
          </w:p>
        </w:tc>
      </w:tr>
      <w:tr w:rsidR="003B1D7B" w:rsidRPr="003B1D7B" w14:paraId="110FDA0F"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1F261C7"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Remuneração dos Administradores e Conselho Fiscal</w:t>
            </w:r>
          </w:p>
        </w:tc>
        <w:tc>
          <w:tcPr>
            <w:tcW w:w="1134" w:type="dxa"/>
            <w:tcBorders>
              <w:top w:val="nil"/>
              <w:left w:val="nil"/>
              <w:bottom w:val="nil"/>
              <w:right w:val="nil"/>
            </w:tcBorders>
            <w:shd w:val="clear" w:color="auto" w:fill="auto"/>
            <w:noWrap/>
            <w:vAlign w:val="center"/>
            <w:hideMark/>
          </w:tcPr>
          <w:p w14:paraId="6A9DE383" w14:textId="7BE65B09"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(463.413)</w:t>
            </w:r>
          </w:p>
        </w:tc>
        <w:tc>
          <w:tcPr>
            <w:tcW w:w="1134" w:type="dxa"/>
            <w:tcBorders>
              <w:top w:val="nil"/>
              <w:left w:val="nil"/>
              <w:bottom w:val="nil"/>
              <w:right w:val="nil"/>
            </w:tcBorders>
            <w:shd w:val="clear" w:color="auto" w:fill="auto"/>
            <w:noWrap/>
            <w:vAlign w:val="center"/>
            <w:hideMark/>
          </w:tcPr>
          <w:p w14:paraId="462DF8B9" w14:textId="7CE70C10"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6CABACC4" w14:textId="106DF9AE"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(463.413)</w:t>
            </w:r>
          </w:p>
        </w:tc>
      </w:tr>
      <w:tr w:rsidR="003B1D7B" w:rsidRPr="003B1D7B" w14:paraId="464A977D"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82D38DC"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Depreciação e Amortização</w:t>
            </w:r>
          </w:p>
        </w:tc>
        <w:tc>
          <w:tcPr>
            <w:tcW w:w="1134" w:type="dxa"/>
            <w:tcBorders>
              <w:top w:val="nil"/>
              <w:left w:val="nil"/>
              <w:bottom w:val="nil"/>
              <w:right w:val="nil"/>
            </w:tcBorders>
            <w:shd w:val="clear" w:color="auto" w:fill="auto"/>
            <w:noWrap/>
            <w:vAlign w:val="center"/>
            <w:hideMark/>
          </w:tcPr>
          <w:p w14:paraId="69EB075E" w14:textId="1714B80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(2.737.548)</w:t>
            </w:r>
          </w:p>
        </w:tc>
        <w:tc>
          <w:tcPr>
            <w:tcW w:w="1134" w:type="dxa"/>
            <w:tcBorders>
              <w:top w:val="nil"/>
              <w:left w:val="nil"/>
              <w:bottom w:val="nil"/>
              <w:right w:val="nil"/>
            </w:tcBorders>
            <w:shd w:val="clear" w:color="auto" w:fill="auto"/>
            <w:noWrap/>
            <w:vAlign w:val="center"/>
            <w:hideMark/>
          </w:tcPr>
          <w:p w14:paraId="78868ADE" w14:textId="54DA6A90"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5C8A722A" w14:textId="3D0846C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(2.737.548)</w:t>
            </w:r>
          </w:p>
        </w:tc>
      </w:tr>
      <w:tr w:rsidR="003B1D7B" w:rsidRPr="003B1D7B" w14:paraId="7A3410AB" w14:textId="77777777" w:rsidTr="005A30A6">
        <w:trPr>
          <w:trHeight w:hRule="exact" w:val="227"/>
        </w:trPr>
        <w:tc>
          <w:tcPr>
            <w:tcW w:w="5196" w:type="dxa"/>
            <w:tcBorders>
              <w:top w:val="nil"/>
              <w:left w:val="nil"/>
              <w:bottom w:val="nil"/>
              <w:right w:val="nil"/>
            </w:tcBorders>
            <w:shd w:val="clear" w:color="auto" w:fill="auto"/>
            <w:noWrap/>
            <w:vAlign w:val="center"/>
            <w:hideMark/>
          </w:tcPr>
          <w:p w14:paraId="36A27545"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Gerais e Administrativas</w:t>
            </w:r>
          </w:p>
        </w:tc>
        <w:tc>
          <w:tcPr>
            <w:tcW w:w="1134" w:type="dxa"/>
            <w:tcBorders>
              <w:top w:val="nil"/>
              <w:left w:val="nil"/>
              <w:bottom w:val="nil"/>
              <w:right w:val="nil"/>
            </w:tcBorders>
            <w:shd w:val="clear" w:color="auto" w:fill="auto"/>
            <w:noWrap/>
            <w:vAlign w:val="center"/>
            <w:hideMark/>
          </w:tcPr>
          <w:p w14:paraId="1179B043" w14:textId="7DC92CCE"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(4.250.475)</w:t>
            </w:r>
          </w:p>
        </w:tc>
        <w:tc>
          <w:tcPr>
            <w:tcW w:w="1134" w:type="dxa"/>
            <w:tcBorders>
              <w:top w:val="nil"/>
              <w:left w:val="nil"/>
              <w:bottom w:val="nil"/>
              <w:right w:val="nil"/>
            </w:tcBorders>
            <w:shd w:val="clear" w:color="auto" w:fill="auto"/>
            <w:noWrap/>
            <w:vAlign w:val="center"/>
            <w:hideMark/>
          </w:tcPr>
          <w:p w14:paraId="046BA5CD" w14:textId="4E07544D"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30C46A70" w14:textId="3F1DEB9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(4.250.475)</w:t>
            </w:r>
          </w:p>
        </w:tc>
      </w:tr>
      <w:tr w:rsidR="003B1D7B" w:rsidRPr="003B1D7B" w14:paraId="76A7F80E" w14:textId="77777777" w:rsidTr="005A30A6">
        <w:trPr>
          <w:trHeight w:hRule="exact" w:val="227"/>
        </w:trPr>
        <w:tc>
          <w:tcPr>
            <w:tcW w:w="5196" w:type="dxa"/>
            <w:tcBorders>
              <w:top w:val="nil"/>
              <w:left w:val="nil"/>
              <w:bottom w:val="nil"/>
              <w:right w:val="nil"/>
            </w:tcBorders>
            <w:shd w:val="clear" w:color="auto" w:fill="auto"/>
            <w:noWrap/>
            <w:vAlign w:val="center"/>
            <w:hideMark/>
          </w:tcPr>
          <w:p w14:paraId="3A7062FD"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Diárias, Passagens e Despesas de Locomoção</w:t>
            </w:r>
          </w:p>
        </w:tc>
        <w:tc>
          <w:tcPr>
            <w:tcW w:w="1134" w:type="dxa"/>
            <w:tcBorders>
              <w:top w:val="nil"/>
              <w:left w:val="nil"/>
              <w:bottom w:val="nil"/>
              <w:right w:val="nil"/>
            </w:tcBorders>
            <w:shd w:val="clear" w:color="auto" w:fill="auto"/>
            <w:noWrap/>
            <w:vAlign w:val="center"/>
            <w:hideMark/>
          </w:tcPr>
          <w:p w14:paraId="049248EC" w14:textId="6B42757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(311.286)</w:t>
            </w:r>
          </w:p>
        </w:tc>
        <w:tc>
          <w:tcPr>
            <w:tcW w:w="1134" w:type="dxa"/>
            <w:tcBorders>
              <w:top w:val="nil"/>
              <w:left w:val="nil"/>
              <w:bottom w:val="nil"/>
              <w:right w:val="nil"/>
            </w:tcBorders>
            <w:shd w:val="clear" w:color="auto" w:fill="auto"/>
            <w:noWrap/>
            <w:vAlign w:val="center"/>
            <w:hideMark/>
          </w:tcPr>
          <w:p w14:paraId="7B04445F" w14:textId="6A3D7FF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6DBFEB04" w14:textId="2239626D"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(311.286)</w:t>
            </w:r>
          </w:p>
        </w:tc>
      </w:tr>
      <w:tr w:rsidR="003B1D7B" w:rsidRPr="003B1D7B" w14:paraId="026398DC"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4E417D1"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 xml:space="preserve">Transferência Voluntária </w:t>
            </w:r>
          </w:p>
        </w:tc>
        <w:tc>
          <w:tcPr>
            <w:tcW w:w="1134" w:type="dxa"/>
            <w:tcBorders>
              <w:top w:val="nil"/>
              <w:left w:val="nil"/>
              <w:bottom w:val="nil"/>
              <w:right w:val="nil"/>
            </w:tcBorders>
            <w:shd w:val="clear" w:color="auto" w:fill="auto"/>
            <w:noWrap/>
            <w:vAlign w:val="center"/>
            <w:hideMark/>
          </w:tcPr>
          <w:p w14:paraId="5D726199" w14:textId="34B75F7B"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(89.116)</w:t>
            </w:r>
          </w:p>
        </w:tc>
        <w:tc>
          <w:tcPr>
            <w:tcW w:w="1134" w:type="dxa"/>
            <w:tcBorders>
              <w:top w:val="nil"/>
              <w:left w:val="nil"/>
              <w:bottom w:val="nil"/>
              <w:right w:val="nil"/>
            </w:tcBorders>
            <w:shd w:val="clear" w:color="auto" w:fill="auto"/>
            <w:noWrap/>
            <w:vAlign w:val="center"/>
            <w:hideMark/>
          </w:tcPr>
          <w:p w14:paraId="08171F06" w14:textId="1B1DD56F"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7A0DE6FE" w14:textId="741D43DA"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(89.116)</w:t>
            </w:r>
          </w:p>
        </w:tc>
      </w:tr>
      <w:tr w:rsidR="003B1D7B" w:rsidRPr="003B1D7B" w14:paraId="755EA66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41EBE9B1"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OUTRAS RECEITAS/DESPESAS OPERACIONAIS</w:t>
            </w:r>
          </w:p>
        </w:tc>
        <w:tc>
          <w:tcPr>
            <w:tcW w:w="1134" w:type="dxa"/>
            <w:tcBorders>
              <w:top w:val="nil"/>
              <w:left w:val="nil"/>
              <w:bottom w:val="nil"/>
              <w:right w:val="nil"/>
            </w:tcBorders>
            <w:shd w:val="clear" w:color="auto" w:fill="auto"/>
            <w:noWrap/>
            <w:vAlign w:val="center"/>
            <w:hideMark/>
          </w:tcPr>
          <w:p w14:paraId="127106DE" w14:textId="5EF12B58"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(2.667.979)</w:t>
            </w:r>
          </w:p>
        </w:tc>
        <w:tc>
          <w:tcPr>
            <w:tcW w:w="1134" w:type="dxa"/>
            <w:tcBorders>
              <w:top w:val="nil"/>
              <w:left w:val="nil"/>
              <w:bottom w:val="nil"/>
              <w:right w:val="nil"/>
            </w:tcBorders>
            <w:shd w:val="clear" w:color="auto" w:fill="auto"/>
            <w:noWrap/>
            <w:vAlign w:val="center"/>
            <w:hideMark/>
          </w:tcPr>
          <w:p w14:paraId="15213BC8"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36FF25EC" w14:textId="52B39764"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(2.667.979)</w:t>
            </w:r>
          </w:p>
        </w:tc>
      </w:tr>
      <w:tr w:rsidR="003B1D7B" w:rsidRPr="003B1D7B" w14:paraId="406AB503" w14:textId="77777777" w:rsidTr="005A30A6">
        <w:trPr>
          <w:trHeight w:hRule="exact" w:val="227"/>
        </w:trPr>
        <w:tc>
          <w:tcPr>
            <w:tcW w:w="5196" w:type="dxa"/>
            <w:tcBorders>
              <w:top w:val="nil"/>
              <w:left w:val="nil"/>
              <w:bottom w:val="nil"/>
              <w:right w:val="nil"/>
            </w:tcBorders>
            <w:shd w:val="clear" w:color="auto" w:fill="auto"/>
            <w:noWrap/>
            <w:vAlign w:val="center"/>
            <w:hideMark/>
          </w:tcPr>
          <w:p w14:paraId="4B2284D3"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Provisão/Reversão para Contingências</w:t>
            </w:r>
          </w:p>
        </w:tc>
        <w:tc>
          <w:tcPr>
            <w:tcW w:w="1134" w:type="dxa"/>
            <w:tcBorders>
              <w:top w:val="nil"/>
              <w:left w:val="nil"/>
              <w:bottom w:val="nil"/>
              <w:right w:val="nil"/>
            </w:tcBorders>
            <w:shd w:val="clear" w:color="auto" w:fill="auto"/>
            <w:noWrap/>
            <w:vAlign w:val="center"/>
            <w:hideMark/>
          </w:tcPr>
          <w:p w14:paraId="064E708B" w14:textId="412AC807"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(150.247)</w:t>
            </w:r>
          </w:p>
        </w:tc>
        <w:tc>
          <w:tcPr>
            <w:tcW w:w="1134" w:type="dxa"/>
            <w:tcBorders>
              <w:top w:val="nil"/>
              <w:left w:val="nil"/>
              <w:bottom w:val="nil"/>
              <w:right w:val="nil"/>
            </w:tcBorders>
            <w:shd w:val="clear" w:color="auto" w:fill="auto"/>
            <w:noWrap/>
            <w:vAlign w:val="center"/>
            <w:hideMark/>
          </w:tcPr>
          <w:p w14:paraId="0A402877" w14:textId="34F9C169"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5A5D17E6" w14:textId="43DBFA94"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(150.247)</w:t>
            </w:r>
          </w:p>
        </w:tc>
      </w:tr>
      <w:tr w:rsidR="003B1D7B" w:rsidRPr="003B1D7B" w14:paraId="2E4DC8C0" w14:textId="77777777" w:rsidTr="005A30A6">
        <w:trPr>
          <w:trHeight w:hRule="exact" w:val="227"/>
        </w:trPr>
        <w:tc>
          <w:tcPr>
            <w:tcW w:w="5196" w:type="dxa"/>
            <w:tcBorders>
              <w:top w:val="nil"/>
              <w:left w:val="nil"/>
              <w:bottom w:val="nil"/>
              <w:right w:val="nil"/>
            </w:tcBorders>
            <w:shd w:val="clear" w:color="auto" w:fill="auto"/>
            <w:noWrap/>
            <w:vAlign w:val="center"/>
            <w:hideMark/>
          </w:tcPr>
          <w:p w14:paraId="58AF017D"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Outras receitas</w:t>
            </w:r>
          </w:p>
        </w:tc>
        <w:tc>
          <w:tcPr>
            <w:tcW w:w="1134" w:type="dxa"/>
            <w:tcBorders>
              <w:top w:val="nil"/>
              <w:left w:val="nil"/>
              <w:bottom w:val="nil"/>
              <w:right w:val="nil"/>
            </w:tcBorders>
            <w:shd w:val="clear" w:color="auto" w:fill="auto"/>
            <w:noWrap/>
            <w:vAlign w:val="center"/>
            <w:hideMark/>
          </w:tcPr>
          <w:p w14:paraId="4CD90A9A" w14:textId="6302187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325.557 </w:t>
            </w:r>
          </w:p>
        </w:tc>
        <w:tc>
          <w:tcPr>
            <w:tcW w:w="1134" w:type="dxa"/>
            <w:tcBorders>
              <w:top w:val="nil"/>
              <w:left w:val="nil"/>
              <w:bottom w:val="nil"/>
              <w:right w:val="nil"/>
            </w:tcBorders>
            <w:shd w:val="clear" w:color="auto" w:fill="auto"/>
            <w:noWrap/>
            <w:vAlign w:val="center"/>
            <w:hideMark/>
          </w:tcPr>
          <w:p w14:paraId="3D7888E4" w14:textId="1BA4B5A7"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54286F97" w14:textId="5E3A967C"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325.557 </w:t>
            </w:r>
          </w:p>
        </w:tc>
      </w:tr>
      <w:tr w:rsidR="003B1D7B" w:rsidRPr="003B1D7B" w14:paraId="235744DD" w14:textId="77777777" w:rsidTr="005A30A6">
        <w:trPr>
          <w:trHeight w:hRule="exact" w:val="227"/>
        </w:trPr>
        <w:tc>
          <w:tcPr>
            <w:tcW w:w="5196" w:type="dxa"/>
            <w:tcBorders>
              <w:top w:val="nil"/>
              <w:left w:val="nil"/>
              <w:bottom w:val="nil"/>
              <w:right w:val="nil"/>
            </w:tcBorders>
            <w:shd w:val="clear" w:color="auto" w:fill="auto"/>
            <w:noWrap/>
            <w:vAlign w:val="center"/>
            <w:hideMark/>
          </w:tcPr>
          <w:p w14:paraId="791B3FDE"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Resultado de Equivalência Patrimonial</w:t>
            </w:r>
          </w:p>
        </w:tc>
        <w:tc>
          <w:tcPr>
            <w:tcW w:w="1134" w:type="dxa"/>
            <w:tcBorders>
              <w:top w:val="nil"/>
              <w:left w:val="nil"/>
              <w:bottom w:val="nil"/>
              <w:right w:val="nil"/>
            </w:tcBorders>
            <w:shd w:val="clear" w:color="auto" w:fill="auto"/>
            <w:noWrap/>
            <w:vAlign w:val="center"/>
            <w:hideMark/>
          </w:tcPr>
          <w:p w14:paraId="256E2ADA" w14:textId="49B1400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(2.791.778)</w:t>
            </w:r>
          </w:p>
        </w:tc>
        <w:tc>
          <w:tcPr>
            <w:tcW w:w="1134" w:type="dxa"/>
            <w:tcBorders>
              <w:top w:val="nil"/>
              <w:left w:val="nil"/>
              <w:bottom w:val="nil"/>
              <w:right w:val="nil"/>
            </w:tcBorders>
            <w:shd w:val="clear" w:color="auto" w:fill="auto"/>
            <w:noWrap/>
            <w:vAlign w:val="center"/>
            <w:hideMark/>
          </w:tcPr>
          <w:p w14:paraId="0E6EA2C6" w14:textId="740B9C42"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45673489" w14:textId="50083B0A"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(2.791.778)</w:t>
            </w:r>
          </w:p>
        </w:tc>
      </w:tr>
      <w:tr w:rsidR="003B1D7B" w:rsidRPr="003B1D7B" w14:paraId="444F595D" w14:textId="77777777" w:rsidTr="005A30A6">
        <w:trPr>
          <w:trHeight w:hRule="exact" w:val="227"/>
        </w:trPr>
        <w:tc>
          <w:tcPr>
            <w:tcW w:w="5196" w:type="dxa"/>
            <w:tcBorders>
              <w:top w:val="nil"/>
              <w:left w:val="nil"/>
              <w:bottom w:val="nil"/>
              <w:right w:val="nil"/>
            </w:tcBorders>
            <w:shd w:val="clear" w:color="auto" w:fill="auto"/>
            <w:noWrap/>
            <w:vAlign w:val="center"/>
            <w:hideMark/>
          </w:tcPr>
          <w:p w14:paraId="65F984A3"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Baixa de Ativos - Tributos a recuperar/compensar</w:t>
            </w:r>
          </w:p>
        </w:tc>
        <w:tc>
          <w:tcPr>
            <w:tcW w:w="1134" w:type="dxa"/>
            <w:tcBorders>
              <w:top w:val="nil"/>
              <w:left w:val="nil"/>
              <w:bottom w:val="nil"/>
              <w:right w:val="nil"/>
            </w:tcBorders>
            <w:shd w:val="clear" w:color="auto" w:fill="auto"/>
            <w:noWrap/>
            <w:vAlign w:val="center"/>
            <w:hideMark/>
          </w:tcPr>
          <w:p w14:paraId="30623D74" w14:textId="3709A75D"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(51.511)</w:t>
            </w:r>
          </w:p>
        </w:tc>
        <w:tc>
          <w:tcPr>
            <w:tcW w:w="1134" w:type="dxa"/>
            <w:tcBorders>
              <w:top w:val="nil"/>
              <w:left w:val="nil"/>
              <w:bottom w:val="nil"/>
              <w:right w:val="nil"/>
            </w:tcBorders>
            <w:shd w:val="clear" w:color="auto" w:fill="auto"/>
            <w:noWrap/>
            <w:vAlign w:val="center"/>
            <w:hideMark/>
          </w:tcPr>
          <w:p w14:paraId="43DC559F" w14:textId="4B0B8646"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76CD7D5D" w14:textId="323C419B"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(51.511)</w:t>
            </w:r>
          </w:p>
        </w:tc>
      </w:tr>
      <w:tr w:rsidR="003B1D7B" w:rsidRPr="003B1D7B" w14:paraId="032071C3" w14:textId="77777777" w:rsidTr="005A30A6">
        <w:trPr>
          <w:trHeight w:hRule="exact" w:val="227"/>
        </w:trPr>
        <w:tc>
          <w:tcPr>
            <w:tcW w:w="5196" w:type="dxa"/>
            <w:tcBorders>
              <w:top w:val="nil"/>
              <w:left w:val="nil"/>
              <w:bottom w:val="nil"/>
              <w:right w:val="nil"/>
            </w:tcBorders>
            <w:shd w:val="clear" w:color="auto" w:fill="auto"/>
            <w:noWrap/>
            <w:vAlign w:val="center"/>
            <w:hideMark/>
          </w:tcPr>
          <w:p w14:paraId="332412F0"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ANTES DO RESULTADO FINANCEIRO</w:t>
            </w:r>
          </w:p>
        </w:tc>
        <w:tc>
          <w:tcPr>
            <w:tcW w:w="1134" w:type="dxa"/>
            <w:tcBorders>
              <w:top w:val="nil"/>
              <w:left w:val="nil"/>
              <w:bottom w:val="nil"/>
              <w:right w:val="nil"/>
            </w:tcBorders>
            <w:shd w:val="clear" w:color="auto" w:fill="auto"/>
            <w:noWrap/>
            <w:vAlign w:val="center"/>
            <w:hideMark/>
          </w:tcPr>
          <w:p w14:paraId="09F745FA" w14:textId="3DD85D26"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(50.703.484)</w:t>
            </w:r>
          </w:p>
        </w:tc>
        <w:tc>
          <w:tcPr>
            <w:tcW w:w="1134" w:type="dxa"/>
            <w:tcBorders>
              <w:top w:val="nil"/>
              <w:left w:val="nil"/>
              <w:bottom w:val="nil"/>
              <w:right w:val="nil"/>
            </w:tcBorders>
            <w:shd w:val="clear" w:color="auto" w:fill="auto"/>
            <w:noWrap/>
            <w:vAlign w:val="center"/>
            <w:hideMark/>
          </w:tcPr>
          <w:p w14:paraId="6E44318E"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492DF518" w14:textId="7A37FFEA"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(50.703.484)</w:t>
            </w:r>
          </w:p>
        </w:tc>
      </w:tr>
      <w:tr w:rsidR="003B1D7B" w:rsidRPr="003B1D7B" w14:paraId="66538AF0" w14:textId="77777777" w:rsidTr="005A30A6">
        <w:trPr>
          <w:trHeight w:hRule="exact" w:val="227"/>
        </w:trPr>
        <w:tc>
          <w:tcPr>
            <w:tcW w:w="5196" w:type="dxa"/>
            <w:tcBorders>
              <w:top w:val="nil"/>
              <w:left w:val="nil"/>
              <w:bottom w:val="nil"/>
              <w:right w:val="nil"/>
            </w:tcBorders>
            <w:shd w:val="clear" w:color="auto" w:fill="auto"/>
            <w:noWrap/>
            <w:vAlign w:val="center"/>
            <w:hideMark/>
          </w:tcPr>
          <w:p w14:paraId="0EB909BA"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FINANCEIRO LÍQUIDO</w:t>
            </w:r>
          </w:p>
        </w:tc>
        <w:tc>
          <w:tcPr>
            <w:tcW w:w="1134" w:type="dxa"/>
            <w:tcBorders>
              <w:top w:val="nil"/>
              <w:left w:val="nil"/>
              <w:bottom w:val="nil"/>
              <w:right w:val="nil"/>
            </w:tcBorders>
            <w:shd w:val="clear" w:color="auto" w:fill="auto"/>
            <w:noWrap/>
            <w:vAlign w:val="center"/>
            <w:hideMark/>
          </w:tcPr>
          <w:p w14:paraId="6BB6EDC6" w14:textId="186DB3A9"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2.801.820 </w:t>
            </w:r>
          </w:p>
        </w:tc>
        <w:tc>
          <w:tcPr>
            <w:tcW w:w="1134" w:type="dxa"/>
            <w:tcBorders>
              <w:top w:val="nil"/>
              <w:left w:val="nil"/>
              <w:bottom w:val="nil"/>
              <w:right w:val="nil"/>
            </w:tcBorders>
            <w:shd w:val="clear" w:color="auto" w:fill="auto"/>
            <w:noWrap/>
            <w:vAlign w:val="center"/>
            <w:hideMark/>
          </w:tcPr>
          <w:p w14:paraId="63CCC787"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420F76F6" w14:textId="77EB0CE9"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2.801.820 </w:t>
            </w:r>
          </w:p>
        </w:tc>
      </w:tr>
      <w:tr w:rsidR="003B1D7B" w:rsidRPr="003B1D7B" w14:paraId="1A9C34E4"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E0615A5"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Receita Financeira</w:t>
            </w:r>
          </w:p>
        </w:tc>
        <w:tc>
          <w:tcPr>
            <w:tcW w:w="1134" w:type="dxa"/>
            <w:tcBorders>
              <w:top w:val="nil"/>
              <w:left w:val="nil"/>
              <w:bottom w:val="nil"/>
              <w:right w:val="nil"/>
            </w:tcBorders>
            <w:shd w:val="clear" w:color="auto" w:fill="auto"/>
            <w:noWrap/>
            <w:vAlign w:val="center"/>
            <w:hideMark/>
          </w:tcPr>
          <w:p w14:paraId="3A792978" w14:textId="2E1FB2D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3.154.871 </w:t>
            </w:r>
          </w:p>
        </w:tc>
        <w:tc>
          <w:tcPr>
            <w:tcW w:w="1134" w:type="dxa"/>
            <w:tcBorders>
              <w:top w:val="nil"/>
              <w:left w:val="nil"/>
              <w:bottom w:val="nil"/>
              <w:right w:val="nil"/>
            </w:tcBorders>
            <w:shd w:val="clear" w:color="auto" w:fill="auto"/>
            <w:noWrap/>
            <w:vAlign w:val="center"/>
            <w:hideMark/>
          </w:tcPr>
          <w:p w14:paraId="5538A1DB" w14:textId="7D31E6FC"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78A63069" w14:textId="13982117"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3.154.871 </w:t>
            </w:r>
          </w:p>
        </w:tc>
      </w:tr>
      <w:tr w:rsidR="003B1D7B" w:rsidRPr="003B1D7B" w14:paraId="322DE20D" w14:textId="77777777" w:rsidTr="005A30A6">
        <w:trPr>
          <w:trHeight w:hRule="exact" w:val="227"/>
        </w:trPr>
        <w:tc>
          <w:tcPr>
            <w:tcW w:w="5196" w:type="dxa"/>
            <w:tcBorders>
              <w:top w:val="nil"/>
              <w:left w:val="nil"/>
              <w:bottom w:val="nil"/>
              <w:right w:val="nil"/>
            </w:tcBorders>
            <w:shd w:val="clear" w:color="auto" w:fill="auto"/>
            <w:noWrap/>
            <w:vAlign w:val="center"/>
            <w:hideMark/>
          </w:tcPr>
          <w:p w14:paraId="75A5D555"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Despesa Financeira</w:t>
            </w:r>
          </w:p>
        </w:tc>
        <w:tc>
          <w:tcPr>
            <w:tcW w:w="1134" w:type="dxa"/>
            <w:tcBorders>
              <w:top w:val="nil"/>
              <w:left w:val="nil"/>
              <w:bottom w:val="nil"/>
              <w:right w:val="nil"/>
            </w:tcBorders>
            <w:shd w:val="clear" w:color="auto" w:fill="auto"/>
            <w:noWrap/>
            <w:vAlign w:val="center"/>
            <w:hideMark/>
          </w:tcPr>
          <w:p w14:paraId="75F61B28" w14:textId="631287D0"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(353.051)</w:t>
            </w:r>
          </w:p>
        </w:tc>
        <w:tc>
          <w:tcPr>
            <w:tcW w:w="1134" w:type="dxa"/>
            <w:tcBorders>
              <w:top w:val="nil"/>
              <w:left w:val="nil"/>
              <w:bottom w:val="nil"/>
              <w:right w:val="nil"/>
            </w:tcBorders>
            <w:shd w:val="clear" w:color="auto" w:fill="auto"/>
            <w:noWrap/>
            <w:vAlign w:val="center"/>
            <w:hideMark/>
          </w:tcPr>
          <w:p w14:paraId="7D7CC257" w14:textId="755F139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36388AB4" w14:textId="48D0099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(353.051)</w:t>
            </w:r>
          </w:p>
        </w:tc>
      </w:tr>
      <w:tr w:rsidR="003B1D7B" w:rsidRPr="003B1D7B" w14:paraId="54D6740A" w14:textId="77777777" w:rsidTr="005A30A6">
        <w:trPr>
          <w:trHeight w:hRule="exact" w:val="227"/>
        </w:trPr>
        <w:tc>
          <w:tcPr>
            <w:tcW w:w="5196" w:type="dxa"/>
            <w:tcBorders>
              <w:top w:val="nil"/>
              <w:left w:val="nil"/>
              <w:bottom w:val="nil"/>
              <w:right w:val="nil"/>
            </w:tcBorders>
            <w:shd w:val="clear" w:color="auto" w:fill="auto"/>
            <w:noWrap/>
            <w:vAlign w:val="center"/>
            <w:hideMark/>
          </w:tcPr>
          <w:p w14:paraId="2545CB37"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ANTES DAS SUBVENÇÕES DO TESOURO NACIONAL</w:t>
            </w:r>
          </w:p>
        </w:tc>
        <w:tc>
          <w:tcPr>
            <w:tcW w:w="1134" w:type="dxa"/>
            <w:tcBorders>
              <w:top w:val="nil"/>
              <w:left w:val="nil"/>
              <w:bottom w:val="nil"/>
              <w:right w:val="nil"/>
            </w:tcBorders>
            <w:shd w:val="clear" w:color="auto" w:fill="auto"/>
            <w:noWrap/>
            <w:vAlign w:val="center"/>
            <w:hideMark/>
          </w:tcPr>
          <w:p w14:paraId="0191C331" w14:textId="0A28A0FF"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(47.901.664)</w:t>
            </w:r>
          </w:p>
        </w:tc>
        <w:tc>
          <w:tcPr>
            <w:tcW w:w="1134" w:type="dxa"/>
            <w:tcBorders>
              <w:top w:val="nil"/>
              <w:left w:val="nil"/>
              <w:bottom w:val="nil"/>
              <w:right w:val="nil"/>
            </w:tcBorders>
            <w:shd w:val="clear" w:color="auto" w:fill="auto"/>
            <w:noWrap/>
            <w:vAlign w:val="center"/>
            <w:hideMark/>
          </w:tcPr>
          <w:p w14:paraId="4FF9E9D8"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418CE267" w14:textId="128B8EE7"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(47.901.664)</w:t>
            </w:r>
          </w:p>
        </w:tc>
      </w:tr>
      <w:tr w:rsidR="003B1D7B" w:rsidRPr="003B1D7B" w14:paraId="6B10DC2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422E8FAE"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Repasse de Custeio/Pessoal</w:t>
            </w:r>
          </w:p>
        </w:tc>
        <w:tc>
          <w:tcPr>
            <w:tcW w:w="1134" w:type="dxa"/>
            <w:tcBorders>
              <w:top w:val="nil"/>
              <w:left w:val="nil"/>
              <w:bottom w:val="nil"/>
              <w:right w:val="nil"/>
            </w:tcBorders>
            <w:shd w:val="clear" w:color="auto" w:fill="auto"/>
            <w:noWrap/>
            <w:vAlign w:val="center"/>
            <w:hideMark/>
          </w:tcPr>
          <w:p w14:paraId="0F4ADD35" w14:textId="7B3BF833"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47.699.598 </w:t>
            </w:r>
          </w:p>
        </w:tc>
        <w:tc>
          <w:tcPr>
            <w:tcW w:w="1134" w:type="dxa"/>
            <w:tcBorders>
              <w:top w:val="nil"/>
              <w:left w:val="nil"/>
              <w:bottom w:val="nil"/>
              <w:right w:val="nil"/>
            </w:tcBorders>
            <w:shd w:val="clear" w:color="auto" w:fill="auto"/>
            <w:noWrap/>
            <w:vAlign w:val="center"/>
            <w:hideMark/>
          </w:tcPr>
          <w:p w14:paraId="4614E94F" w14:textId="11961286"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2B47583D" w14:textId="7C0AEE60"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47.699.598 </w:t>
            </w:r>
          </w:p>
        </w:tc>
      </w:tr>
      <w:tr w:rsidR="003B1D7B" w:rsidRPr="003B1D7B" w14:paraId="17EBA4B4" w14:textId="77777777" w:rsidTr="005A30A6">
        <w:trPr>
          <w:trHeight w:hRule="exact" w:val="227"/>
        </w:trPr>
        <w:tc>
          <w:tcPr>
            <w:tcW w:w="5196" w:type="dxa"/>
            <w:tcBorders>
              <w:top w:val="nil"/>
              <w:left w:val="nil"/>
              <w:bottom w:val="nil"/>
              <w:right w:val="nil"/>
            </w:tcBorders>
            <w:shd w:val="clear" w:color="auto" w:fill="auto"/>
            <w:noWrap/>
            <w:vAlign w:val="center"/>
            <w:hideMark/>
          </w:tcPr>
          <w:p w14:paraId="00DA7C4B"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SUBVENÇÕES DO TESOURO NACIONAL</w:t>
            </w:r>
          </w:p>
        </w:tc>
        <w:tc>
          <w:tcPr>
            <w:tcW w:w="1134" w:type="dxa"/>
            <w:tcBorders>
              <w:top w:val="nil"/>
              <w:left w:val="nil"/>
              <w:bottom w:val="nil"/>
              <w:right w:val="nil"/>
            </w:tcBorders>
            <w:shd w:val="clear" w:color="auto" w:fill="auto"/>
            <w:noWrap/>
            <w:vAlign w:val="center"/>
            <w:hideMark/>
          </w:tcPr>
          <w:p w14:paraId="58DEFEAB" w14:textId="3D766CA8"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47.699.598 </w:t>
            </w:r>
          </w:p>
        </w:tc>
        <w:tc>
          <w:tcPr>
            <w:tcW w:w="1134" w:type="dxa"/>
            <w:tcBorders>
              <w:top w:val="nil"/>
              <w:left w:val="nil"/>
              <w:bottom w:val="nil"/>
              <w:right w:val="nil"/>
            </w:tcBorders>
            <w:shd w:val="clear" w:color="auto" w:fill="auto"/>
            <w:noWrap/>
            <w:vAlign w:val="center"/>
            <w:hideMark/>
          </w:tcPr>
          <w:p w14:paraId="7DDCD384"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1BAB5BC0" w14:textId="6A65E619"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47.699.598 </w:t>
            </w:r>
          </w:p>
        </w:tc>
      </w:tr>
      <w:tr w:rsidR="003B1D7B" w:rsidRPr="003B1D7B" w14:paraId="43AAFB2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461A3999"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ANTES DOS TRIBUTOS S/LUCRO (IRPJ/CSLL)</w:t>
            </w:r>
          </w:p>
        </w:tc>
        <w:tc>
          <w:tcPr>
            <w:tcW w:w="1134" w:type="dxa"/>
            <w:tcBorders>
              <w:top w:val="nil"/>
              <w:left w:val="nil"/>
              <w:bottom w:val="nil"/>
              <w:right w:val="nil"/>
            </w:tcBorders>
            <w:shd w:val="clear" w:color="auto" w:fill="auto"/>
            <w:noWrap/>
            <w:vAlign w:val="center"/>
            <w:hideMark/>
          </w:tcPr>
          <w:p w14:paraId="772082DD" w14:textId="64B9313C"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(202.066)</w:t>
            </w:r>
          </w:p>
        </w:tc>
        <w:tc>
          <w:tcPr>
            <w:tcW w:w="1134" w:type="dxa"/>
            <w:tcBorders>
              <w:top w:val="nil"/>
              <w:left w:val="nil"/>
              <w:bottom w:val="nil"/>
              <w:right w:val="nil"/>
            </w:tcBorders>
            <w:shd w:val="clear" w:color="auto" w:fill="auto"/>
            <w:noWrap/>
            <w:vAlign w:val="center"/>
            <w:hideMark/>
          </w:tcPr>
          <w:p w14:paraId="354941C9" w14:textId="77777777" w:rsidR="003B1D7B" w:rsidRPr="003B1D7B" w:rsidRDefault="003B1D7B" w:rsidP="005A30A6">
            <w:pPr>
              <w:spacing w:after="0" w:line="240" w:lineRule="auto"/>
              <w:jc w:val="right"/>
              <w:rPr>
                <w:rFonts w:ascii="Aptos Narrow" w:eastAsia="Times New Roman" w:hAnsi="Aptos Narrow" w:cs="Calibri"/>
                <w:b/>
                <w:bCs/>
                <w:sz w:val="16"/>
                <w:szCs w:val="16"/>
              </w:rPr>
            </w:pPr>
          </w:p>
        </w:tc>
        <w:tc>
          <w:tcPr>
            <w:tcW w:w="1134" w:type="dxa"/>
            <w:tcBorders>
              <w:top w:val="nil"/>
              <w:left w:val="nil"/>
              <w:bottom w:val="nil"/>
              <w:right w:val="nil"/>
            </w:tcBorders>
            <w:shd w:val="clear" w:color="auto" w:fill="auto"/>
            <w:noWrap/>
            <w:vAlign w:val="center"/>
            <w:hideMark/>
          </w:tcPr>
          <w:p w14:paraId="566D8C44" w14:textId="6A20E6EC"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(202.066)</w:t>
            </w:r>
          </w:p>
        </w:tc>
      </w:tr>
      <w:tr w:rsidR="003B1D7B" w:rsidRPr="003B1D7B" w14:paraId="473556F6" w14:textId="77777777" w:rsidTr="005A30A6">
        <w:trPr>
          <w:trHeight w:hRule="exact" w:val="227"/>
        </w:trPr>
        <w:tc>
          <w:tcPr>
            <w:tcW w:w="5196" w:type="dxa"/>
            <w:tcBorders>
              <w:top w:val="nil"/>
              <w:left w:val="nil"/>
              <w:bottom w:val="nil"/>
              <w:right w:val="nil"/>
            </w:tcBorders>
            <w:shd w:val="clear" w:color="auto" w:fill="auto"/>
            <w:noWrap/>
            <w:vAlign w:val="center"/>
            <w:hideMark/>
          </w:tcPr>
          <w:p w14:paraId="1171B09B"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Imposto de Renda</w:t>
            </w:r>
          </w:p>
        </w:tc>
        <w:tc>
          <w:tcPr>
            <w:tcW w:w="1134" w:type="dxa"/>
            <w:tcBorders>
              <w:top w:val="nil"/>
              <w:left w:val="nil"/>
              <w:bottom w:val="nil"/>
              <w:right w:val="nil"/>
            </w:tcBorders>
            <w:shd w:val="clear" w:color="auto" w:fill="auto"/>
            <w:noWrap/>
            <w:vAlign w:val="center"/>
            <w:hideMark/>
          </w:tcPr>
          <w:p w14:paraId="5190EEF1" w14:textId="018252A5"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402B7C13" w14:textId="620AF1EF"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nil"/>
              <w:right w:val="nil"/>
            </w:tcBorders>
            <w:shd w:val="clear" w:color="auto" w:fill="auto"/>
            <w:noWrap/>
            <w:vAlign w:val="center"/>
            <w:hideMark/>
          </w:tcPr>
          <w:p w14:paraId="5F43CDA7" w14:textId="77777777" w:rsidR="003B1D7B" w:rsidRPr="003B1D7B" w:rsidRDefault="003B1D7B" w:rsidP="005A30A6">
            <w:pPr>
              <w:spacing w:after="0" w:line="240" w:lineRule="auto"/>
              <w:jc w:val="right"/>
              <w:rPr>
                <w:rFonts w:ascii="Aptos Narrow" w:eastAsia="Times New Roman" w:hAnsi="Aptos Narrow" w:cs="Calibri"/>
                <w:sz w:val="16"/>
                <w:szCs w:val="16"/>
              </w:rPr>
            </w:pPr>
          </w:p>
        </w:tc>
      </w:tr>
      <w:tr w:rsidR="003B1D7B" w:rsidRPr="003B1D7B" w14:paraId="3242678A" w14:textId="77777777" w:rsidTr="005A30A6">
        <w:trPr>
          <w:trHeight w:hRule="exact" w:val="227"/>
        </w:trPr>
        <w:tc>
          <w:tcPr>
            <w:tcW w:w="5196" w:type="dxa"/>
            <w:tcBorders>
              <w:top w:val="nil"/>
              <w:left w:val="nil"/>
              <w:bottom w:val="single" w:sz="4" w:space="0" w:color="156082"/>
              <w:right w:val="nil"/>
            </w:tcBorders>
            <w:shd w:val="clear" w:color="auto" w:fill="auto"/>
            <w:noWrap/>
            <w:vAlign w:val="center"/>
            <w:hideMark/>
          </w:tcPr>
          <w:p w14:paraId="6455E64B" w14:textId="77777777" w:rsidR="003B1D7B" w:rsidRPr="003B1D7B" w:rsidRDefault="003B1D7B" w:rsidP="003B1D7B">
            <w:pPr>
              <w:spacing w:after="0" w:line="240" w:lineRule="auto"/>
              <w:ind w:firstLineChars="200" w:firstLine="320"/>
              <w:rPr>
                <w:rFonts w:ascii="Aptos Narrow" w:eastAsia="Times New Roman" w:hAnsi="Aptos Narrow" w:cs="Calibri"/>
                <w:sz w:val="16"/>
                <w:szCs w:val="16"/>
              </w:rPr>
            </w:pPr>
            <w:r w:rsidRPr="003B1D7B">
              <w:rPr>
                <w:rFonts w:ascii="Aptos Narrow" w:eastAsia="Times New Roman" w:hAnsi="Aptos Narrow" w:cs="Calibri"/>
                <w:sz w:val="16"/>
                <w:szCs w:val="16"/>
              </w:rPr>
              <w:t>Contribuição Social sobre o Lucro Líquido</w:t>
            </w:r>
          </w:p>
        </w:tc>
        <w:tc>
          <w:tcPr>
            <w:tcW w:w="1134" w:type="dxa"/>
            <w:tcBorders>
              <w:top w:val="nil"/>
              <w:left w:val="nil"/>
              <w:bottom w:val="single" w:sz="4" w:space="0" w:color="156082"/>
              <w:right w:val="nil"/>
            </w:tcBorders>
            <w:shd w:val="clear" w:color="auto" w:fill="auto"/>
            <w:noWrap/>
            <w:vAlign w:val="center"/>
            <w:hideMark/>
          </w:tcPr>
          <w:p w14:paraId="4E70BDA9" w14:textId="09CBFDBB"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single" w:sz="4" w:space="0" w:color="156082"/>
              <w:right w:val="nil"/>
            </w:tcBorders>
            <w:shd w:val="clear" w:color="auto" w:fill="auto"/>
            <w:noWrap/>
            <w:vAlign w:val="center"/>
            <w:hideMark/>
          </w:tcPr>
          <w:p w14:paraId="5628E43E" w14:textId="63169DDC"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xml:space="preserve"> - </w:t>
            </w:r>
          </w:p>
        </w:tc>
        <w:tc>
          <w:tcPr>
            <w:tcW w:w="1134" w:type="dxa"/>
            <w:tcBorders>
              <w:top w:val="nil"/>
              <w:left w:val="nil"/>
              <w:bottom w:val="single" w:sz="4" w:space="0" w:color="156082"/>
              <w:right w:val="nil"/>
            </w:tcBorders>
            <w:shd w:val="clear" w:color="auto" w:fill="auto"/>
            <w:noWrap/>
            <w:vAlign w:val="center"/>
            <w:hideMark/>
          </w:tcPr>
          <w:p w14:paraId="79C91548" w14:textId="77777777" w:rsidR="003B1D7B" w:rsidRPr="003B1D7B" w:rsidRDefault="003B1D7B" w:rsidP="005A30A6">
            <w:pPr>
              <w:spacing w:after="0" w:line="240" w:lineRule="auto"/>
              <w:jc w:val="right"/>
              <w:rPr>
                <w:rFonts w:ascii="Aptos Narrow" w:eastAsia="Times New Roman" w:hAnsi="Aptos Narrow" w:cs="Calibri"/>
                <w:sz w:val="16"/>
                <w:szCs w:val="16"/>
              </w:rPr>
            </w:pPr>
            <w:r w:rsidRPr="003B1D7B">
              <w:rPr>
                <w:rFonts w:ascii="Aptos Narrow" w:eastAsia="Times New Roman" w:hAnsi="Aptos Narrow" w:cs="Calibri"/>
                <w:sz w:val="16"/>
                <w:szCs w:val="16"/>
              </w:rPr>
              <w:t> </w:t>
            </w:r>
          </w:p>
        </w:tc>
      </w:tr>
      <w:tr w:rsidR="003B1D7B" w:rsidRPr="003B1D7B" w14:paraId="13D994F3" w14:textId="77777777" w:rsidTr="005A30A6">
        <w:trPr>
          <w:trHeight w:hRule="exact" w:val="227"/>
        </w:trPr>
        <w:tc>
          <w:tcPr>
            <w:tcW w:w="5196" w:type="dxa"/>
            <w:tcBorders>
              <w:top w:val="nil"/>
              <w:left w:val="nil"/>
              <w:bottom w:val="single" w:sz="4" w:space="0" w:color="156082"/>
              <w:right w:val="nil"/>
            </w:tcBorders>
            <w:shd w:val="clear" w:color="000000" w:fill="DAE9F8"/>
            <w:noWrap/>
            <w:vAlign w:val="center"/>
            <w:hideMark/>
          </w:tcPr>
          <w:p w14:paraId="388AE0B1" w14:textId="77777777" w:rsidR="003B1D7B" w:rsidRPr="003B1D7B" w:rsidRDefault="003B1D7B" w:rsidP="003B1D7B">
            <w:pPr>
              <w:spacing w:after="0" w:line="240" w:lineRule="auto"/>
              <w:rPr>
                <w:rFonts w:ascii="Aptos Narrow" w:eastAsia="Times New Roman" w:hAnsi="Aptos Narrow" w:cs="Calibri"/>
                <w:b/>
                <w:bCs/>
                <w:sz w:val="16"/>
                <w:szCs w:val="16"/>
              </w:rPr>
            </w:pPr>
            <w:r w:rsidRPr="003B1D7B">
              <w:rPr>
                <w:rFonts w:ascii="Aptos Narrow" w:eastAsia="Times New Roman" w:hAnsi="Aptos Narrow" w:cs="Calibri"/>
                <w:b/>
                <w:bCs/>
                <w:sz w:val="16"/>
                <w:szCs w:val="16"/>
              </w:rPr>
              <w:t>RESULTADO LÍQUIDO DO EXERCÍCIO</w:t>
            </w:r>
          </w:p>
        </w:tc>
        <w:tc>
          <w:tcPr>
            <w:tcW w:w="1134" w:type="dxa"/>
            <w:tcBorders>
              <w:top w:val="nil"/>
              <w:left w:val="nil"/>
              <w:bottom w:val="single" w:sz="4" w:space="0" w:color="156082"/>
              <w:right w:val="nil"/>
            </w:tcBorders>
            <w:shd w:val="clear" w:color="000000" w:fill="DAE9F8"/>
            <w:noWrap/>
            <w:vAlign w:val="center"/>
            <w:hideMark/>
          </w:tcPr>
          <w:p w14:paraId="42DAABAF" w14:textId="4106415A"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(202.066)</w:t>
            </w:r>
          </w:p>
        </w:tc>
        <w:tc>
          <w:tcPr>
            <w:tcW w:w="1134" w:type="dxa"/>
            <w:tcBorders>
              <w:top w:val="nil"/>
              <w:left w:val="nil"/>
              <w:bottom w:val="single" w:sz="4" w:space="0" w:color="156082"/>
              <w:right w:val="nil"/>
            </w:tcBorders>
            <w:shd w:val="clear" w:color="000000" w:fill="DAE9F8"/>
            <w:noWrap/>
            <w:vAlign w:val="center"/>
            <w:hideMark/>
          </w:tcPr>
          <w:p w14:paraId="59F93A0E" w14:textId="77777777"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w:t>
            </w:r>
          </w:p>
        </w:tc>
        <w:tc>
          <w:tcPr>
            <w:tcW w:w="1134" w:type="dxa"/>
            <w:tcBorders>
              <w:top w:val="nil"/>
              <w:left w:val="nil"/>
              <w:bottom w:val="single" w:sz="4" w:space="0" w:color="156082"/>
              <w:right w:val="nil"/>
            </w:tcBorders>
            <w:shd w:val="clear" w:color="000000" w:fill="DAE9F8"/>
            <w:noWrap/>
            <w:vAlign w:val="center"/>
            <w:hideMark/>
          </w:tcPr>
          <w:p w14:paraId="493510FD" w14:textId="670D158A" w:rsidR="003B1D7B" w:rsidRPr="003B1D7B" w:rsidRDefault="003B1D7B" w:rsidP="005A30A6">
            <w:pPr>
              <w:spacing w:after="0" w:line="240" w:lineRule="auto"/>
              <w:jc w:val="right"/>
              <w:rPr>
                <w:rFonts w:ascii="Aptos Narrow" w:eastAsia="Times New Roman" w:hAnsi="Aptos Narrow" w:cs="Calibri"/>
                <w:b/>
                <w:bCs/>
                <w:sz w:val="16"/>
                <w:szCs w:val="16"/>
              </w:rPr>
            </w:pPr>
            <w:r w:rsidRPr="003B1D7B">
              <w:rPr>
                <w:rFonts w:ascii="Aptos Narrow" w:eastAsia="Times New Roman" w:hAnsi="Aptos Narrow" w:cs="Calibri"/>
                <w:b/>
                <w:bCs/>
                <w:sz w:val="16"/>
                <w:szCs w:val="16"/>
              </w:rPr>
              <w:t xml:space="preserve"> (202.066)</w:t>
            </w:r>
          </w:p>
        </w:tc>
      </w:tr>
    </w:tbl>
    <w:p w14:paraId="34E11C23" w14:textId="77777777" w:rsidR="00BA2A38" w:rsidRPr="00BA2A38" w:rsidRDefault="00BA2A38" w:rsidP="00BA2A38"/>
    <w:p w14:paraId="179C7857" w14:textId="77777777" w:rsidR="001C64FD" w:rsidRDefault="001C64FD" w:rsidP="00CE52FD">
      <w:r>
        <w:br w:type="page"/>
      </w:r>
    </w:p>
    <w:p w14:paraId="5C5FB2FF" w14:textId="4A2B7D9E" w:rsidR="001C64FD" w:rsidRDefault="00FF3044" w:rsidP="00FF3044">
      <w:pPr>
        <w:pStyle w:val="Ttulo2"/>
      </w:pPr>
      <w:r w:rsidRPr="008A09CF">
        <w:lastRenderedPageBreak/>
        <w:t>Demonstração do Fluxo de Caixa</w:t>
      </w:r>
    </w:p>
    <w:tbl>
      <w:tblPr>
        <w:tblW w:w="5000" w:type="pct"/>
        <w:tblCellMar>
          <w:left w:w="70" w:type="dxa"/>
          <w:right w:w="70" w:type="dxa"/>
        </w:tblCellMar>
        <w:tblLook w:val="04A0" w:firstRow="1" w:lastRow="0" w:firstColumn="1" w:lastColumn="0" w:noHBand="0" w:noVBand="1"/>
      </w:tblPr>
      <w:tblGrid>
        <w:gridCol w:w="6646"/>
        <w:gridCol w:w="1237"/>
        <w:gridCol w:w="1306"/>
        <w:gridCol w:w="1278"/>
      </w:tblGrid>
      <w:tr w:rsidR="001C64FD" w:rsidRPr="001C64FD" w14:paraId="50C7A326" w14:textId="77777777" w:rsidTr="0072568C">
        <w:trPr>
          <w:trHeight w:val="170"/>
        </w:trPr>
        <w:tc>
          <w:tcPr>
            <w:tcW w:w="6092" w:type="dxa"/>
            <w:tcBorders>
              <w:top w:val="nil"/>
              <w:left w:val="nil"/>
              <w:bottom w:val="single" w:sz="8" w:space="0" w:color="156082"/>
              <w:right w:val="nil"/>
            </w:tcBorders>
            <w:shd w:val="clear" w:color="auto" w:fill="auto"/>
            <w:noWrap/>
            <w:vAlign w:val="center"/>
            <w:hideMark/>
          </w:tcPr>
          <w:p w14:paraId="0C8AFFAB" w14:textId="77777777" w:rsidR="001C64FD" w:rsidRPr="001C64FD" w:rsidRDefault="001C64FD" w:rsidP="001C64FD">
            <w:pPr>
              <w:spacing w:after="0" w:line="240" w:lineRule="auto"/>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single" w:sz="8" w:space="0" w:color="156082"/>
              <w:right w:val="nil"/>
            </w:tcBorders>
            <w:shd w:val="clear" w:color="auto" w:fill="auto"/>
            <w:vAlign w:val="center"/>
            <w:hideMark/>
          </w:tcPr>
          <w:p w14:paraId="4B7EF027" w14:textId="06C6B6BD"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01/01/2023</w:t>
            </w:r>
            <w:r w:rsidR="00490FCA">
              <w:rPr>
                <w:rFonts w:ascii="Calibri" w:eastAsia="Times New Roman" w:hAnsi="Calibri" w:cs="Calibri"/>
                <w:b/>
                <w:bCs/>
                <w:sz w:val="16"/>
                <w:szCs w:val="16"/>
              </w:rPr>
              <w:t xml:space="preserve"> </w:t>
            </w:r>
            <w:r w:rsidRPr="001C64FD">
              <w:rPr>
                <w:rFonts w:ascii="Calibri" w:eastAsia="Times New Roman" w:hAnsi="Calibri" w:cs="Calibri"/>
                <w:b/>
                <w:bCs/>
                <w:sz w:val="16"/>
                <w:szCs w:val="16"/>
              </w:rPr>
              <w:t>a 31/03/2023 (Publicado)</w:t>
            </w:r>
          </w:p>
        </w:tc>
        <w:tc>
          <w:tcPr>
            <w:tcW w:w="1134" w:type="dxa"/>
            <w:tcBorders>
              <w:top w:val="nil"/>
              <w:left w:val="nil"/>
              <w:bottom w:val="single" w:sz="8" w:space="0" w:color="156082"/>
              <w:right w:val="nil"/>
            </w:tcBorders>
            <w:shd w:val="clear" w:color="auto" w:fill="auto"/>
            <w:noWrap/>
            <w:vAlign w:val="center"/>
            <w:hideMark/>
          </w:tcPr>
          <w:p w14:paraId="5FCFE860" w14:textId="77777777"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Reclassificações</w:t>
            </w:r>
          </w:p>
        </w:tc>
        <w:tc>
          <w:tcPr>
            <w:tcW w:w="1134" w:type="dxa"/>
            <w:tcBorders>
              <w:top w:val="nil"/>
              <w:left w:val="nil"/>
              <w:bottom w:val="single" w:sz="8" w:space="0" w:color="156082"/>
              <w:right w:val="nil"/>
            </w:tcBorders>
            <w:shd w:val="clear" w:color="auto" w:fill="auto"/>
            <w:vAlign w:val="center"/>
            <w:hideMark/>
          </w:tcPr>
          <w:p w14:paraId="46128D68" w14:textId="105D3719"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01/01/2023</w:t>
            </w:r>
            <w:r w:rsidR="00490FCA">
              <w:rPr>
                <w:rFonts w:ascii="Calibri" w:eastAsia="Times New Roman" w:hAnsi="Calibri" w:cs="Calibri"/>
                <w:b/>
                <w:bCs/>
                <w:sz w:val="16"/>
                <w:szCs w:val="16"/>
              </w:rPr>
              <w:t xml:space="preserve"> </w:t>
            </w:r>
            <w:r w:rsidRPr="001C64FD">
              <w:rPr>
                <w:rFonts w:ascii="Calibri" w:eastAsia="Times New Roman" w:hAnsi="Calibri" w:cs="Calibri"/>
                <w:b/>
                <w:bCs/>
                <w:sz w:val="16"/>
                <w:szCs w:val="16"/>
              </w:rPr>
              <w:t>a 31/03/2023 (Rec</w:t>
            </w:r>
            <w:r w:rsidR="00490FCA">
              <w:rPr>
                <w:rFonts w:ascii="Calibri" w:eastAsia="Times New Roman" w:hAnsi="Calibri" w:cs="Calibri"/>
                <w:b/>
                <w:bCs/>
                <w:sz w:val="16"/>
                <w:szCs w:val="16"/>
              </w:rPr>
              <w:t>l</w:t>
            </w:r>
            <w:r w:rsidRPr="001C64FD">
              <w:rPr>
                <w:rFonts w:ascii="Calibri" w:eastAsia="Times New Roman" w:hAnsi="Calibri" w:cs="Calibri"/>
                <w:b/>
                <w:bCs/>
                <w:sz w:val="16"/>
                <w:szCs w:val="16"/>
              </w:rPr>
              <w:t>assificado)</w:t>
            </w:r>
          </w:p>
        </w:tc>
      </w:tr>
      <w:tr w:rsidR="001C64FD" w:rsidRPr="001C64FD" w14:paraId="1BF0C009" w14:textId="77777777" w:rsidTr="0072568C">
        <w:trPr>
          <w:trHeight w:val="170"/>
        </w:trPr>
        <w:tc>
          <w:tcPr>
            <w:tcW w:w="6092" w:type="dxa"/>
            <w:tcBorders>
              <w:top w:val="nil"/>
              <w:left w:val="nil"/>
              <w:bottom w:val="nil"/>
              <w:right w:val="nil"/>
            </w:tcBorders>
            <w:shd w:val="clear" w:color="auto" w:fill="auto"/>
            <w:noWrap/>
            <w:vAlign w:val="bottom"/>
            <w:hideMark/>
          </w:tcPr>
          <w:p w14:paraId="15CAD6E1" w14:textId="77777777" w:rsidR="001C64FD" w:rsidRPr="001C64FD" w:rsidRDefault="001C64FD" w:rsidP="001C64FD">
            <w:pPr>
              <w:spacing w:after="0" w:line="240" w:lineRule="auto"/>
              <w:jc w:val="right"/>
              <w:rPr>
                <w:rFonts w:ascii="Calibri" w:eastAsia="Times New Roman" w:hAnsi="Calibri" w:cs="Calibri"/>
                <w:b/>
                <w:bCs/>
                <w:sz w:val="16"/>
                <w:szCs w:val="16"/>
              </w:rPr>
            </w:pPr>
          </w:p>
        </w:tc>
        <w:tc>
          <w:tcPr>
            <w:tcW w:w="1134" w:type="dxa"/>
            <w:tcBorders>
              <w:top w:val="nil"/>
              <w:left w:val="nil"/>
              <w:bottom w:val="nil"/>
              <w:right w:val="nil"/>
            </w:tcBorders>
            <w:shd w:val="clear" w:color="auto" w:fill="auto"/>
            <w:vAlign w:val="center"/>
            <w:hideMark/>
          </w:tcPr>
          <w:p w14:paraId="21A222B3" w14:textId="77777777" w:rsidR="001C64FD" w:rsidRPr="001C64FD" w:rsidRDefault="001C64FD" w:rsidP="00490FCA">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419DFE7" w14:textId="77777777" w:rsidR="001C64FD" w:rsidRPr="001C64FD" w:rsidRDefault="001C64FD" w:rsidP="00490FCA">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vAlign w:val="center"/>
            <w:hideMark/>
          </w:tcPr>
          <w:p w14:paraId="4FAF8792" w14:textId="77777777" w:rsidR="001C64FD" w:rsidRPr="001C64FD" w:rsidRDefault="001C64FD" w:rsidP="00490FCA">
            <w:pPr>
              <w:spacing w:after="0" w:line="240" w:lineRule="auto"/>
              <w:jc w:val="right"/>
              <w:rPr>
                <w:rFonts w:ascii="Times New Roman" w:eastAsia="Times New Roman" w:hAnsi="Times New Roman" w:cs="Times New Roman"/>
                <w:sz w:val="20"/>
                <w:szCs w:val="20"/>
              </w:rPr>
            </w:pPr>
          </w:p>
        </w:tc>
      </w:tr>
      <w:tr w:rsidR="001C64FD" w:rsidRPr="001C64FD" w14:paraId="0BA3495E" w14:textId="77777777" w:rsidTr="0072568C">
        <w:trPr>
          <w:trHeight w:val="170"/>
        </w:trPr>
        <w:tc>
          <w:tcPr>
            <w:tcW w:w="6092" w:type="dxa"/>
            <w:tcBorders>
              <w:top w:val="nil"/>
              <w:left w:val="nil"/>
              <w:bottom w:val="nil"/>
              <w:right w:val="nil"/>
            </w:tcBorders>
            <w:shd w:val="clear" w:color="auto" w:fill="auto"/>
            <w:noWrap/>
            <w:vAlign w:val="bottom"/>
            <w:hideMark/>
          </w:tcPr>
          <w:p w14:paraId="7E03E47E" w14:textId="77777777" w:rsidR="001C64FD" w:rsidRPr="001C64FD" w:rsidRDefault="001C64FD" w:rsidP="001C64FD">
            <w:pPr>
              <w:spacing w:after="0" w:line="240" w:lineRule="auto"/>
              <w:jc w:val="center"/>
              <w:rPr>
                <w:rFonts w:ascii="Calibri" w:eastAsia="Times New Roman" w:hAnsi="Calibri" w:cs="Calibri"/>
                <w:b/>
                <w:bCs/>
                <w:sz w:val="16"/>
                <w:szCs w:val="16"/>
              </w:rPr>
            </w:pPr>
            <w:r w:rsidRPr="001C64FD">
              <w:rPr>
                <w:rFonts w:ascii="Calibri" w:eastAsia="Times New Roman" w:hAnsi="Calibri" w:cs="Calibri"/>
                <w:b/>
                <w:bCs/>
                <w:sz w:val="16"/>
                <w:szCs w:val="16"/>
              </w:rPr>
              <w:t xml:space="preserve"> FLUXOS DE CAIXA DAS ATIVIDADES OPERACIONAIS </w:t>
            </w:r>
          </w:p>
        </w:tc>
        <w:tc>
          <w:tcPr>
            <w:tcW w:w="1134" w:type="dxa"/>
            <w:tcBorders>
              <w:top w:val="nil"/>
              <w:left w:val="nil"/>
              <w:bottom w:val="nil"/>
              <w:right w:val="nil"/>
            </w:tcBorders>
            <w:shd w:val="clear" w:color="000000" w:fill="FFFFFF"/>
            <w:noWrap/>
            <w:vAlign w:val="center"/>
            <w:hideMark/>
          </w:tcPr>
          <w:p w14:paraId="7661C40F"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1FAB7142"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0F24A38E"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r>
      <w:tr w:rsidR="001C64FD" w:rsidRPr="001C64FD" w14:paraId="075055B9" w14:textId="77777777" w:rsidTr="0072568C">
        <w:trPr>
          <w:trHeight w:val="170"/>
        </w:trPr>
        <w:tc>
          <w:tcPr>
            <w:tcW w:w="6092" w:type="dxa"/>
            <w:tcBorders>
              <w:top w:val="nil"/>
              <w:left w:val="nil"/>
              <w:bottom w:val="nil"/>
              <w:right w:val="nil"/>
            </w:tcBorders>
            <w:shd w:val="clear" w:color="auto" w:fill="auto"/>
            <w:noWrap/>
            <w:vAlign w:val="bottom"/>
            <w:hideMark/>
          </w:tcPr>
          <w:p w14:paraId="12425944" w14:textId="77777777" w:rsidR="001C64FD" w:rsidRPr="001C64FD" w:rsidRDefault="001C64FD" w:rsidP="001C64FD">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000000" w:fill="FFFFFF"/>
            <w:noWrap/>
            <w:vAlign w:val="center"/>
            <w:hideMark/>
          </w:tcPr>
          <w:p w14:paraId="16674F6F" w14:textId="379D5C3C"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145F24FA"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auto" w:fill="auto"/>
            <w:noWrap/>
            <w:vAlign w:val="center"/>
            <w:hideMark/>
          </w:tcPr>
          <w:p w14:paraId="211A4185"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p>
        </w:tc>
      </w:tr>
      <w:tr w:rsidR="0072568C" w:rsidRPr="001C64FD" w14:paraId="53FEE40D" w14:textId="77777777" w:rsidTr="0072568C">
        <w:trPr>
          <w:trHeight w:val="170"/>
        </w:trPr>
        <w:tc>
          <w:tcPr>
            <w:tcW w:w="6092" w:type="dxa"/>
            <w:tcBorders>
              <w:top w:val="nil"/>
              <w:left w:val="nil"/>
              <w:bottom w:val="nil"/>
              <w:right w:val="nil"/>
            </w:tcBorders>
            <w:shd w:val="clear" w:color="000000" w:fill="FFFFFF"/>
            <w:noWrap/>
            <w:vAlign w:val="center"/>
            <w:hideMark/>
          </w:tcPr>
          <w:p w14:paraId="2FF55BD8" w14:textId="70C83F41"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Resultado do Exercício antes dos Tributos s/ Lucro (IR/CSLL) </w:t>
            </w:r>
          </w:p>
        </w:tc>
        <w:tc>
          <w:tcPr>
            <w:tcW w:w="1134" w:type="dxa"/>
            <w:tcBorders>
              <w:top w:val="nil"/>
              <w:left w:val="nil"/>
              <w:bottom w:val="nil"/>
              <w:right w:val="nil"/>
            </w:tcBorders>
            <w:shd w:val="clear" w:color="000000" w:fill="FFFFFF"/>
            <w:noWrap/>
            <w:vAlign w:val="center"/>
            <w:hideMark/>
          </w:tcPr>
          <w:p w14:paraId="72D14BCD" w14:textId="0DCC7DF5"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(202.066)</w:t>
            </w:r>
          </w:p>
        </w:tc>
        <w:tc>
          <w:tcPr>
            <w:tcW w:w="1134" w:type="dxa"/>
            <w:tcBorders>
              <w:top w:val="nil"/>
              <w:left w:val="nil"/>
              <w:bottom w:val="nil"/>
              <w:right w:val="nil"/>
            </w:tcBorders>
            <w:shd w:val="clear" w:color="000000" w:fill="FFFFFF"/>
            <w:noWrap/>
            <w:vAlign w:val="center"/>
            <w:hideMark/>
          </w:tcPr>
          <w:p w14:paraId="6255EB9C" w14:textId="20674A4E"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153CAE7E" w14:textId="0BEC22BB"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(202.066)</w:t>
            </w:r>
          </w:p>
        </w:tc>
      </w:tr>
      <w:tr w:rsidR="0072568C" w:rsidRPr="001C64FD" w14:paraId="3F39A149" w14:textId="77777777" w:rsidTr="0072568C">
        <w:trPr>
          <w:trHeight w:val="170"/>
        </w:trPr>
        <w:tc>
          <w:tcPr>
            <w:tcW w:w="6092" w:type="dxa"/>
            <w:tcBorders>
              <w:top w:val="nil"/>
              <w:left w:val="nil"/>
              <w:bottom w:val="nil"/>
              <w:right w:val="nil"/>
            </w:tcBorders>
            <w:shd w:val="clear" w:color="000000" w:fill="FFFFFF"/>
            <w:noWrap/>
            <w:vAlign w:val="center"/>
            <w:hideMark/>
          </w:tcPr>
          <w:p w14:paraId="747F9D1D" w14:textId="77777777"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5EBB4BEF"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525CE6F7"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51157516"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r>
      <w:tr w:rsidR="0072568C" w:rsidRPr="001C64FD" w14:paraId="48767D1F" w14:textId="77777777" w:rsidTr="0072568C">
        <w:trPr>
          <w:trHeight w:val="170"/>
        </w:trPr>
        <w:tc>
          <w:tcPr>
            <w:tcW w:w="6092" w:type="dxa"/>
            <w:tcBorders>
              <w:top w:val="nil"/>
              <w:left w:val="nil"/>
              <w:bottom w:val="nil"/>
              <w:right w:val="nil"/>
            </w:tcBorders>
            <w:shd w:val="clear" w:color="000000" w:fill="FFFFFF"/>
            <w:noWrap/>
            <w:vAlign w:val="center"/>
            <w:hideMark/>
          </w:tcPr>
          <w:p w14:paraId="20ED54A0" w14:textId="4D2FA024"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Ajustes do resultado do período </w:t>
            </w:r>
          </w:p>
        </w:tc>
        <w:tc>
          <w:tcPr>
            <w:tcW w:w="1134" w:type="dxa"/>
            <w:tcBorders>
              <w:top w:val="nil"/>
              <w:left w:val="nil"/>
              <w:bottom w:val="nil"/>
              <w:right w:val="nil"/>
            </w:tcBorders>
            <w:shd w:val="clear" w:color="000000" w:fill="FFFFFF"/>
            <w:noWrap/>
            <w:vAlign w:val="center"/>
            <w:hideMark/>
          </w:tcPr>
          <w:p w14:paraId="4BD42F34" w14:textId="14710E39"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(43.745.411)</w:t>
            </w:r>
          </w:p>
        </w:tc>
        <w:tc>
          <w:tcPr>
            <w:tcW w:w="1134" w:type="dxa"/>
            <w:tcBorders>
              <w:top w:val="nil"/>
              <w:left w:val="nil"/>
              <w:bottom w:val="nil"/>
              <w:right w:val="nil"/>
            </w:tcBorders>
            <w:shd w:val="clear" w:color="000000" w:fill="FFFFFF"/>
            <w:noWrap/>
            <w:vAlign w:val="center"/>
            <w:hideMark/>
          </w:tcPr>
          <w:p w14:paraId="2623B6C2" w14:textId="75B5E200"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1.181.735 </w:t>
            </w:r>
          </w:p>
        </w:tc>
        <w:tc>
          <w:tcPr>
            <w:tcW w:w="1134" w:type="dxa"/>
            <w:tcBorders>
              <w:top w:val="nil"/>
              <w:left w:val="nil"/>
              <w:bottom w:val="nil"/>
              <w:right w:val="nil"/>
            </w:tcBorders>
            <w:shd w:val="clear" w:color="000000" w:fill="FFFFFF"/>
            <w:noWrap/>
            <w:vAlign w:val="center"/>
            <w:hideMark/>
          </w:tcPr>
          <w:p w14:paraId="4326F449" w14:textId="4CA2D6ED"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(42.563.676)</w:t>
            </w:r>
          </w:p>
        </w:tc>
      </w:tr>
      <w:tr w:rsidR="0072568C" w:rsidRPr="001C64FD" w14:paraId="01452CC0" w14:textId="77777777" w:rsidTr="0072568C">
        <w:trPr>
          <w:trHeight w:val="170"/>
        </w:trPr>
        <w:tc>
          <w:tcPr>
            <w:tcW w:w="6092" w:type="dxa"/>
            <w:tcBorders>
              <w:top w:val="nil"/>
              <w:left w:val="nil"/>
              <w:bottom w:val="nil"/>
              <w:right w:val="nil"/>
            </w:tcBorders>
            <w:shd w:val="clear" w:color="000000" w:fill="FFFFFF"/>
            <w:noWrap/>
            <w:vAlign w:val="center"/>
            <w:hideMark/>
          </w:tcPr>
          <w:p w14:paraId="04AAD79F" w14:textId="371F64EA"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Depreciação e Amortização </w:t>
            </w:r>
          </w:p>
        </w:tc>
        <w:tc>
          <w:tcPr>
            <w:tcW w:w="1134" w:type="dxa"/>
            <w:tcBorders>
              <w:top w:val="nil"/>
              <w:left w:val="nil"/>
              <w:bottom w:val="nil"/>
              <w:right w:val="nil"/>
            </w:tcBorders>
            <w:shd w:val="clear" w:color="000000" w:fill="FFFFFF"/>
            <w:noWrap/>
            <w:vAlign w:val="center"/>
            <w:hideMark/>
          </w:tcPr>
          <w:p w14:paraId="291E9B92" w14:textId="3A9ED46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1.193.810 </w:t>
            </w:r>
          </w:p>
        </w:tc>
        <w:tc>
          <w:tcPr>
            <w:tcW w:w="1134" w:type="dxa"/>
            <w:tcBorders>
              <w:top w:val="nil"/>
              <w:left w:val="nil"/>
              <w:bottom w:val="nil"/>
              <w:right w:val="nil"/>
            </w:tcBorders>
            <w:shd w:val="clear" w:color="000000" w:fill="FFFFFF"/>
            <w:noWrap/>
            <w:vAlign w:val="center"/>
            <w:hideMark/>
          </w:tcPr>
          <w:p w14:paraId="1642FB58" w14:textId="0E7C30D8"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1.543.738 </w:t>
            </w:r>
          </w:p>
        </w:tc>
        <w:tc>
          <w:tcPr>
            <w:tcW w:w="1134" w:type="dxa"/>
            <w:tcBorders>
              <w:top w:val="nil"/>
              <w:left w:val="nil"/>
              <w:bottom w:val="nil"/>
              <w:right w:val="nil"/>
            </w:tcBorders>
            <w:shd w:val="clear" w:color="000000" w:fill="FFFFFF"/>
            <w:noWrap/>
            <w:vAlign w:val="center"/>
            <w:hideMark/>
          </w:tcPr>
          <w:p w14:paraId="22B12780" w14:textId="26A0F4B8"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2.737.548 </w:t>
            </w:r>
          </w:p>
        </w:tc>
      </w:tr>
      <w:tr w:rsidR="001C64FD" w:rsidRPr="001C64FD" w14:paraId="5D30AA0D" w14:textId="77777777" w:rsidTr="0072568C">
        <w:trPr>
          <w:trHeight w:val="170"/>
        </w:trPr>
        <w:tc>
          <w:tcPr>
            <w:tcW w:w="6092" w:type="dxa"/>
            <w:tcBorders>
              <w:top w:val="nil"/>
              <w:left w:val="nil"/>
              <w:bottom w:val="nil"/>
              <w:right w:val="nil"/>
            </w:tcBorders>
            <w:shd w:val="clear" w:color="auto" w:fill="auto"/>
            <w:noWrap/>
            <w:vAlign w:val="center"/>
            <w:hideMark/>
          </w:tcPr>
          <w:p w14:paraId="55D26DA8" w14:textId="4A6F24B2"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Despesa Financeira Arrendamento Mercantil </w:t>
            </w:r>
          </w:p>
        </w:tc>
        <w:tc>
          <w:tcPr>
            <w:tcW w:w="1134" w:type="dxa"/>
            <w:tcBorders>
              <w:top w:val="nil"/>
              <w:left w:val="nil"/>
              <w:bottom w:val="nil"/>
              <w:right w:val="nil"/>
            </w:tcBorders>
            <w:shd w:val="clear" w:color="000000" w:fill="FFFFFF"/>
            <w:noWrap/>
            <w:vAlign w:val="center"/>
            <w:hideMark/>
          </w:tcPr>
          <w:p w14:paraId="04C5B0CF" w14:textId="7E3A4F6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2F1CADEC" w14:textId="5C59931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335.467 </w:t>
            </w:r>
          </w:p>
        </w:tc>
        <w:tc>
          <w:tcPr>
            <w:tcW w:w="1134" w:type="dxa"/>
            <w:tcBorders>
              <w:top w:val="nil"/>
              <w:left w:val="nil"/>
              <w:bottom w:val="nil"/>
              <w:right w:val="nil"/>
            </w:tcBorders>
            <w:shd w:val="clear" w:color="000000" w:fill="FFFFFF"/>
            <w:noWrap/>
            <w:vAlign w:val="center"/>
            <w:hideMark/>
          </w:tcPr>
          <w:p w14:paraId="7A48FD77" w14:textId="76BBE16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335.467 </w:t>
            </w:r>
          </w:p>
        </w:tc>
      </w:tr>
      <w:tr w:rsidR="0072568C" w:rsidRPr="001C64FD" w14:paraId="27C18696" w14:textId="77777777" w:rsidTr="0072568C">
        <w:trPr>
          <w:trHeight w:val="170"/>
        </w:trPr>
        <w:tc>
          <w:tcPr>
            <w:tcW w:w="6092" w:type="dxa"/>
            <w:tcBorders>
              <w:top w:val="nil"/>
              <w:left w:val="nil"/>
              <w:bottom w:val="nil"/>
              <w:right w:val="nil"/>
            </w:tcBorders>
            <w:shd w:val="clear" w:color="000000" w:fill="FFFFFF"/>
            <w:noWrap/>
            <w:vAlign w:val="center"/>
            <w:hideMark/>
          </w:tcPr>
          <w:p w14:paraId="2EF89D40" w14:textId="24DFA9A4"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Resultado na Baixa de Ativos Imobilizados / Intangíveis </w:t>
            </w:r>
          </w:p>
        </w:tc>
        <w:tc>
          <w:tcPr>
            <w:tcW w:w="1134" w:type="dxa"/>
            <w:tcBorders>
              <w:top w:val="nil"/>
              <w:left w:val="nil"/>
              <w:bottom w:val="nil"/>
              <w:right w:val="nil"/>
            </w:tcBorders>
            <w:shd w:val="clear" w:color="000000" w:fill="FFFFFF"/>
            <w:noWrap/>
            <w:vAlign w:val="center"/>
            <w:hideMark/>
          </w:tcPr>
          <w:p w14:paraId="12B562A4" w14:textId="36B3908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(8.704)</w:t>
            </w:r>
          </w:p>
        </w:tc>
        <w:tc>
          <w:tcPr>
            <w:tcW w:w="1134" w:type="dxa"/>
            <w:tcBorders>
              <w:top w:val="nil"/>
              <w:left w:val="nil"/>
              <w:bottom w:val="nil"/>
              <w:right w:val="nil"/>
            </w:tcBorders>
            <w:shd w:val="clear" w:color="000000" w:fill="FFFFFF"/>
            <w:noWrap/>
            <w:vAlign w:val="center"/>
            <w:hideMark/>
          </w:tcPr>
          <w:p w14:paraId="5395DE81" w14:textId="31234AA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8.704 </w:t>
            </w:r>
          </w:p>
        </w:tc>
        <w:tc>
          <w:tcPr>
            <w:tcW w:w="1134" w:type="dxa"/>
            <w:tcBorders>
              <w:top w:val="nil"/>
              <w:left w:val="nil"/>
              <w:bottom w:val="nil"/>
              <w:right w:val="nil"/>
            </w:tcBorders>
            <w:shd w:val="clear" w:color="000000" w:fill="FFFFFF"/>
            <w:noWrap/>
            <w:vAlign w:val="center"/>
            <w:hideMark/>
          </w:tcPr>
          <w:p w14:paraId="3785EC28" w14:textId="50794F4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4299FE2B" w14:textId="77777777" w:rsidTr="0072568C">
        <w:trPr>
          <w:trHeight w:val="170"/>
        </w:trPr>
        <w:tc>
          <w:tcPr>
            <w:tcW w:w="6092" w:type="dxa"/>
            <w:tcBorders>
              <w:top w:val="nil"/>
              <w:left w:val="nil"/>
              <w:bottom w:val="nil"/>
              <w:right w:val="nil"/>
            </w:tcBorders>
            <w:shd w:val="clear" w:color="000000" w:fill="FFFFFF"/>
            <w:noWrap/>
            <w:vAlign w:val="center"/>
            <w:hideMark/>
          </w:tcPr>
          <w:p w14:paraId="4654E9FB" w14:textId="337BBE6A"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Atualização Monetária Ativa </w:t>
            </w:r>
          </w:p>
        </w:tc>
        <w:tc>
          <w:tcPr>
            <w:tcW w:w="1134" w:type="dxa"/>
            <w:tcBorders>
              <w:top w:val="nil"/>
              <w:left w:val="nil"/>
              <w:bottom w:val="nil"/>
              <w:right w:val="nil"/>
            </w:tcBorders>
            <w:shd w:val="clear" w:color="000000" w:fill="FFFFFF"/>
            <w:noWrap/>
            <w:vAlign w:val="center"/>
            <w:hideMark/>
          </w:tcPr>
          <w:p w14:paraId="42A11295" w14:textId="0179462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(620.270)</w:t>
            </w:r>
          </w:p>
        </w:tc>
        <w:tc>
          <w:tcPr>
            <w:tcW w:w="1134" w:type="dxa"/>
            <w:tcBorders>
              <w:top w:val="nil"/>
              <w:left w:val="nil"/>
              <w:bottom w:val="nil"/>
              <w:right w:val="nil"/>
            </w:tcBorders>
            <w:shd w:val="clear" w:color="000000" w:fill="FFFFFF"/>
            <w:noWrap/>
            <w:vAlign w:val="center"/>
            <w:hideMark/>
          </w:tcPr>
          <w:p w14:paraId="3852B426" w14:textId="06F77DD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620.270 </w:t>
            </w:r>
          </w:p>
        </w:tc>
        <w:tc>
          <w:tcPr>
            <w:tcW w:w="1134" w:type="dxa"/>
            <w:tcBorders>
              <w:top w:val="nil"/>
              <w:left w:val="nil"/>
              <w:bottom w:val="nil"/>
              <w:right w:val="nil"/>
            </w:tcBorders>
            <w:shd w:val="clear" w:color="000000" w:fill="FFFFFF"/>
            <w:noWrap/>
            <w:vAlign w:val="center"/>
            <w:hideMark/>
          </w:tcPr>
          <w:p w14:paraId="57D5DD5C" w14:textId="47BBBC3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3F5F59AC" w14:textId="77777777" w:rsidTr="0072568C">
        <w:trPr>
          <w:trHeight w:val="170"/>
        </w:trPr>
        <w:tc>
          <w:tcPr>
            <w:tcW w:w="6092" w:type="dxa"/>
            <w:tcBorders>
              <w:top w:val="nil"/>
              <w:left w:val="nil"/>
              <w:bottom w:val="nil"/>
              <w:right w:val="nil"/>
            </w:tcBorders>
            <w:shd w:val="clear" w:color="000000" w:fill="FFFFFF"/>
            <w:noWrap/>
            <w:vAlign w:val="center"/>
            <w:hideMark/>
          </w:tcPr>
          <w:p w14:paraId="28B8991B" w14:textId="2D44A713"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Atualização Monetária Passiva </w:t>
            </w:r>
          </w:p>
        </w:tc>
        <w:tc>
          <w:tcPr>
            <w:tcW w:w="1134" w:type="dxa"/>
            <w:tcBorders>
              <w:top w:val="nil"/>
              <w:left w:val="nil"/>
              <w:bottom w:val="nil"/>
              <w:right w:val="nil"/>
            </w:tcBorders>
            <w:shd w:val="clear" w:color="000000" w:fill="FFFFFF"/>
            <w:noWrap/>
            <w:vAlign w:val="center"/>
            <w:hideMark/>
          </w:tcPr>
          <w:p w14:paraId="4CD66059" w14:textId="533CEC1E"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17.577 </w:t>
            </w:r>
          </w:p>
        </w:tc>
        <w:tc>
          <w:tcPr>
            <w:tcW w:w="1134" w:type="dxa"/>
            <w:tcBorders>
              <w:top w:val="nil"/>
              <w:left w:val="nil"/>
              <w:bottom w:val="nil"/>
              <w:right w:val="nil"/>
            </w:tcBorders>
            <w:shd w:val="clear" w:color="000000" w:fill="FFFFFF"/>
            <w:noWrap/>
            <w:vAlign w:val="center"/>
            <w:hideMark/>
          </w:tcPr>
          <w:p w14:paraId="573B115E" w14:textId="47D3F7F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(17.577)</w:t>
            </w:r>
          </w:p>
        </w:tc>
        <w:tc>
          <w:tcPr>
            <w:tcW w:w="1134" w:type="dxa"/>
            <w:tcBorders>
              <w:top w:val="nil"/>
              <w:left w:val="nil"/>
              <w:bottom w:val="nil"/>
              <w:right w:val="nil"/>
            </w:tcBorders>
            <w:shd w:val="clear" w:color="000000" w:fill="FFFFFF"/>
            <w:noWrap/>
            <w:vAlign w:val="center"/>
            <w:hideMark/>
          </w:tcPr>
          <w:p w14:paraId="10163797" w14:textId="13E11D2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0EC0E3CA" w14:textId="77777777" w:rsidTr="0072568C">
        <w:trPr>
          <w:trHeight w:val="170"/>
        </w:trPr>
        <w:tc>
          <w:tcPr>
            <w:tcW w:w="6092" w:type="dxa"/>
            <w:tcBorders>
              <w:top w:val="nil"/>
              <w:left w:val="nil"/>
              <w:bottom w:val="nil"/>
              <w:right w:val="nil"/>
            </w:tcBorders>
            <w:shd w:val="clear" w:color="000000" w:fill="FFFFFF"/>
            <w:noWrap/>
            <w:vAlign w:val="center"/>
            <w:hideMark/>
          </w:tcPr>
          <w:p w14:paraId="47FFEFB4" w14:textId="3DCA5114"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Despesas Líquidas de Provisões para Contingências </w:t>
            </w:r>
          </w:p>
        </w:tc>
        <w:tc>
          <w:tcPr>
            <w:tcW w:w="1134" w:type="dxa"/>
            <w:tcBorders>
              <w:top w:val="nil"/>
              <w:left w:val="nil"/>
              <w:bottom w:val="nil"/>
              <w:right w:val="nil"/>
            </w:tcBorders>
            <w:shd w:val="clear" w:color="000000" w:fill="FFFFFF"/>
            <w:noWrap/>
            <w:vAlign w:val="center"/>
            <w:hideMark/>
          </w:tcPr>
          <w:p w14:paraId="409BAC86" w14:textId="0B841D4D"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(728.870)</w:t>
            </w:r>
          </w:p>
        </w:tc>
        <w:tc>
          <w:tcPr>
            <w:tcW w:w="1134" w:type="dxa"/>
            <w:tcBorders>
              <w:top w:val="nil"/>
              <w:left w:val="nil"/>
              <w:bottom w:val="nil"/>
              <w:right w:val="nil"/>
            </w:tcBorders>
            <w:shd w:val="clear" w:color="000000" w:fill="FFFFFF"/>
            <w:noWrap/>
            <w:vAlign w:val="center"/>
            <w:hideMark/>
          </w:tcPr>
          <w:p w14:paraId="2F366C3E" w14:textId="13BAF48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728.870 </w:t>
            </w:r>
          </w:p>
        </w:tc>
        <w:tc>
          <w:tcPr>
            <w:tcW w:w="1134" w:type="dxa"/>
            <w:tcBorders>
              <w:top w:val="nil"/>
              <w:left w:val="nil"/>
              <w:bottom w:val="nil"/>
              <w:right w:val="nil"/>
            </w:tcBorders>
            <w:shd w:val="clear" w:color="000000" w:fill="FFFFFF"/>
            <w:noWrap/>
            <w:vAlign w:val="center"/>
            <w:hideMark/>
          </w:tcPr>
          <w:p w14:paraId="55E35F03" w14:textId="0F355AFE"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522E7E8C" w14:textId="77777777" w:rsidTr="0072568C">
        <w:trPr>
          <w:trHeight w:val="170"/>
        </w:trPr>
        <w:tc>
          <w:tcPr>
            <w:tcW w:w="6092" w:type="dxa"/>
            <w:tcBorders>
              <w:top w:val="nil"/>
              <w:left w:val="nil"/>
              <w:bottom w:val="nil"/>
              <w:right w:val="nil"/>
            </w:tcBorders>
            <w:shd w:val="clear" w:color="000000" w:fill="FFFFFF"/>
            <w:noWrap/>
            <w:vAlign w:val="center"/>
            <w:hideMark/>
          </w:tcPr>
          <w:p w14:paraId="18EF6CDD" w14:textId="38525A11"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Provisão p/ 13º Salário, Férias e Encargos </w:t>
            </w:r>
          </w:p>
        </w:tc>
        <w:tc>
          <w:tcPr>
            <w:tcW w:w="1134" w:type="dxa"/>
            <w:tcBorders>
              <w:top w:val="nil"/>
              <w:left w:val="nil"/>
              <w:bottom w:val="nil"/>
              <w:right w:val="nil"/>
            </w:tcBorders>
            <w:shd w:val="clear" w:color="000000" w:fill="FFFFFF"/>
            <w:noWrap/>
            <w:vAlign w:val="center"/>
            <w:hideMark/>
          </w:tcPr>
          <w:p w14:paraId="343021C5" w14:textId="33C1493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2.619.352 </w:t>
            </w:r>
          </w:p>
        </w:tc>
        <w:tc>
          <w:tcPr>
            <w:tcW w:w="1134" w:type="dxa"/>
            <w:tcBorders>
              <w:top w:val="nil"/>
              <w:left w:val="nil"/>
              <w:bottom w:val="nil"/>
              <w:right w:val="nil"/>
            </w:tcBorders>
            <w:shd w:val="clear" w:color="000000" w:fill="FFFFFF"/>
            <w:noWrap/>
            <w:vAlign w:val="center"/>
            <w:hideMark/>
          </w:tcPr>
          <w:p w14:paraId="358C40FC" w14:textId="012E0E6B"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(2.619.352)</w:t>
            </w:r>
          </w:p>
        </w:tc>
        <w:tc>
          <w:tcPr>
            <w:tcW w:w="1134" w:type="dxa"/>
            <w:tcBorders>
              <w:top w:val="nil"/>
              <w:left w:val="nil"/>
              <w:bottom w:val="nil"/>
              <w:right w:val="nil"/>
            </w:tcBorders>
            <w:shd w:val="clear" w:color="000000" w:fill="FFFFFF"/>
            <w:noWrap/>
            <w:vAlign w:val="center"/>
            <w:hideMark/>
          </w:tcPr>
          <w:p w14:paraId="60A5C2C9" w14:textId="25D31399"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1C64FD" w:rsidRPr="001C64FD" w14:paraId="1A8EA015" w14:textId="77777777" w:rsidTr="0072568C">
        <w:trPr>
          <w:trHeight w:val="170"/>
        </w:trPr>
        <w:tc>
          <w:tcPr>
            <w:tcW w:w="6092" w:type="dxa"/>
            <w:tcBorders>
              <w:top w:val="nil"/>
              <w:left w:val="nil"/>
              <w:bottom w:val="nil"/>
              <w:right w:val="nil"/>
            </w:tcBorders>
            <w:shd w:val="clear" w:color="000000" w:fill="FFFFFF"/>
            <w:noWrap/>
            <w:vAlign w:val="center"/>
            <w:hideMark/>
          </w:tcPr>
          <w:p w14:paraId="5CB99F6B" w14:textId="47600C45"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Resultado de Equivalência Patrimonial </w:t>
            </w:r>
          </w:p>
        </w:tc>
        <w:tc>
          <w:tcPr>
            <w:tcW w:w="1134" w:type="dxa"/>
            <w:tcBorders>
              <w:top w:val="nil"/>
              <w:left w:val="nil"/>
              <w:bottom w:val="nil"/>
              <w:right w:val="nil"/>
            </w:tcBorders>
            <w:shd w:val="clear" w:color="000000" w:fill="FFFFFF"/>
            <w:noWrap/>
            <w:vAlign w:val="center"/>
            <w:hideMark/>
          </w:tcPr>
          <w:p w14:paraId="5825AE8D" w14:textId="103955A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2.791.778 </w:t>
            </w:r>
          </w:p>
        </w:tc>
        <w:tc>
          <w:tcPr>
            <w:tcW w:w="1134" w:type="dxa"/>
            <w:tcBorders>
              <w:top w:val="nil"/>
              <w:left w:val="nil"/>
              <w:bottom w:val="nil"/>
              <w:right w:val="nil"/>
            </w:tcBorders>
            <w:shd w:val="clear" w:color="000000" w:fill="FFFFFF"/>
            <w:noWrap/>
            <w:vAlign w:val="center"/>
            <w:hideMark/>
          </w:tcPr>
          <w:p w14:paraId="38A63988" w14:textId="105E39BA"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bottom"/>
            <w:hideMark/>
          </w:tcPr>
          <w:p w14:paraId="5BF9D5DE" w14:textId="304161C2"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2.791.778 </w:t>
            </w:r>
          </w:p>
        </w:tc>
      </w:tr>
      <w:tr w:rsidR="0072568C" w:rsidRPr="001C64FD" w14:paraId="02A17808" w14:textId="77777777" w:rsidTr="0072568C">
        <w:trPr>
          <w:trHeight w:val="170"/>
        </w:trPr>
        <w:tc>
          <w:tcPr>
            <w:tcW w:w="6092" w:type="dxa"/>
            <w:tcBorders>
              <w:top w:val="nil"/>
              <w:left w:val="nil"/>
              <w:bottom w:val="nil"/>
              <w:right w:val="nil"/>
            </w:tcBorders>
            <w:shd w:val="clear" w:color="000000" w:fill="FFFFFF"/>
            <w:noWrap/>
            <w:vAlign w:val="center"/>
            <w:hideMark/>
          </w:tcPr>
          <w:p w14:paraId="6CA017D3" w14:textId="7910D647"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Prescrição do crédito previdenciário </w:t>
            </w:r>
          </w:p>
        </w:tc>
        <w:tc>
          <w:tcPr>
            <w:tcW w:w="1134" w:type="dxa"/>
            <w:tcBorders>
              <w:top w:val="nil"/>
              <w:left w:val="nil"/>
              <w:bottom w:val="nil"/>
              <w:right w:val="nil"/>
            </w:tcBorders>
            <w:shd w:val="clear" w:color="000000" w:fill="FFFFFF"/>
            <w:noWrap/>
            <w:vAlign w:val="center"/>
            <w:hideMark/>
          </w:tcPr>
          <w:p w14:paraId="54BEDD75" w14:textId="6858662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51.511 </w:t>
            </w:r>
          </w:p>
        </w:tc>
        <w:tc>
          <w:tcPr>
            <w:tcW w:w="1134" w:type="dxa"/>
            <w:tcBorders>
              <w:top w:val="nil"/>
              <w:left w:val="nil"/>
              <w:bottom w:val="nil"/>
              <w:right w:val="nil"/>
            </w:tcBorders>
            <w:shd w:val="clear" w:color="000000" w:fill="FFFFFF"/>
            <w:noWrap/>
            <w:vAlign w:val="center"/>
            <w:hideMark/>
          </w:tcPr>
          <w:p w14:paraId="3942A93F" w14:textId="46722A0E"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(51.511)</w:t>
            </w:r>
          </w:p>
        </w:tc>
        <w:tc>
          <w:tcPr>
            <w:tcW w:w="1134" w:type="dxa"/>
            <w:tcBorders>
              <w:top w:val="nil"/>
              <w:left w:val="nil"/>
              <w:bottom w:val="nil"/>
              <w:right w:val="nil"/>
            </w:tcBorders>
            <w:shd w:val="clear" w:color="000000" w:fill="FFFFFF"/>
            <w:noWrap/>
            <w:vAlign w:val="center"/>
            <w:hideMark/>
          </w:tcPr>
          <w:p w14:paraId="4D63A443" w14:textId="7183198F"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5E389506" w14:textId="77777777" w:rsidTr="0072568C">
        <w:trPr>
          <w:trHeight w:val="170"/>
        </w:trPr>
        <w:tc>
          <w:tcPr>
            <w:tcW w:w="6092" w:type="dxa"/>
            <w:tcBorders>
              <w:top w:val="nil"/>
              <w:left w:val="nil"/>
              <w:bottom w:val="nil"/>
              <w:right w:val="nil"/>
            </w:tcBorders>
            <w:shd w:val="clear" w:color="000000" w:fill="FFFFFF"/>
            <w:noWrap/>
            <w:vAlign w:val="center"/>
            <w:hideMark/>
          </w:tcPr>
          <w:p w14:paraId="07868EA5" w14:textId="2A85F868"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Receitas reconhecidas pelo diferimento de contratos </w:t>
            </w:r>
          </w:p>
        </w:tc>
        <w:tc>
          <w:tcPr>
            <w:tcW w:w="1134" w:type="dxa"/>
            <w:tcBorders>
              <w:top w:val="nil"/>
              <w:left w:val="nil"/>
              <w:bottom w:val="nil"/>
              <w:right w:val="nil"/>
            </w:tcBorders>
            <w:shd w:val="clear" w:color="000000" w:fill="FFFFFF"/>
            <w:noWrap/>
            <w:vAlign w:val="center"/>
            <w:hideMark/>
          </w:tcPr>
          <w:p w14:paraId="501B0B36" w14:textId="75323B7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(1.361.997)</w:t>
            </w:r>
          </w:p>
        </w:tc>
        <w:tc>
          <w:tcPr>
            <w:tcW w:w="1134" w:type="dxa"/>
            <w:tcBorders>
              <w:top w:val="nil"/>
              <w:left w:val="nil"/>
              <w:bottom w:val="nil"/>
              <w:right w:val="nil"/>
            </w:tcBorders>
            <w:shd w:val="clear" w:color="000000" w:fill="FFFFFF"/>
            <w:noWrap/>
            <w:vAlign w:val="center"/>
            <w:hideMark/>
          </w:tcPr>
          <w:p w14:paraId="3889FB16" w14:textId="2327340A"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1.361.997 </w:t>
            </w:r>
          </w:p>
        </w:tc>
        <w:tc>
          <w:tcPr>
            <w:tcW w:w="1134" w:type="dxa"/>
            <w:tcBorders>
              <w:top w:val="nil"/>
              <w:left w:val="nil"/>
              <w:bottom w:val="nil"/>
              <w:right w:val="nil"/>
            </w:tcBorders>
            <w:shd w:val="clear" w:color="000000" w:fill="FFFFFF"/>
            <w:noWrap/>
            <w:vAlign w:val="center"/>
            <w:hideMark/>
          </w:tcPr>
          <w:p w14:paraId="20725BCD" w14:textId="751EF42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1C64FD" w:rsidRPr="001C64FD" w14:paraId="411D2F69" w14:textId="77777777" w:rsidTr="0072568C">
        <w:trPr>
          <w:trHeight w:val="170"/>
        </w:trPr>
        <w:tc>
          <w:tcPr>
            <w:tcW w:w="6092" w:type="dxa"/>
            <w:tcBorders>
              <w:top w:val="nil"/>
              <w:left w:val="nil"/>
              <w:bottom w:val="nil"/>
              <w:right w:val="nil"/>
            </w:tcBorders>
            <w:shd w:val="clear" w:color="000000" w:fill="FFFFFF"/>
            <w:noWrap/>
            <w:vAlign w:val="center"/>
            <w:hideMark/>
          </w:tcPr>
          <w:p w14:paraId="3BB9E0F2" w14:textId="7DCA1162"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Subvenção do Tesouro Nacional - repasse para custeio/pessoal </w:t>
            </w:r>
          </w:p>
        </w:tc>
        <w:tc>
          <w:tcPr>
            <w:tcW w:w="1134" w:type="dxa"/>
            <w:tcBorders>
              <w:top w:val="nil"/>
              <w:left w:val="nil"/>
              <w:bottom w:val="nil"/>
              <w:right w:val="nil"/>
            </w:tcBorders>
            <w:shd w:val="clear" w:color="000000" w:fill="FFFFFF"/>
            <w:noWrap/>
            <w:vAlign w:val="center"/>
            <w:hideMark/>
          </w:tcPr>
          <w:p w14:paraId="64F76E9E" w14:textId="21F22971"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(47.699.598)</w:t>
            </w:r>
          </w:p>
        </w:tc>
        <w:tc>
          <w:tcPr>
            <w:tcW w:w="1134" w:type="dxa"/>
            <w:tcBorders>
              <w:top w:val="nil"/>
              <w:left w:val="nil"/>
              <w:bottom w:val="nil"/>
              <w:right w:val="nil"/>
            </w:tcBorders>
            <w:shd w:val="clear" w:color="000000" w:fill="FFFFFF"/>
            <w:noWrap/>
            <w:vAlign w:val="center"/>
            <w:hideMark/>
          </w:tcPr>
          <w:p w14:paraId="035B80EA" w14:textId="3CF04CFD"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bottom"/>
            <w:hideMark/>
          </w:tcPr>
          <w:p w14:paraId="686D387E" w14:textId="0FF1F416"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 (47.699.598)</w:t>
            </w:r>
          </w:p>
        </w:tc>
      </w:tr>
      <w:tr w:rsidR="001C64FD" w:rsidRPr="001C64FD" w14:paraId="1D9A3F84" w14:textId="77777777" w:rsidTr="0072568C">
        <w:trPr>
          <w:trHeight w:val="170"/>
        </w:trPr>
        <w:tc>
          <w:tcPr>
            <w:tcW w:w="6092" w:type="dxa"/>
            <w:tcBorders>
              <w:top w:val="nil"/>
              <w:left w:val="nil"/>
              <w:bottom w:val="nil"/>
              <w:right w:val="nil"/>
            </w:tcBorders>
            <w:shd w:val="clear" w:color="auto" w:fill="auto"/>
            <w:noWrap/>
            <w:vAlign w:val="bottom"/>
            <w:hideMark/>
          </w:tcPr>
          <w:p w14:paraId="17B0AFBB" w14:textId="6B8D2011"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Provisões para Contingências Judiciais </w:t>
            </w:r>
          </w:p>
        </w:tc>
        <w:tc>
          <w:tcPr>
            <w:tcW w:w="1134" w:type="dxa"/>
            <w:tcBorders>
              <w:top w:val="nil"/>
              <w:left w:val="nil"/>
              <w:bottom w:val="nil"/>
              <w:right w:val="nil"/>
            </w:tcBorders>
            <w:shd w:val="clear" w:color="000000" w:fill="FFFFFF"/>
            <w:noWrap/>
            <w:vAlign w:val="center"/>
            <w:hideMark/>
          </w:tcPr>
          <w:p w14:paraId="70525194" w14:textId="0384AE22"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211080E5" w14:textId="7D653474"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(728.871)</w:t>
            </w:r>
          </w:p>
        </w:tc>
        <w:tc>
          <w:tcPr>
            <w:tcW w:w="1134" w:type="dxa"/>
            <w:tcBorders>
              <w:top w:val="nil"/>
              <w:left w:val="nil"/>
              <w:bottom w:val="nil"/>
              <w:right w:val="nil"/>
            </w:tcBorders>
            <w:shd w:val="clear" w:color="auto" w:fill="auto"/>
            <w:noWrap/>
            <w:vAlign w:val="bottom"/>
            <w:hideMark/>
          </w:tcPr>
          <w:p w14:paraId="112D9AD9" w14:textId="2C7A759C"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(728.871)</w:t>
            </w:r>
          </w:p>
        </w:tc>
      </w:tr>
      <w:tr w:rsidR="001C64FD" w:rsidRPr="001C64FD" w14:paraId="55E51AAA" w14:textId="77777777" w:rsidTr="0072568C">
        <w:trPr>
          <w:trHeight w:val="170"/>
        </w:trPr>
        <w:tc>
          <w:tcPr>
            <w:tcW w:w="6092" w:type="dxa"/>
            <w:tcBorders>
              <w:top w:val="nil"/>
              <w:left w:val="nil"/>
              <w:bottom w:val="nil"/>
              <w:right w:val="nil"/>
            </w:tcBorders>
            <w:shd w:val="clear" w:color="auto" w:fill="auto"/>
            <w:noWrap/>
            <w:vAlign w:val="bottom"/>
            <w:hideMark/>
          </w:tcPr>
          <w:p w14:paraId="418365C6" w14:textId="77777777" w:rsidR="001C64FD" w:rsidRPr="001C64FD" w:rsidRDefault="001C64FD" w:rsidP="001C64FD">
            <w:pPr>
              <w:spacing w:after="0" w:line="240" w:lineRule="auto"/>
              <w:rPr>
                <w:rFonts w:ascii="Calibri" w:eastAsia="Times New Roman" w:hAnsi="Calibri" w:cs="Calibri"/>
                <w:sz w:val="16"/>
                <w:szCs w:val="16"/>
              </w:rPr>
            </w:pPr>
          </w:p>
        </w:tc>
        <w:tc>
          <w:tcPr>
            <w:tcW w:w="1134" w:type="dxa"/>
            <w:tcBorders>
              <w:top w:val="nil"/>
              <w:left w:val="nil"/>
              <w:bottom w:val="nil"/>
              <w:right w:val="nil"/>
            </w:tcBorders>
            <w:shd w:val="clear" w:color="000000" w:fill="FFFFFF"/>
            <w:noWrap/>
            <w:vAlign w:val="center"/>
            <w:hideMark/>
          </w:tcPr>
          <w:p w14:paraId="68E426F5"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13B77087"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auto" w:fill="auto"/>
            <w:noWrap/>
            <w:vAlign w:val="bottom"/>
            <w:hideMark/>
          </w:tcPr>
          <w:p w14:paraId="7F64B79E" w14:textId="77777777" w:rsidR="001C64FD" w:rsidRPr="001C64FD" w:rsidRDefault="001C64FD" w:rsidP="00490FCA">
            <w:pPr>
              <w:spacing w:after="0" w:line="240" w:lineRule="auto"/>
              <w:jc w:val="right"/>
              <w:rPr>
                <w:rFonts w:ascii="Calibri" w:eastAsia="Times New Roman" w:hAnsi="Calibri" w:cs="Calibri"/>
                <w:color w:val="000000"/>
                <w:sz w:val="16"/>
                <w:szCs w:val="16"/>
              </w:rPr>
            </w:pPr>
          </w:p>
        </w:tc>
      </w:tr>
      <w:tr w:rsidR="0072568C" w:rsidRPr="001C64FD" w14:paraId="4B53DE58" w14:textId="77777777" w:rsidTr="0072568C">
        <w:trPr>
          <w:trHeight w:val="170"/>
        </w:trPr>
        <w:tc>
          <w:tcPr>
            <w:tcW w:w="6092" w:type="dxa"/>
            <w:tcBorders>
              <w:top w:val="nil"/>
              <w:left w:val="nil"/>
              <w:bottom w:val="nil"/>
              <w:right w:val="nil"/>
            </w:tcBorders>
            <w:shd w:val="clear" w:color="000000" w:fill="FFFFFF"/>
            <w:noWrap/>
            <w:vAlign w:val="center"/>
            <w:hideMark/>
          </w:tcPr>
          <w:p w14:paraId="513CC5BF" w14:textId="50A04DE8"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Resultado do Exercício Ajustado </w:t>
            </w:r>
          </w:p>
        </w:tc>
        <w:tc>
          <w:tcPr>
            <w:tcW w:w="1134" w:type="dxa"/>
            <w:tcBorders>
              <w:top w:val="nil"/>
              <w:left w:val="nil"/>
              <w:bottom w:val="nil"/>
              <w:right w:val="nil"/>
            </w:tcBorders>
            <w:shd w:val="clear" w:color="000000" w:fill="FFFFFF"/>
            <w:noWrap/>
            <w:vAlign w:val="center"/>
            <w:hideMark/>
          </w:tcPr>
          <w:p w14:paraId="237B0FFF" w14:textId="75F6B312"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(43.947.477)</w:t>
            </w:r>
          </w:p>
        </w:tc>
        <w:tc>
          <w:tcPr>
            <w:tcW w:w="1134" w:type="dxa"/>
            <w:tcBorders>
              <w:top w:val="nil"/>
              <w:left w:val="nil"/>
              <w:bottom w:val="nil"/>
              <w:right w:val="nil"/>
            </w:tcBorders>
            <w:shd w:val="clear" w:color="000000" w:fill="FFFFFF"/>
            <w:noWrap/>
            <w:vAlign w:val="center"/>
            <w:hideMark/>
          </w:tcPr>
          <w:p w14:paraId="43217AC9" w14:textId="5FE0E376"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1.181.735 </w:t>
            </w:r>
          </w:p>
        </w:tc>
        <w:tc>
          <w:tcPr>
            <w:tcW w:w="1134" w:type="dxa"/>
            <w:tcBorders>
              <w:top w:val="nil"/>
              <w:left w:val="nil"/>
              <w:bottom w:val="nil"/>
              <w:right w:val="nil"/>
            </w:tcBorders>
            <w:shd w:val="clear" w:color="000000" w:fill="FFFFFF"/>
            <w:noWrap/>
            <w:vAlign w:val="center"/>
            <w:hideMark/>
          </w:tcPr>
          <w:p w14:paraId="76703FFE" w14:textId="77762285"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(42.765.742)</w:t>
            </w:r>
          </w:p>
        </w:tc>
      </w:tr>
      <w:tr w:rsidR="001C64FD" w:rsidRPr="001C64FD" w14:paraId="7DC918B3" w14:textId="77777777" w:rsidTr="0072568C">
        <w:trPr>
          <w:trHeight w:val="170"/>
        </w:trPr>
        <w:tc>
          <w:tcPr>
            <w:tcW w:w="6092" w:type="dxa"/>
            <w:tcBorders>
              <w:top w:val="nil"/>
              <w:left w:val="nil"/>
              <w:bottom w:val="nil"/>
              <w:right w:val="nil"/>
            </w:tcBorders>
            <w:shd w:val="clear" w:color="000000" w:fill="FFFFFF"/>
            <w:noWrap/>
            <w:vAlign w:val="center"/>
            <w:hideMark/>
          </w:tcPr>
          <w:p w14:paraId="6B85C589" w14:textId="77777777"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05F8045F" w14:textId="0A174F31"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16CC5DB2"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auto" w:fill="auto"/>
            <w:noWrap/>
            <w:vAlign w:val="center"/>
            <w:hideMark/>
          </w:tcPr>
          <w:p w14:paraId="39333D72"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p>
        </w:tc>
      </w:tr>
      <w:tr w:rsidR="001C64FD" w:rsidRPr="001C64FD" w14:paraId="2DEACD9D" w14:textId="77777777" w:rsidTr="0072568C">
        <w:trPr>
          <w:trHeight w:val="170"/>
        </w:trPr>
        <w:tc>
          <w:tcPr>
            <w:tcW w:w="6092" w:type="dxa"/>
            <w:tcBorders>
              <w:top w:val="nil"/>
              <w:left w:val="nil"/>
              <w:bottom w:val="nil"/>
              <w:right w:val="nil"/>
            </w:tcBorders>
            <w:shd w:val="clear" w:color="auto" w:fill="auto"/>
            <w:noWrap/>
            <w:vAlign w:val="bottom"/>
            <w:hideMark/>
          </w:tcPr>
          <w:p w14:paraId="26C58683" w14:textId="30D9B086" w:rsidR="001C64FD" w:rsidRPr="001C64FD" w:rsidRDefault="001C64FD" w:rsidP="001C64FD">
            <w:pPr>
              <w:spacing w:after="0" w:line="240" w:lineRule="auto"/>
              <w:rPr>
                <w:rFonts w:ascii="Calibri" w:eastAsia="Times New Roman" w:hAnsi="Calibri" w:cs="Calibri"/>
                <w:b/>
                <w:bCs/>
                <w:sz w:val="16"/>
                <w:szCs w:val="16"/>
              </w:rPr>
            </w:pPr>
            <w:r w:rsidRPr="001C64FD">
              <w:rPr>
                <w:rFonts w:ascii="Calibri" w:eastAsia="Times New Roman" w:hAnsi="Calibri" w:cs="Calibri"/>
                <w:b/>
                <w:bCs/>
                <w:sz w:val="16"/>
                <w:szCs w:val="16"/>
              </w:rPr>
              <w:t xml:space="preserve">Aumento ou Redução nos Ativos </w:t>
            </w:r>
          </w:p>
        </w:tc>
        <w:tc>
          <w:tcPr>
            <w:tcW w:w="1134" w:type="dxa"/>
            <w:tcBorders>
              <w:top w:val="nil"/>
              <w:left w:val="nil"/>
              <w:bottom w:val="nil"/>
              <w:right w:val="nil"/>
            </w:tcBorders>
            <w:shd w:val="clear" w:color="000000" w:fill="FFFFFF"/>
            <w:noWrap/>
            <w:vAlign w:val="center"/>
            <w:hideMark/>
          </w:tcPr>
          <w:p w14:paraId="02C61042" w14:textId="7E48FBF1"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auto" w:fill="auto"/>
            <w:noWrap/>
            <w:vAlign w:val="bottom"/>
            <w:hideMark/>
          </w:tcPr>
          <w:p w14:paraId="036A5E17" w14:textId="7F90A1FB"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 xml:space="preserve"> 670.788 </w:t>
            </w:r>
          </w:p>
        </w:tc>
        <w:tc>
          <w:tcPr>
            <w:tcW w:w="1134" w:type="dxa"/>
            <w:tcBorders>
              <w:top w:val="nil"/>
              <w:left w:val="nil"/>
              <w:bottom w:val="nil"/>
              <w:right w:val="nil"/>
            </w:tcBorders>
            <w:shd w:val="clear" w:color="auto" w:fill="auto"/>
            <w:noWrap/>
            <w:vAlign w:val="bottom"/>
            <w:hideMark/>
          </w:tcPr>
          <w:p w14:paraId="22A84EFC" w14:textId="13548381"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 xml:space="preserve">670.788 </w:t>
            </w:r>
          </w:p>
        </w:tc>
      </w:tr>
      <w:tr w:rsidR="001C64FD" w:rsidRPr="001C64FD" w14:paraId="295B054E" w14:textId="77777777" w:rsidTr="0072568C">
        <w:trPr>
          <w:trHeight w:val="170"/>
        </w:trPr>
        <w:tc>
          <w:tcPr>
            <w:tcW w:w="6092" w:type="dxa"/>
            <w:tcBorders>
              <w:top w:val="nil"/>
              <w:left w:val="nil"/>
              <w:bottom w:val="nil"/>
              <w:right w:val="nil"/>
            </w:tcBorders>
            <w:shd w:val="clear" w:color="auto" w:fill="auto"/>
            <w:noWrap/>
            <w:vAlign w:val="bottom"/>
            <w:hideMark/>
          </w:tcPr>
          <w:p w14:paraId="23DED3D8" w14:textId="2A55C618"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Permissões para Uso de Pátios </w:t>
            </w:r>
          </w:p>
        </w:tc>
        <w:tc>
          <w:tcPr>
            <w:tcW w:w="1134" w:type="dxa"/>
            <w:tcBorders>
              <w:top w:val="nil"/>
              <w:left w:val="nil"/>
              <w:bottom w:val="nil"/>
              <w:right w:val="nil"/>
            </w:tcBorders>
            <w:shd w:val="clear" w:color="000000" w:fill="FFFFFF"/>
            <w:noWrap/>
            <w:vAlign w:val="center"/>
            <w:hideMark/>
          </w:tcPr>
          <w:p w14:paraId="3671D275" w14:textId="1856199D"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47A3B18D" w14:textId="2C1C265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27.978 </w:t>
            </w:r>
          </w:p>
        </w:tc>
        <w:tc>
          <w:tcPr>
            <w:tcW w:w="1134" w:type="dxa"/>
            <w:tcBorders>
              <w:top w:val="nil"/>
              <w:left w:val="nil"/>
              <w:bottom w:val="nil"/>
              <w:right w:val="nil"/>
            </w:tcBorders>
            <w:shd w:val="clear" w:color="auto" w:fill="auto"/>
            <w:noWrap/>
            <w:vAlign w:val="bottom"/>
            <w:hideMark/>
          </w:tcPr>
          <w:p w14:paraId="6DDF44B0" w14:textId="327C91A5"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 27.978 </w:t>
            </w:r>
          </w:p>
        </w:tc>
      </w:tr>
      <w:tr w:rsidR="001C64FD" w:rsidRPr="001C64FD" w14:paraId="657C022C" w14:textId="77777777" w:rsidTr="0072568C">
        <w:trPr>
          <w:trHeight w:val="170"/>
        </w:trPr>
        <w:tc>
          <w:tcPr>
            <w:tcW w:w="6092" w:type="dxa"/>
            <w:tcBorders>
              <w:top w:val="nil"/>
              <w:left w:val="nil"/>
              <w:bottom w:val="nil"/>
              <w:right w:val="nil"/>
            </w:tcBorders>
            <w:shd w:val="clear" w:color="auto" w:fill="auto"/>
            <w:noWrap/>
            <w:vAlign w:val="bottom"/>
            <w:hideMark/>
          </w:tcPr>
          <w:p w14:paraId="23E7546F" w14:textId="1D891810"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TEDs e Acordos</w:t>
            </w:r>
          </w:p>
        </w:tc>
        <w:tc>
          <w:tcPr>
            <w:tcW w:w="1134" w:type="dxa"/>
            <w:tcBorders>
              <w:top w:val="nil"/>
              <w:left w:val="nil"/>
              <w:bottom w:val="nil"/>
              <w:right w:val="nil"/>
            </w:tcBorders>
            <w:shd w:val="clear" w:color="000000" w:fill="FFFFFF"/>
            <w:noWrap/>
            <w:vAlign w:val="center"/>
            <w:hideMark/>
          </w:tcPr>
          <w:p w14:paraId="7C9EEAA8" w14:textId="287B1848"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779D220B" w14:textId="02944F1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(89.115)</w:t>
            </w:r>
          </w:p>
        </w:tc>
        <w:tc>
          <w:tcPr>
            <w:tcW w:w="1134" w:type="dxa"/>
            <w:tcBorders>
              <w:top w:val="nil"/>
              <w:left w:val="nil"/>
              <w:bottom w:val="nil"/>
              <w:right w:val="nil"/>
            </w:tcBorders>
            <w:shd w:val="clear" w:color="auto" w:fill="auto"/>
            <w:noWrap/>
            <w:vAlign w:val="center"/>
            <w:hideMark/>
          </w:tcPr>
          <w:p w14:paraId="622FF94E" w14:textId="38551A67"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 (89.115)</w:t>
            </w:r>
          </w:p>
        </w:tc>
      </w:tr>
      <w:tr w:rsidR="001C64FD" w:rsidRPr="001C64FD" w14:paraId="0E1CB1ED" w14:textId="77777777" w:rsidTr="0072568C">
        <w:trPr>
          <w:trHeight w:val="170"/>
        </w:trPr>
        <w:tc>
          <w:tcPr>
            <w:tcW w:w="6092" w:type="dxa"/>
            <w:tcBorders>
              <w:top w:val="nil"/>
              <w:left w:val="nil"/>
              <w:bottom w:val="nil"/>
              <w:right w:val="nil"/>
            </w:tcBorders>
            <w:shd w:val="clear" w:color="auto" w:fill="auto"/>
            <w:noWrap/>
            <w:vAlign w:val="bottom"/>
            <w:hideMark/>
          </w:tcPr>
          <w:p w14:paraId="616C2DD8" w14:textId="6CA2F571"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Depósitos Judiciais </w:t>
            </w:r>
          </w:p>
        </w:tc>
        <w:tc>
          <w:tcPr>
            <w:tcW w:w="1134" w:type="dxa"/>
            <w:tcBorders>
              <w:top w:val="nil"/>
              <w:left w:val="nil"/>
              <w:bottom w:val="nil"/>
              <w:right w:val="nil"/>
            </w:tcBorders>
            <w:shd w:val="clear" w:color="000000" w:fill="FFFFFF"/>
            <w:noWrap/>
            <w:vAlign w:val="center"/>
            <w:hideMark/>
          </w:tcPr>
          <w:p w14:paraId="0E27ABD6" w14:textId="089A05DB"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22F7E798" w14:textId="10E8BCDB"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605.145 </w:t>
            </w:r>
          </w:p>
        </w:tc>
        <w:tc>
          <w:tcPr>
            <w:tcW w:w="1134" w:type="dxa"/>
            <w:tcBorders>
              <w:top w:val="nil"/>
              <w:left w:val="nil"/>
              <w:bottom w:val="nil"/>
              <w:right w:val="nil"/>
            </w:tcBorders>
            <w:shd w:val="clear" w:color="auto" w:fill="auto"/>
            <w:noWrap/>
            <w:vAlign w:val="center"/>
            <w:hideMark/>
          </w:tcPr>
          <w:p w14:paraId="1B7C6433" w14:textId="075760C3"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605.145 </w:t>
            </w:r>
          </w:p>
        </w:tc>
      </w:tr>
      <w:tr w:rsidR="001C64FD" w:rsidRPr="001C64FD" w14:paraId="7D777368" w14:textId="77777777" w:rsidTr="0072568C">
        <w:trPr>
          <w:trHeight w:val="170"/>
        </w:trPr>
        <w:tc>
          <w:tcPr>
            <w:tcW w:w="6092" w:type="dxa"/>
            <w:tcBorders>
              <w:top w:val="nil"/>
              <w:left w:val="nil"/>
              <w:bottom w:val="nil"/>
              <w:right w:val="nil"/>
            </w:tcBorders>
            <w:shd w:val="clear" w:color="auto" w:fill="auto"/>
            <w:noWrap/>
            <w:vAlign w:val="bottom"/>
            <w:hideMark/>
          </w:tcPr>
          <w:p w14:paraId="7DE289D1" w14:textId="61127F3C"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Demais Créditos e Valores</w:t>
            </w:r>
          </w:p>
        </w:tc>
        <w:tc>
          <w:tcPr>
            <w:tcW w:w="1134" w:type="dxa"/>
            <w:tcBorders>
              <w:top w:val="nil"/>
              <w:left w:val="nil"/>
              <w:bottom w:val="nil"/>
              <w:right w:val="nil"/>
            </w:tcBorders>
            <w:shd w:val="clear" w:color="000000" w:fill="FFFFFF"/>
            <w:noWrap/>
            <w:vAlign w:val="center"/>
            <w:hideMark/>
          </w:tcPr>
          <w:p w14:paraId="76CE0405" w14:textId="447A6896"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587D1FA3" w14:textId="45110A21"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493.965 </w:t>
            </w:r>
          </w:p>
        </w:tc>
        <w:tc>
          <w:tcPr>
            <w:tcW w:w="1134" w:type="dxa"/>
            <w:tcBorders>
              <w:top w:val="nil"/>
              <w:left w:val="nil"/>
              <w:bottom w:val="nil"/>
              <w:right w:val="nil"/>
            </w:tcBorders>
            <w:shd w:val="clear" w:color="auto" w:fill="auto"/>
            <w:noWrap/>
            <w:vAlign w:val="center"/>
            <w:hideMark/>
          </w:tcPr>
          <w:p w14:paraId="533398BD" w14:textId="52951164"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493.965 </w:t>
            </w:r>
          </w:p>
        </w:tc>
      </w:tr>
      <w:tr w:rsidR="001C64FD" w:rsidRPr="001C64FD" w14:paraId="4C7C522A" w14:textId="77777777" w:rsidTr="0072568C">
        <w:trPr>
          <w:trHeight w:val="170"/>
        </w:trPr>
        <w:tc>
          <w:tcPr>
            <w:tcW w:w="6092" w:type="dxa"/>
            <w:tcBorders>
              <w:top w:val="nil"/>
              <w:left w:val="nil"/>
              <w:bottom w:val="nil"/>
              <w:right w:val="nil"/>
            </w:tcBorders>
            <w:shd w:val="clear" w:color="auto" w:fill="auto"/>
            <w:noWrap/>
            <w:vAlign w:val="bottom"/>
            <w:hideMark/>
          </w:tcPr>
          <w:p w14:paraId="6A935A6F" w14:textId="1F3301B5"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Outros ativos </w:t>
            </w:r>
          </w:p>
        </w:tc>
        <w:tc>
          <w:tcPr>
            <w:tcW w:w="1134" w:type="dxa"/>
            <w:tcBorders>
              <w:top w:val="nil"/>
              <w:left w:val="nil"/>
              <w:bottom w:val="nil"/>
              <w:right w:val="nil"/>
            </w:tcBorders>
            <w:shd w:val="clear" w:color="000000" w:fill="FFFFFF"/>
            <w:noWrap/>
            <w:vAlign w:val="center"/>
            <w:hideMark/>
          </w:tcPr>
          <w:p w14:paraId="320145B1" w14:textId="4355EA9B"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75DB6A52" w14:textId="5CF6526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(367.185)</w:t>
            </w:r>
          </w:p>
        </w:tc>
        <w:tc>
          <w:tcPr>
            <w:tcW w:w="1134" w:type="dxa"/>
            <w:tcBorders>
              <w:top w:val="nil"/>
              <w:left w:val="nil"/>
              <w:bottom w:val="nil"/>
              <w:right w:val="nil"/>
            </w:tcBorders>
            <w:shd w:val="clear" w:color="auto" w:fill="auto"/>
            <w:noWrap/>
            <w:vAlign w:val="center"/>
            <w:hideMark/>
          </w:tcPr>
          <w:p w14:paraId="7D8AAF84" w14:textId="2D35E4D6"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(367.185)</w:t>
            </w:r>
          </w:p>
        </w:tc>
      </w:tr>
      <w:tr w:rsidR="001C64FD" w:rsidRPr="001C64FD" w14:paraId="334F33A2" w14:textId="77777777" w:rsidTr="0072568C">
        <w:trPr>
          <w:trHeight w:val="170"/>
        </w:trPr>
        <w:tc>
          <w:tcPr>
            <w:tcW w:w="6092" w:type="dxa"/>
            <w:tcBorders>
              <w:top w:val="nil"/>
              <w:left w:val="nil"/>
              <w:bottom w:val="nil"/>
              <w:right w:val="nil"/>
            </w:tcBorders>
            <w:shd w:val="clear" w:color="auto" w:fill="auto"/>
            <w:noWrap/>
            <w:vAlign w:val="bottom"/>
            <w:hideMark/>
          </w:tcPr>
          <w:p w14:paraId="5868EECC" w14:textId="62F71B64" w:rsidR="001C64FD" w:rsidRPr="001C64FD" w:rsidRDefault="001C64FD" w:rsidP="001C64FD">
            <w:pPr>
              <w:spacing w:after="0" w:line="240" w:lineRule="auto"/>
              <w:rPr>
                <w:rFonts w:ascii="Calibri" w:eastAsia="Times New Roman" w:hAnsi="Calibri" w:cs="Calibri"/>
                <w:b/>
                <w:bCs/>
                <w:sz w:val="16"/>
                <w:szCs w:val="16"/>
              </w:rPr>
            </w:pPr>
            <w:r w:rsidRPr="001C64FD">
              <w:rPr>
                <w:rFonts w:ascii="Calibri" w:eastAsia="Times New Roman" w:hAnsi="Calibri" w:cs="Calibri"/>
                <w:b/>
                <w:bCs/>
                <w:sz w:val="16"/>
                <w:szCs w:val="16"/>
              </w:rPr>
              <w:t xml:space="preserve">Aumento ou Redução nos Passivos </w:t>
            </w:r>
          </w:p>
        </w:tc>
        <w:tc>
          <w:tcPr>
            <w:tcW w:w="1134" w:type="dxa"/>
            <w:tcBorders>
              <w:top w:val="nil"/>
              <w:left w:val="nil"/>
              <w:bottom w:val="nil"/>
              <w:right w:val="nil"/>
            </w:tcBorders>
            <w:shd w:val="clear" w:color="000000" w:fill="FFFFFF"/>
            <w:noWrap/>
            <w:vAlign w:val="center"/>
            <w:hideMark/>
          </w:tcPr>
          <w:p w14:paraId="4C9DE445" w14:textId="37C9818B"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04B14F0" w14:textId="3D947DB3"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 xml:space="preserve"> 623.385 </w:t>
            </w:r>
          </w:p>
        </w:tc>
        <w:tc>
          <w:tcPr>
            <w:tcW w:w="1134" w:type="dxa"/>
            <w:tcBorders>
              <w:top w:val="nil"/>
              <w:left w:val="nil"/>
              <w:bottom w:val="nil"/>
              <w:right w:val="nil"/>
            </w:tcBorders>
            <w:shd w:val="clear" w:color="auto" w:fill="auto"/>
            <w:noWrap/>
            <w:vAlign w:val="center"/>
            <w:hideMark/>
          </w:tcPr>
          <w:p w14:paraId="3B6F2E47" w14:textId="3EF544A2" w:rsidR="001C64FD" w:rsidRPr="001C64FD" w:rsidRDefault="001C64FD" w:rsidP="00490FCA">
            <w:pPr>
              <w:spacing w:after="0" w:line="240" w:lineRule="auto"/>
              <w:jc w:val="right"/>
              <w:rPr>
                <w:rFonts w:ascii="Calibri" w:eastAsia="Times New Roman" w:hAnsi="Calibri" w:cs="Calibri"/>
                <w:b/>
                <w:bCs/>
                <w:sz w:val="16"/>
                <w:szCs w:val="16"/>
              </w:rPr>
            </w:pPr>
            <w:r w:rsidRPr="001C64FD">
              <w:rPr>
                <w:rFonts w:ascii="Calibri" w:eastAsia="Times New Roman" w:hAnsi="Calibri" w:cs="Calibri"/>
                <w:b/>
                <w:bCs/>
                <w:sz w:val="16"/>
                <w:szCs w:val="16"/>
              </w:rPr>
              <w:t xml:space="preserve">623.385 </w:t>
            </w:r>
          </w:p>
        </w:tc>
      </w:tr>
      <w:tr w:rsidR="001C64FD" w:rsidRPr="001C64FD" w14:paraId="436D8632" w14:textId="77777777" w:rsidTr="0072568C">
        <w:trPr>
          <w:trHeight w:val="170"/>
        </w:trPr>
        <w:tc>
          <w:tcPr>
            <w:tcW w:w="6092" w:type="dxa"/>
            <w:tcBorders>
              <w:top w:val="nil"/>
              <w:left w:val="nil"/>
              <w:bottom w:val="nil"/>
              <w:right w:val="nil"/>
            </w:tcBorders>
            <w:shd w:val="clear" w:color="auto" w:fill="auto"/>
            <w:noWrap/>
            <w:vAlign w:val="bottom"/>
            <w:hideMark/>
          </w:tcPr>
          <w:p w14:paraId="007C9F87" w14:textId="3CE2C3D0"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Fornecedores</w:t>
            </w:r>
          </w:p>
        </w:tc>
        <w:tc>
          <w:tcPr>
            <w:tcW w:w="1134" w:type="dxa"/>
            <w:tcBorders>
              <w:top w:val="nil"/>
              <w:left w:val="nil"/>
              <w:bottom w:val="nil"/>
              <w:right w:val="nil"/>
            </w:tcBorders>
            <w:shd w:val="clear" w:color="000000" w:fill="FFFFFF"/>
            <w:noWrap/>
            <w:vAlign w:val="center"/>
            <w:hideMark/>
          </w:tcPr>
          <w:p w14:paraId="4800B112" w14:textId="485FD9D2"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5D95CDC4" w14:textId="2E7D4E8F"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(1.599.139)</w:t>
            </w:r>
          </w:p>
        </w:tc>
        <w:tc>
          <w:tcPr>
            <w:tcW w:w="1134" w:type="dxa"/>
            <w:tcBorders>
              <w:top w:val="nil"/>
              <w:left w:val="nil"/>
              <w:bottom w:val="nil"/>
              <w:right w:val="nil"/>
            </w:tcBorders>
            <w:shd w:val="clear" w:color="auto" w:fill="auto"/>
            <w:noWrap/>
            <w:vAlign w:val="center"/>
            <w:hideMark/>
          </w:tcPr>
          <w:p w14:paraId="5703AF6B" w14:textId="58030D93"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(1.599.139)</w:t>
            </w:r>
          </w:p>
        </w:tc>
      </w:tr>
      <w:tr w:rsidR="001C64FD" w:rsidRPr="001C64FD" w14:paraId="1BB915EB" w14:textId="77777777" w:rsidTr="0072568C">
        <w:trPr>
          <w:trHeight w:val="170"/>
        </w:trPr>
        <w:tc>
          <w:tcPr>
            <w:tcW w:w="6092" w:type="dxa"/>
            <w:tcBorders>
              <w:top w:val="nil"/>
              <w:left w:val="nil"/>
              <w:bottom w:val="nil"/>
              <w:right w:val="nil"/>
            </w:tcBorders>
            <w:shd w:val="clear" w:color="auto" w:fill="auto"/>
            <w:noWrap/>
            <w:vAlign w:val="bottom"/>
            <w:hideMark/>
          </w:tcPr>
          <w:p w14:paraId="5BC1FC56" w14:textId="01F10BB8"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Receitas Diferidas </w:t>
            </w:r>
          </w:p>
        </w:tc>
        <w:tc>
          <w:tcPr>
            <w:tcW w:w="1134" w:type="dxa"/>
            <w:tcBorders>
              <w:top w:val="nil"/>
              <w:left w:val="nil"/>
              <w:bottom w:val="nil"/>
              <w:right w:val="nil"/>
            </w:tcBorders>
            <w:shd w:val="clear" w:color="000000" w:fill="FFFFFF"/>
            <w:noWrap/>
            <w:vAlign w:val="center"/>
            <w:hideMark/>
          </w:tcPr>
          <w:p w14:paraId="3BFA56B8" w14:textId="159BE00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0DDDA4C4" w14:textId="617B2842"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(1.361.996)</w:t>
            </w:r>
          </w:p>
        </w:tc>
        <w:tc>
          <w:tcPr>
            <w:tcW w:w="1134" w:type="dxa"/>
            <w:tcBorders>
              <w:top w:val="nil"/>
              <w:left w:val="nil"/>
              <w:bottom w:val="nil"/>
              <w:right w:val="nil"/>
            </w:tcBorders>
            <w:shd w:val="clear" w:color="auto" w:fill="auto"/>
            <w:noWrap/>
            <w:vAlign w:val="center"/>
            <w:hideMark/>
          </w:tcPr>
          <w:p w14:paraId="0B06B777" w14:textId="7696D9D8"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(1.361.996)</w:t>
            </w:r>
          </w:p>
        </w:tc>
      </w:tr>
      <w:tr w:rsidR="001C64FD" w:rsidRPr="001C64FD" w14:paraId="1974D1D7" w14:textId="77777777" w:rsidTr="0072568C">
        <w:trPr>
          <w:trHeight w:val="170"/>
        </w:trPr>
        <w:tc>
          <w:tcPr>
            <w:tcW w:w="6092" w:type="dxa"/>
            <w:tcBorders>
              <w:top w:val="nil"/>
              <w:left w:val="nil"/>
              <w:bottom w:val="nil"/>
              <w:right w:val="nil"/>
            </w:tcBorders>
            <w:shd w:val="clear" w:color="auto" w:fill="auto"/>
            <w:noWrap/>
            <w:vAlign w:val="bottom"/>
            <w:hideMark/>
          </w:tcPr>
          <w:p w14:paraId="268A8900" w14:textId="61418E70"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Termo de Execução Descentralizada </w:t>
            </w:r>
          </w:p>
        </w:tc>
        <w:tc>
          <w:tcPr>
            <w:tcW w:w="1134" w:type="dxa"/>
            <w:tcBorders>
              <w:top w:val="nil"/>
              <w:left w:val="nil"/>
              <w:bottom w:val="nil"/>
              <w:right w:val="nil"/>
            </w:tcBorders>
            <w:shd w:val="clear" w:color="000000" w:fill="FFFFFF"/>
            <w:noWrap/>
            <w:vAlign w:val="center"/>
            <w:hideMark/>
          </w:tcPr>
          <w:p w14:paraId="2BB69A6B" w14:textId="2FEDDB71"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174ED769" w14:textId="018FF4E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39.895 </w:t>
            </w:r>
          </w:p>
        </w:tc>
        <w:tc>
          <w:tcPr>
            <w:tcW w:w="1134" w:type="dxa"/>
            <w:tcBorders>
              <w:top w:val="nil"/>
              <w:left w:val="nil"/>
              <w:bottom w:val="nil"/>
              <w:right w:val="nil"/>
            </w:tcBorders>
            <w:shd w:val="clear" w:color="auto" w:fill="auto"/>
            <w:noWrap/>
            <w:vAlign w:val="center"/>
            <w:hideMark/>
          </w:tcPr>
          <w:p w14:paraId="46AA9722" w14:textId="023EF086"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 39.895 </w:t>
            </w:r>
          </w:p>
        </w:tc>
      </w:tr>
      <w:tr w:rsidR="001C64FD" w:rsidRPr="001C64FD" w14:paraId="26401B92" w14:textId="77777777" w:rsidTr="0072568C">
        <w:trPr>
          <w:trHeight w:val="170"/>
        </w:trPr>
        <w:tc>
          <w:tcPr>
            <w:tcW w:w="6092" w:type="dxa"/>
            <w:tcBorders>
              <w:top w:val="nil"/>
              <w:left w:val="nil"/>
              <w:bottom w:val="nil"/>
              <w:right w:val="nil"/>
            </w:tcBorders>
            <w:shd w:val="clear" w:color="auto" w:fill="auto"/>
            <w:noWrap/>
            <w:vAlign w:val="bottom"/>
            <w:hideMark/>
          </w:tcPr>
          <w:p w14:paraId="31A2DA75" w14:textId="2F53CDF3"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Outros passivos </w:t>
            </w:r>
          </w:p>
        </w:tc>
        <w:tc>
          <w:tcPr>
            <w:tcW w:w="1134" w:type="dxa"/>
            <w:tcBorders>
              <w:top w:val="nil"/>
              <w:left w:val="nil"/>
              <w:bottom w:val="nil"/>
              <w:right w:val="nil"/>
            </w:tcBorders>
            <w:shd w:val="clear" w:color="000000" w:fill="FFFFFF"/>
            <w:noWrap/>
            <w:vAlign w:val="center"/>
            <w:hideMark/>
          </w:tcPr>
          <w:p w14:paraId="4FA37A91" w14:textId="09B7B27C"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4DA1F221" w14:textId="7AA275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3.544.625 </w:t>
            </w:r>
          </w:p>
        </w:tc>
        <w:tc>
          <w:tcPr>
            <w:tcW w:w="1134" w:type="dxa"/>
            <w:tcBorders>
              <w:top w:val="nil"/>
              <w:left w:val="nil"/>
              <w:bottom w:val="nil"/>
              <w:right w:val="nil"/>
            </w:tcBorders>
            <w:shd w:val="clear" w:color="auto" w:fill="auto"/>
            <w:noWrap/>
            <w:vAlign w:val="center"/>
            <w:hideMark/>
          </w:tcPr>
          <w:p w14:paraId="58D2B394" w14:textId="35D76133" w:rsidR="001C64FD" w:rsidRPr="001C64FD" w:rsidRDefault="001C64FD" w:rsidP="00490FCA">
            <w:pPr>
              <w:spacing w:after="0" w:line="240" w:lineRule="auto"/>
              <w:jc w:val="right"/>
              <w:rPr>
                <w:rFonts w:ascii="Calibri" w:eastAsia="Times New Roman" w:hAnsi="Calibri" w:cs="Calibri"/>
                <w:sz w:val="16"/>
                <w:szCs w:val="16"/>
              </w:rPr>
            </w:pPr>
            <w:r w:rsidRPr="001C64FD">
              <w:rPr>
                <w:rFonts w:ascii="Calibri" w:eastAsia="Times New Roman" w:hAnsi="Calibri" w:cs="Calibri"/>
                <w:sz w:val="16"/>
                <w:szCs w:val="16"/>
              </w:rPr>
              <w:t xml:space="preserve">3.544.625 </w:t>
            </w:r>
          </w:p>
        </w:tc>
      </w:tr>
      <w:tr w:rsidR="0072568C" w:rsidRPr="001C64FD" w14:paraId="06D88552" w14:textId="77777777" w:rsidTr="0072568C">
        <w:trPr>
          <w:trHeight w:val="170"/>
        </w:trPr>
        <w:tc>
          <w:tcPr>
            <w:tcW w:w="6092" w:type="dxa"/>
            <w:tcBorders>
              <w:top w:val="nil"/>
              <w:left w:val="nil"/>
              <w:bottom w:val="nil"/>
              <w:right w:val="nil"/>
            </w:tcBorders>
            <w:shd w:val="clear" w:color="000000" w:fill="FFFFFF"/>
            <w:noWrap/>
            <w:vAlign w:val="center"/>
            <w:hideMark/>
          </w:tcPr>
          <w:p w14:paraId="046E6B9C" w14:textId="74069285"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Aumento ou Redução nos Ativos e Passivos Operacionais </w:t>
            </w:r>
          </w:p>
        </w:tc>
        <w:tc>
          <w:tcPr>
            <w:tcW w:w="1134" w:type="dxa"/>
            <w:tcBorders>
              <w:top w:val="nil"/>
              <w:left w:val="nil"/>
              <w:bottom w:val="nil"/>
              <w:right w:val="nil"/>
            </w:tcBorders>
            <w:shd w:val="clear" w:color="000000" w:fill="FFFFFF"/>
            <w:noWrap/>
            <w:vAlign w:val="center"/>
            <w:hideMark/>
          </w:tcPr>
          <w:p w14:paraId="1B2302A9" w14:textId="20F9595A"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130.253.908 </w:t>
            </w:r>
          </w:p>
        </w:tc>
        <w:tc>
          <w:tcPr>
            <w:tcW w:w="1134" w:type="dxa"/>
            <w:tcBorders>
              <w:top w:val="nil"/>
              <w:left w:val="nil"/>
              <w:bottom w:val="nil"/>
              <w:right w:val="nil"/>
            </w:tcBorders>
            <w:shd w:val="clear" w:color="000000" w:fill="FFFFFF"/>
            <w:noWrap/>
            <w:vAlign w:val="center"/>
            <w:hideMark/>
          </w:tcPr>
          <w:p w14:paraId="2929CFB5" w14:textId="3C0CAE4C"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(130.253.908)</w:t>
            </w:r>
          </w:p>
        </w:tc>
        <w:tc>
          <w:tcPr>
            <w:tcW w:w="1134" w:type="dxa"/>
            <w:tcBorders>
              <w:top w:val="nil"/>
              <w:left w:val="nil"/>
              <w:bottom w:val="nil"/>
              <w:right w:val="nil"/>
            </w:tcBorders>
            <w:shd w:val="clear" w:color="000000" w:fill="FFFFFF"/>
            <w:noWrap/>
            <w:vAlign w:val="center"/>
            <w:hideMark/>
          </w:tcPr>
          <w:p w14:paraId="44122314" w14:textId="4891BD42"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r>
      <w:tr w:rsidR="0072568C" w:rsidRPr="001C64FD" w14:paraId="51818F79" w14:textId="77777777" w:rsidTr="0072568C">
        <w:trPr>
          <w:trHeight w:val="170"/>
        </w:trPr>
        <w:tc>
          <w:tcPr>
            <w:tcW w:w="6092" w:type="dxa"/>
            <w:tcBorders>
              <w:top w:val="nil"/>
              <w:left w:val="nil"/>
              <w:bottom w:val="nil"/>
              <w:right w:val="nil"/>
            </w:tcBorders>
            <w:shd w:val="clear" w:color="000000" w:fill="FFFFFF"/>
            <w:noWrap/>
            <w:vAlign w:val="center"/>
            <w:hideMark/>
          </w:tcPr>
          <w:p w14:paraId="3B7F401B" w14:textId="3B2FE689"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Redução (Aumento) de Direitos Realizáveis Curto Prazo </w:t>
            </w:r>
          </w:p>
        </w:tc>
        <w:tc>
          <w:tcPr>
            <w:tcW w:w="1134" w:type="dxa"/>
            <w:tcBorders>
              <w:top w:val="nil"/>
              <w:left w:val="nil"/>
              <w:bottom w:val="nil"/>
              <w:right w:val="nil"/>
            </w:tcBorders>
            <w:shd w:val="clear" w:color="000000" w:fill="FFFFFF"/>
            <w:noWrap/>
            <w:vAlign w:val="center"/>
            <w:hideMark/>
          </w:tcPr>
          <w:p w14:paraId="1BCB10D2" w14:textId="1A359F3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(13.771)</w:t>
            </w:r>
          </w:p>
        </w:tc>
        <w:tc>
          <w:tcPr>
            <w:tcW w:w="1134" w:type="dxa"/>
            <w:tcBorders>
              <w:top w:val="nil"/>
              <w:left w:val="nil"/>
              <w:bottom w:val="nil"/>
              <w:right w:val="nil"/>
            </w:tcBorders>
            <w:shd w:val="clear" w:color="000000" w:fill="FFFFFF"/>
            <w:noWrap/>
            <w:vAlign w:val="center"/>
            <w:hideMark/>
          </w:tcPr>
          <w:p w14:paraId="585106EE" w14:textId="15D2D5F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13.771 </w:t>
            </w:r>
          </w:p>
        </w:tc>
        <w:tc>
          <w:tcPr>
            <w:tcW w:w="1134" w:type="dxa"/>
            <w:tcBorders>
              <w:top w:val="nil"/>
              <w:left w:val="nil"/>
              <w:bottom w:val="nil"/>
              <w:right w:val="nil"/>
            </w:tcBorders>
            <w:shd w:val="clear" w:color="000000" w:fill="FFFFFF"/>
            <w:noWrap/>
            <w:vAlign w:val="center"/>
            <w:hideMark/>
          </w:tcPr>
          <w:p w14:paraId="3783AC9B" w14:textId="6AB5A35D"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0C65F608" w14:textId="77777777" w:rsidTr="0072568C">
        <w:trPr>
          <w:trHeight w:val="170"/>
        </w:trPr>
        <w:tc>
          <w:tcPr>
            <w:tcW w:w="6092" w:type="dxa"/>
            <w:tcBorders>
              <w:top w:val="nil"/>
              <w:left w:val="nil"/>
              <w:bottom w:val="nil"/>
              <w:right w:val="nil"/>
            </w:tcBorders>
            <w:shd w:val="clear" w:color="000000" w:fill="FFFFFF"/>
            <w:noWrap/>
            <w:vAlign w:val="center"/>
            <w:hideMark/>
          </w:tcPr>
          <w:p w14:paraId="7269F4A3" w14:textId="7C24ADDC"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Redução (Aumento) de Direitos Realizáveis a Longo Prazo </w:t>
            </w:r>
          </w:p>
        </w:tc>
        <w:tc>
          <w:tcPr>
            <w:tcW w:w="1134" w:type="dxa"/>
            <w:tcBorders>
              <w:top w:val="nil"/>
              <w:left w:val="nil"/>
              <w:bottom w:val="nil"/>
              <w:right w:val="nil"/>
            </w:tcBorders>
            <w:shd w:val="clear" w:color="000000" w:fill="FFFFFF"/>
            <w:noWrap/>
            <w:vAlign w:val="center"/>
            <w:hideMark/>
          </w:tcPr>
          <w:p w14:paraId="65DB0FB1" w14:textId="3428DF2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1.325.812 </w:t>
            </w:r>
          </w:p>
        </w:tc>
        <w:tc>
          <w:tcPr>
            <w:tcW w:w="1134" w:type="dxa"/>
            <w:tcBorders>
              <w:top w:val="nil"/>
              <w:left w:val="nil"/>
              <w:bottom w:val="nil"/>
              <w:right w:val="nil"/>
            </w:tcBorders>
            <w:shd w:val="clear" w:color="000000" w:fill="FFFFFF"/>
            <w:noWrap/>
            <w:vAlign w:val="center"/>
            <w:hideMark/>
          </w:tcPr>
          <w:p w14:paraId="1FF5EA85" w14:textId="05CEF4F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(1.325.812)</w:t>
            </w:r>
          </w:p>
        </w:tc>
        <w:tc>
          <w:tcPr>
            <w:tcW w:w="1134" w:type="dxa"/>
            <w:tcBorders>
              <w:top w:val="nil"/>
              <w:left w:val="nil"/>
              <w:bottom w:val="nil"/>
              <w:right w:val="nil"/>
            </w:tcBorders>
            <w:shd w:val="clear" w:color="000000" w:fill="FFFFFF"/>
            <w:noWrap/>
            <w:vAlign w:val="center"/>
            <w:hideMark/>
          </w:tcPr>
          <w:p w14:paraId="3832B567" w14:textId="0111176F"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265D5B5E" w14:textId="77777777" w:rsidTr="0072568C">
        <w:trPr>
          <w:trHeight w:val="170"/>
        </w:trPr>
        <w:tc>
          <w:tcPr>
            <w:tcW w:w="6092" w:type="dxa"/>
            <w:tcBorders>
              <w:top w:val="nil"/>
              <w:left w:val="nil"/>
              <w:bottom w:val="nil"/>
              <w:right w:val="nil"/>
            </w:tcBorders>
            <w:shd w:val="clear" w:color="000000" w:fill="FFFFFF"/>
            <w:noWrap/>
            <w:vAlign w:val="center"/>
            <w:hideMark/>
          </w:tcPr>
          <w:p w14:paraId="3E9C3A91" w14:textId="1FC551DD"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Aumento (Redução) de Fornecedores</w:t>
            </w:r>
          </w:p>
        </w:tc>
        <w:tc>
          <w:tcPr>
            <w:tcW w:w="1134" w:type="dxa"/>
            <w:tcBorders>
              <w:top w:val="nil"/>
              <w:left w:val="nil"/>
              <w:bottom w:val="nil"/>
              <w:right w:val="nil"/>
            </w:tcBorders>
            <w:shd w:val="clear" w:color="000000" w:fill="FFFFFF"/>
            <w:noWrap/>
            <w:vAlign w:val="center"/>
            <w:hideMark/>
          </w:tcPr>
          <w:p w14:paraId="0A7FA638" w14:textId="5927F03A"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(489.579)</w:t>
            </w:r>
          </w:p>
        </w:tc>
        <w:tc>
          <w:tcPr>
            <w:tcW w:w="1134" w:type="dxa"/>
            <w:tcBorders>
              <w:top w:val="nil"/>
              <w:left w:val="nil"/>
              <w:bottom w:val="nil"/>
              <w:right w:val="nil"/>
            </w:tcBorders>
            <w:shd w:val="clear" w:color="000000" w:fill="FFFFFF"/>
            <w:noWrap/>
            <w:vAlign w:val="center"/>
            <w:hideMark/>
          </w:tcPr>
          <w:p w14:paraId="5E186824" w14:textId="6852C0E8"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489.579 </w:t>
            </w:r>
          </w:p>
        </w:tc>
        <w:tc>
          <w:tcPr>
            <w:tcW w:w="1134" w:type="dxa"/>
            <w:tcBorders>
              <w:top w:val="nil"/>
              <w:left w:val="nil"/>
              <w:bottom w:val="nil"/>
              <w:right w:val="nil"/>
            </w:tcBorders>
            <w:shd w:val="clear" w:color="000000" w:fill="FFFFFF"/>
            <w:noWrap/>
            <w:vAlign w:val="center"/>
            <w:hideMark/>
          </w:tcPr>
          <w:p w14:paraId="696016F3" w14:textId="03968A84"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3B424640" w14:textId="77777777" w:rsidTr="0072568C">
        <w:trPr>
          <w:trHeight w:val="170"/>
        </w:trPr>
        <w:tc>
          <w:tcPr>
            <w:tcW w:w="6092" w:type="dxa"/>
            <w:tcBorders>
              <w:top w:val="nil"/>
              <w:left w:val="nil"/>
              <w:bottom w:val="nil"/>
              <w:right w:val="nil"/>
            </w:tcBorders>
            <w:shd w:val="clear" w:color="000000" w:fill="FFFFFF"/>
            <w:noWrap/>
            <w:vAlign w:val="center"/>
            <w:hideMark/>
          </w:tcPr>
          <w:p w14:paraId="6686FEFC" w14:textId="4BCFF2A3"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Aumento (Redução) de Contas a Pagar</w:t>
            </w:r>
          </w:p>
        </w:tc>
        <w:tc>
          <w:tcPr>
            <w:tcW w:w="1134" w:type="dxa"/>
            <w:tcBorders>
              <w:top w:val="nil"/>
              <w:left w:val="nil"/>
              <w:bottom w:val="nil"/>
              <w:right w:val="nil"/>
            </w:tcBorders>
            <w:shd w:val="clear" w:color="000000" w:fill="FFFFFF"/>
            <w:noWrap/>
            <w:vAlign w:val="center"/>
            <w:hideMark/>
          </w:tcPr>
          <w:p w14:paraId="63F10195" w14:textId="398E0C29"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129.431.446 </w:t>
            </w:r>
          </w:p>
        </w:tc>
        <w:tc>
          <w:tcPr>
            <w:tcW w:w="1134" w:type="dxa"/>
            <w:tcBorders>
              <w:top w:val="nil"/>
              <w:left w:val="nil"/>
              <w:bottom w:val="nil"/>
              <w:right w:val="nil"/>
            </w:tcBorders>
            <w:shd w:val="clear" w:color="000000" w:fill="FFFFFF"/>
            <w:noWrap/>
            <w:vAlign w:val="center"/>
            <w:hideMark/>
          </w:tcPr>
          <w:p w14:paraId="2FD68A85" w14:textId="4318D32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(129.431.446)</w:t>
            </w:r>
          </w:p>
        </w:tc>
        <w:tc>
          <w:tcPr>
            <w:tcW w:w="1134" w:type="dxa"/>
            <w:tcBorders>
              <w:top w:val="nil"/>
              <w:left w:val="nil"/>
              <w:bottom w:val="nil"/>
              <w:right w:val="nil"/>
            </w:tcBorders>
            <w:shd w:val="clear" w:color="000000" w:fill="FFFFFF"/>
            <w:noWrap/>
            <w:vAlign w:val="center"/>
            <w:hideMark/>
          </w:tcPr>
          <w:p w14:paraId="548CDE8A" w14:textId="39BFFB1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5B57580C" w14:textId="77777777" w:rsidTr="0072568C">
        <w:trPr>
          <w:trHeight w:val="170"/>
        </w:trPr>
        <w:tc>
          <w:tcPr>
            <w:tcW w:w="6092" w:type="dxa"/>
            <w:tcBorders>
              <w:top w:val="nil"/>
              <w:left w:val="nil"/>
              <w:bottom w:val="nil"/>
              <w:right w:val="nil"/>
            </w:tcBorders>
            <w:shd w:val="clear" w:color="000000" w:fill="FFFFFF"/>
            <w:noWrap/>
            <w:vAlign w:val="center"/>
            <w:hideMark/>
          </w:tcPr>
          <w:p w14:paraId="788DD139" w14:textId="77777777" w:rsidR="001C64FD" w:rsidRPr="001C64FD" w:rsidRDefault="001C64FD" w:rsidP="001C64FD">
            <w:pPr>
              <w:spacing w:after="0" w:line="240" w:lineRule="auto"/>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73A07EF3"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6F332B3B"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190E797C"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r>
      <w:tr w:rsidR="0072568C" w:rsidRPr="001C64FD" w14:paraId="72D096AE" w14:textId="77777777" w:rsidTr="0072568C">
        <w:trPr>
          <w:trHeight w:val="170"/>
        </w:trPr>
        <w:tc>
          <w:tcPr>
            <w:tcW w:w="6092" w:type="dxa"/>
            <w:tcBorders>
              <w:top w:val="nil"/>
              <w:left w:val="nil"/>
              <w:bottom w:val="nil"/>
              <w:right w:val="nil"/>
            </w:tcBorders>
            <w:shd w:val="clear" w:color="000000" w:fill="FFFFFF"/>
            <w:noWrap/>
            <w:vAlign w:val="center"/>
            <w:hideMark/>
          </w:tcPr>
          <w:p w14:paraId="40D9A192" w14:textId="3B609910"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Caixa Líquido Proveniente das atividades operacionais </w:t>
            </w:r>
          </w:p>
        </w:tc>
        <w:tc>
          <w:tcPr>
            <w:tcW w:w="1134" w:type="dxa"/>
            <w:tcBorders>
              <w:top w:val="nil"/>
              <w:left w:val="nil"/>
              <w:bottom w:val="nil"/>
              <w:right w:val="nil"/>
            </w:tcBorders>
            <w:shd w:val="clear" w:color="000000" w:fill="FFFFFF"/>
            <w:noWrap/>
            <w:vAlign w:val="center"/>
            <w:hideMark/>
          </w:tcPr>
          <w:p w14:paraId="78183660" w14:textId="000F5A6B"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86.306.431 </w:t>
            </w:r>
          </w:p>
        </w:tc>
        <w:tc>
          <w:tcPr>
            <w:tcW w:w="1134" w:type="dxa"/>
            <w:tcBorders>
              <w:top w:val="nil"/>
              <w:left w:val="nil"/>
              <w:bottom w:val="nil"/>
              <w:right w:val="nil"/>
            </w:tcBorders>
            <w:shd w:val="clear" w:color="000000" w:fill="FFFFFF"/>
            <w:noWrap/>
            <w:vAlign w:val="center"/>
            <w:hideMark/>
          </w:tcPr>
          <w:p w14:paraId="53EB06FF" w14:textId="3F3D062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(127.778.000)</w:t>
            </w:r>
          </w:p>
        </w:tc>
        <w:tc>
          <w:tcPr>
            <w:tcW w:w="1134" w:type="dxa"/>
            <w:tcBorders>
              <w:top w:val="nil"/>
              <w:left w:val="nil"/>
              <w:bottom w:val="nil"/>
              <w:right w:val="nil"/>
            </w:tcBorders>
            <w:shd w:val="clear" w:color="000000" w:fill="FFFFFF"/>
            <w:noWrap/>
            <w:vAlign w:val="center"/>
            <w:hideMark/>
          </w:tcPr>
          <w:p w14:paraId="7A7843DE" w14:textId="1B2CF25E"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(41.471.569)</w:t>
            </w:r>
          </w:p>
        </w:tc>
      </w:tr>
      <w:tr w:rsidR="001C64FD" w:rsidRPr="001C64FD" w14:paraId="301A4C39" w14:textId="77777777" w:rsidTr="0072568C">
        <w:trPr>
          <w:trHeight w:val="170"/>
        </w:trPr>
        <w:tc>
          <w:tcPr>
            <w:tcW w:w="6092" w:type="dxa"/>
            <w:tcBorders>
              <w:top w:val="nil"/>
              <w:left w:val="nil"/>
              <w:bottom w:val="nil"/>
              <w:right w:val="nil"/>
            </w:tcBorders>
            <w:shd w:val="clear" w:color="auto" w:fill="auto"/>
            <w:noWrap/>
            <w:vAlign w:val="bottom"/>
            <w:hideMark/>
          </w:tcPr>
          <w:p w14:paraId="473174F1" w14:textId="4978009B"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Juros Pagos (Arrendamento Direito de Uso) </w:t>
            </w:r>
          </w:p>
        </w:tc>
        <w:tc>
          <w:tcPr>
            <w:tcW w:w="1134" w:type="dxa"/>
            <w:tcBorders>
              <w:top w:val="nil"/>
              <w:left w:val="nil"/>
              <w:bottom w:val="nil"/>
              <w:right w:val="nil"/>
            </w:tcBorders>
            <w:shd w:val="clear" w:color="000000" w:fill="FFFFFF"/>
            <w:noWrap/>
            <w:vAlign w:val="center"/>
            <w:hideMark/>
          </w:tcPr>
          <w:p w14:paraId="4F601266" w14:textId="323E2DA4"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33AEAC85" w14:textId="5A63CCB9"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(335.467)</w:t>
            </w:r>
          </w:p>
        </w:tc>
        <w:tc>
          <w:tcPr>
            <w:tcW w:w="1134" w:type="dxa"/>
            <w:tcBorders>
              <w:top w:val="nil"/>
              <w:left w:val="nil"/>
              <w:bottom w:val="nil"/>
              <w:right w:val="nil"/>
            </w:tcBorders>
            <w:shd w:val="clear" w:color="000000" w:fill="FFFFFF"/>
            <w:noWrap/>
            <w:vAlign w:val="center"/>
            <w:hideMark/>
          </w:tcPr>
          <w:p w14:paraId="4F1D3F82" w14:textId="00FDD098"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(335.467)</w:t>
            </w:r>
          </w:p>
        </w:tc>
      </w:tr>
      <w:tr w:rsidR="0072568C" w:rsidRPr="001C64FD" w14:paraId="03605A3B" w14:textId="77777777" w:rsidTr="0072568C">
        <w:trPr>
          <w:trHeight w:val="170"/>
        </w:trPr>
        <w:tc>
          <w:tcPr>
            <w:tcW w:w="6092" w:type="dxa"/>
            <w:tcBorders>
              <w:top w:val="nil"/>
              <w:left w:val="nil"/>
              <w:bottom w:val="nil"/>
              <w:right w:val="nil"/>
            </w:tcBorders>
            <w:shd w:val="clear" w:color="000000" w:fill="FFFFFF"/>
            <w:noWrap/>
            <w:vAlign w:val="center"/>
            <w:hideMark/>
          </w:tcPr>
          <w:p w14:paraId="7BEAF30E" w14:textId="2438071A"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Caixa Líquido Gerado ou Consumido nas atividades operacionais </w:t>
            </w:r>
          </w:p>
        </w:tc>
        <w:tc>
          <w:tcPr>
            <w:tcW w:w="1134" w:type="dxa"/>
            <w:tcBorders>
              <w:top w:val="nil"/>
              <w:left w:val="nil"/>
              <w:bottom w:val="nil"/>
              <w:right w:val="nil"/>
            </w:tcBorders>
            <w:shd w:val="clear" w:color="000000" w:fill="FFFFFF"/>
            <w:noWrap/>
            <w:vAlign w:val="center"/>
            <w:hideMark/>
          </w:tcPr>
          <w:p w14:paraId="7F7B63CE" w14:textId="5FC0B37E"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86.306.431 </w:t>
            </w:r>
          </w:p>
        </w:tc>
        <w:tc>
          <w:tcPr>
            <w:tcW w:w="1134" w:type="dxa"/>
            <w:tcBorders>
              <w:top w:val="nil"/>
              <w:left w:val="nil"/>
              <w:bottom w:val="nil"/>
              <w:right w:val="nil"/>
            </w:tcBorders>
            <w:shd w:val="clear" w:color="000000" w:fill="FFFFFF"/>
            <w:noWrap/>
            <w:vAlign w:val="center"/>
            <w:hideMark/>
          </w:tcPr>
          <w:p w14:paraId="3BB0E2A0" w14:textId="2B2B8F59"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(128.113.467)</w:t>
            </w:r>
          </w:p>
        </w:tc>
        <w:tc>
          <w:tcPr>
            <w:tcW w:w="1134" w:type="dxa"/>
            <w:tcBorders>
              <w:top w:val="nil"/>
              <w:left w:val="nil"/>
              <w:bottom w:val="nil"/>
              <w:right w:val="nil"/>
            </w:tcBorders>
            <w:shd w:val="clear" w:color="000000" w:fill="FFFFFF"/>
            <w:noWrap/>
            <w:vAlign w:val="center"/>
            <w:hideMark/>
          </w:tcPr>
          <w:p w14:paraId="0BF2F9A8" w14:textId="01141D9A"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(41.807.036)</w:t>
            </w:r>
          </w:p>
        </w:tc>
      </w:tr>
      <w:tr w:rsidR="0072568C" w:rsidRPr="001C64FD" w14:paraId="2DDD0D77" w14:textId="77777777" w:rsidTr="0072568C">
        <w:trPr>
          <w:trHeight w:val="170"/>
        </w:trPr>
        <w:tc>
          <w:tcPr>
            <w:tcW w:w="6092" w:type="dxa"/>
            <w:tcBorders>
              <w:top w:val="nil"/>
              <w:left w:val="nil"/>
              <w:bottom w:val="nil"/>
              <w:right w:val="nil"/>
            </w:tcBorders>
            <w:shd w:val="clear" w:color="000000" w:fill="FFFFFF"/>
            <w:noWrap/>
            <w:vAlign w:val="center"/>
            <w:hideMark/>
          </w:tcPr>
          <w:p w14:paraId="227245C1" w14:textId="77777777" w:rsidR="001C64FD" w:rsidRPr="001C64FD" w:rsidRDefault="001C64FD" w:rsidP="001C64FD">
            <w:pPr>
              <w:spacing w:after="0" w:line="240" w:lineRule="auto"/>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14EAB90F" w14:textId="7BC03E49"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0BCA33EB"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67366C13" w14:textId="1922703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0923AA8C" w14:textId="77777777" w:rsidTr="0072568C">
        <w:trPr>
          <w:trHeight w:val="170"/>
        </w:trPr>
        <w:tc>
          <w:tcPr>
            <w:tcW w:w="6092" w:type="dxa"/>
            <w:tcBorders>
              <w:top w:val="nil"/>
              <w:left w:val="nil"/>
              <w:bottom w:val="nil"/>
              <w:right w:val="nil"/>
            </w:tcBorders>
            <w:shd w:val="clear" w:color="000000" w:fill="FFFFFF"/>
            <w:noWrap/>
            <w:vAlign w:val="center"/>
            <w:hideMark/>
          </w:tcPr>
          <w:p w14:paraId="145A4BAD" w14:textId="77777777"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FLUXOS DE CAIXA DAS ATIVIDADES DE INVESTIMENTOS</w:t>
            </w:r>
          </w:p>
        </w:tc>
        <w:tc>
          <w:tcPr>
            <w:tcW w:w="1134" w:type="dxa"/>
            <w:tcBorders>
              <w:top w:val="nil"/>
              <w:left w:val="nil"/>
              <w:bottom w:val="nil"/>
              <w:right w:val="nil"/>
            </w:tcBorders>
            <w:shd w:val="clear" w:color="000000" w:fill="FFFFFF"/>
            <w:noWrap/>
            <w:vAlign w:val="center"/>
            <w:hideMark/>
          </w:tcPr>
          <w:p w14:paraId="6715DD39"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4CD4C872"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1A1A971B"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r>
      <w:tr w:rsidR="0072568C" w:rsidRPr="001C64FD" w14:paraId="3DEC1D49" w14:textId="77777777" w:rsidTr="0072568C">
        <w:trPr>
          <w:trHeight w:val="170"/>
        </w:trPr>
        <w:tc>
          <w:tcPr>
            <w:tcW w:w="6092" w:type="dxa"/>
            <w:tcBorders>
              <w:top w:val="nil"/>
              <w:left w:val="nil"/>
              <w:bottom w:val="nil"/>
              <w:right w:val="nil"/>
            </w:tcBorders>
            <w:shd w:val="clear" w:color="000000" w:fill="FFFFFF"/>
            <w:noWrap/>
            <w:vAlign w:val="center"/>
            <w:hideMark/>
          </w:tcPr>
          <w:p w14:paraId="38527821" w14:textId="77777777" w:rsidR="001C64FD" w:rsidRPr="001C64FD" w:rsidRDefault="001C64FD" w:rsidP="001C64FD">
            <w:pPr>
              <w:spacing w:after="0" w:line="240" w:lineRule="auto"/>
              <w:jc w:val="center"/>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4ED75777" w14:textId="59375FAB"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36434307"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4D6F325E" w14:textId="3C5E08B9"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r>
      <w:tr w:rsidR="0072568C" w:rsidRPr="001C64FD" w14:paraId="6C8F501C" w14:textId="77777777" w:rsidTr="0072568C">
        <w:trPr>
          <w:trHeight w:val="170"/>
        </w:trPr>
        <w:tc>
          <w:tcPr>
            <w:tcW w:w="6092" w:type="dxa"/>
            <w:tcBorders>
              <w:top w:val="nil"/>
              <w:left w:val="nil"/>
              <w:bottom w:val="nil"/>
              <w:right w:val="nil"/>
            </w:tcBorders>
            <w:shd w:val="clear" w:color="000000" w:fill="FFFFFF"/>
            <w:noWrap/>
            <w:vAlign w:val="center"/>
            <w:hideMark/>
          </w:tcPr>
          <w:p w14:paraId="262C4AE5" w14:textId="42F9ABEE"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Aquisição de Imobilizado/Intangível </w:t>
            </w:r>
          </w:p>
        </w:tc>
        <w:tc>
          <w:tcPr>
            <w:tcW w:w="1134" w:type="dxa"/>
            <w:tcBorders>
              <w:top w:val="nil"/>
              <w:left w:val="nil"/>
              <w:bottom w:val="nil"/>
              <w:right w:val="nil"/>
            </w:tcBorders>
            <w:shd w:val="clear" w:color="000000" w:fill="FFFFFF"/>
            <w:noWrap/>
            <w:vAlign w:val="center"/>
            <w:hideMark/>
          </w:tcPr>
          <w:p w14:paraId="0C41F0B6" w14:textId="7E8186BB"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(161.340.193)</w:t>
            </w:r>
          </w:p>
        </w:tc>
        <w:tc>
          <w:tcPr>
            <w:tcW w:w="1134" w:type="dxa"/>
            <w:tcBorders>
              <w:top w:val="nil"/>
              <w:left w:val="nil"/>
              <w:bottom w:val="nil"/>
              <w:right w:val="nil"/>
            </w:tcBorders>
            <w:shd w:val="clear" w:color="000000" w:fill="FFFFFF"/>
            <w:noWrap/>
            <w:vAlign w:val="center"/>
            <w:hideMark/>
          </w:tcPr>
          <w:p w14:paraId="58BC2E76" w14:textId="7440A234"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132.907.122 </w:t>
            </w:r>
          </w:p>
        </w:tc>
        <w:tc>
          <w:tcPr>
            <w:tcW w:w="1134" w:type="dxa"/>
            <w:tcBorders>
              <w:top w:val="nil"/>
              <w:left w:val="nil"/>
              <w:bottom w:val="nil"/>
              <w:right w:val="nil"/>
            </w:tcBorders>
            <w:shd w:val="clear" w:color="000000" w:fill="FFFFFF"/>
            <w:noWrap/>
            <w:vAlign w:val="center"/>
            <w:hideMark/>
          </w:tcPr>
          <w:p w14:paraId="464F557C" w14:textId="4611389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(28.433.071)</w:t>
            </w:r>
          </w:p>
        </w:tc>
      </w:tr>
      <w:tr w:rsidR="0072568C" w:rsidRPr="001C64FD" w14:paraId="687CB727" w14:textId="77777777" w:rsidTr="0072568C">
        <w:trPr>
          <w:trHeight w:val="170"/>
        </w:trPr>
        <w:tc>
          <w:tcPr>
            <w:tcW w:w="6092" w:type="dxa"/>
            <w:tcBorders>
              <w:top w:val="nil"/>
              <w:left w:val="nil"/>
              <w:bottom w:val="nil"/>
              <w:right w:val="nil"/>
            </w:tcBorders>
            <w:shd w:val="clear" w:color="000000" w:fill="FFFFFF"/>
            <w:noWrap/>
            <w:vAlign w:val="center"/>
            <w:hideMark/>
          </w:tcPr>
          <w:p w14:paraId="510128BF" w14:textId="1AEC58C6"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Aumento (Redução) de passivo do Imobilizado/Intangível </w:t>
            </w:r>
          </w:p>
        </w:tc>
        <w:tc>
          <w:tcPr>
            <w:tcW w:w="1134" w:type="dxa"/>
            <w:tcBorders>
              <w:top w:val="nil"/>
              <w:left w:val="nil"/>
              <w:bottom w:val="nil"/>
              <w:right w:val="nil"/>
            </w:tcBorders>
            <w:shd w:val="clear" w:color="000000" w:fill="FFFFFF"/>
            <w:noWrap/>
            <w:vAlign w:val="center"/>
            <w:hideMark/>
          </w:tcPr>
          <w:p w14:paraId="34851ADA" w14:textId="51A9A1CC"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125.752 </w:t>
            </w:r>
          </w:p>
        </w:tc>
        <w:tc>
          <w:tcPr>
            <w:tcW w:w="1134" w:type="dxa"/>
            <w:tcBorders>
              <w:top w:val="nil"/>
              <w:left w:val="nil"/>
              <w:bottom w:val="nil"/>
              <w:right w:val="nil"/>
            </w:tcBorders>
            <w:shd w:val="clear" w:color="000000" w:fill="FFFFFF"/>
            <w:noWrap/>
            <w:vAlign w:val="center"/>
            <w:hideMark/>
          </w:tcPr>
          <w:p w14:paraId="7163F383" w14:textId="1EFF67B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(3.241.213)</w:t>
            </w:r>
          </w:p>
        </w:tc>
        <w:tc>
          <w:tcPr>
            <w:tcW w:w="1134" w:type="dxa"/>
            <w:tcBorders>
              <w:top w:val="nil"/>
              <w:left w:val="nil"/>
              <w:bottom w:val="nil"/>
              <w:right w:val="nil"/>
            </w:tcBorders>
            <w:shd w:val="clear" w:color="000000" w:fill="FFFFFF"/>
            <w:noWrap/>
            <w:vAlign w:val="center"/>
            <w:hideMark/>
          </w:tcPr>
          <w:p w14:paraId="2281CC06" w14:textId="75B3050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(3.115.461)</w:t>
            </w:r>
          </w:p>
        </w:tc>
      </w:tr>
      <w:tr w:rsidR="0072568C" w:rsidRPr="001C64FD" w14:paraId="7664BBA9" w14:textId="77777777" w:rsidTr="0072568C">
        <w:trPr>
          <w:trHeight w:val="170"/>
        </w:trPr>
        <w:tc>
          <w:tcPr>
            <w:tcW w:w="6092" w:type="dxa"/>
            <w:tcBorders>
              <w:top w:val="nil"/>
              <w:left w:val="nil"/>
              <w:bottom w:val="nil"/>
              <w:right w:val="nil"/>
            </w:tcBorders>
            <w:shd w:val="clear" w:color="000000" w:fill="FFFFFF"/>
            <w:noWrap/>
            <w:vAlign w:val="center"/>
            <w:hideMark/>
          </w:tcPr>
          <w:p w14:paraId="138B3D1F" w14:textId="66E2F846"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Disponibilidades liquidas geradas (aplicadas) nas atividades de investimentos </w:t>
            </w:r>
          </w:p>
        </w:tc>
        <w:tc>
          <w:tcPr>
            <w:tcW w:w="1134" w:type="dxa"/>
            <w:tcBorders>
              <w:top w:val="nil"/>
              <w:left w:val="nil"/>
              <w:bottom w:val="nil"/>
              <w:right w:val="nil"/>
            </w:tcBorders>
            <w:shd w:val="clear" w:color="000000" w:fill="FFFFFF"/>
            <w:noWrap/>
            <w:vAlign w:val="center"/>
            <w:hideMark/>
          </w:tcPr>
          <w:p w14:paraId="5FB47B97" w14:textId="6FD49F54"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(161.214.441)</w:t>
            </w:r>
          </w:p>
        </w:tc>
        <w:tc>
          <w:tcPr>
            <w:tcW w:w="1134" w:type="dxa"/>
            <w:tcBorders>
              <w:top w:val="nil"/>
              <w:left w:val="nil"/>
              <w:bottom w:val="nil"/>
              <w:right w:val="nil"/>
            </w:tcBorders>
            <w:shd w:val="clear" w:color="000000" w:fill="FFFFFF"/>
            <w:noWrap/>
            <w:vAlign w:val="center"/>
            <w:hideMark/>
          </w:tcPr>
          <w:p w14:paraId="29F64BF0" w14:textId="2C3E8314"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129.665.909 </w:t>
            </w:r>
          </w:p>
        </w:tc>
        <w:tc>
          <w:tcPr>
            <w:tcW w:w="1134" w:type="dxa"/>
            <w:tcBorders>
              <w:top w:val="nil"/>
              <w:left w:val="nil"/>
              <w:bottom w:val="nil"/>
              <w:right w:val="nil"/>
            </w:tcBorders>
            <w:shd w:val="clear" w:color="000000" w:fill="FFFFFF"/>
            <w:noWrap/>
            <w:vAlign w:val="center"/>
            <w:hideMark/>
          </w:tcPr>
          <w:p w14:paraId="68CC083B" w14:textId="61599DD3"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(31.548.532)</w:t>
            </w:r>
          </w:p>
        </w:tc>
      </w:tr>
      <w:tr w:rsidR="0072568C" w:rsidRPr="001C64FD" w14:paraId="1F479489" w14:textId="77777777" w:rsidTr="0072568C">
        <w:trPr>
          <w:trHeight w:val="170"/>
        </w:trPr>
        <w:tc>
          <w:tcPr>
            <w:tcW w:w="6092" w:type="dxa"/>
            <w:tcBorders>
              <w:top w:val="nil"/>
              <w:left w:val="nil"/>
              <w:bottom w:val="nil"/>
              <w:right w:val="nil"/>
            </w:tcBorders>
            <w:shd w:val="clear" w:color="000000" w:fill="FFFFFF"/>
            <w:noWrap/>
            <w:vAlign w:val="center"/>
            <w:hideMark/>
          </w:tcPr>
          <w:p w14:paraId="118048BE" w14:textId="77777777" w:rsidR="001C64FD" w:rsidRPr="001C64FD" w:rsidRDefault="001C64FD" w:rsidP="001C64FD">
            <w:pPr>
              <w:spacing w:after="0" w:line="240" w:lineRule="auto"/>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01736EBA" w14:textId="46088D54"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446B96E8"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6E892B1B" w14:textId="5122BC0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r>
      <w:tr w:rsidR="0072568C" w:rsidRPr="001C64FD" w14:paraId="221FEA39" w14:textId="77777777" w:rsidTr="0072568C">
        <w:trPr>
          <w:trHeight w:val="170"/>
        </w:trPr>
        <w:tc>
          <w:tcPr>
            <w:tcW w:w="6092" w:type="dxa"/>
            <w:tcBorders>
              <w:top w:val="nil"/>
              <w:left w:val="nil"/>
              <w:bottom w:val="nil"/>
              <w:right w:val="nil"/>
            </w:tcBorders>
            <w:shd w:val="clear" w:color="000000" w:fill="FFFFFF"/>
            <w:noWrap/>
            <w:vAlign w:val="center"/>
            <w:hideMark/>
          </w:tcPr>
          <w:p w14:paraId="181A0AA3" w14:textId="77777777"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FLUXOS DE CAIXA DAS ATIVIDADES DE FINANCIAMENTO</w:t>
            </w:r>
          </w:p>
        </w:tc>
        <w:tc>
          <w:tcPr>
            <w:tcW w:w="1134" w:type="dxa"/>
            <w:tcBorders>
              <w:top w:val="nil"/>
              <w:left w:val="nil"/>
              <w:bottom w:val="nil"/>
              <w:right w:val="nil"/>
            </w:tcBorders>
            <w:shd w:val="clear" w:color="000000" w:fill="FFFFFF"/>
            <w:noWrap/>
            <w:vAlign w:val="center"/>
            <w:hideMark/>
          </w:tcPr>
          <w:p w14:paraId="3A16D1E7"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187F57B9"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68550EA6"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r>
      <w:tr w:rsidR="0072568C" w:rsidRPr="001C64FD" w14:paraId="1AD3C6B4" w14:textId="77777777" w:rsidTr="0072568C">
        <w:trPr>
          <w:trHeight w:val="170"/>
        </w:trPr>
        <w:tc>
          <w:tcPr>
            <w:tcW w:w="6092" w:type="dxa"/>
            <w:tcBorders>
              <w:top w:val="nil"/>
              <w:left w:val="nil"/>
              <w:bottom w:val="nil"/>
              <w:right w:val="nil"/>
            </w:tcBorders>
            <w:shd w:val="clear" w:color="000000" w:fill="FFFFFF"/>
            <w:noWrap/>
            <w:vAlign w:val="center"/>
            <w:hideMark/>
          </w:tcPr>
          <w:p w14:paraId="3D69401C" w14:textId="77777777" w:rsidR="001C64FD" w:rsidRPr="001C64FD" w:rsidRDefault="001C64FD" w:rsidP="001C64FD">
            <w:pPr>
              <w:spacing w:after="0" w:line="240" w:lineRule="auto"/>
              <w:jc w:val="center"/>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09CD3CE1" w14:textId="3C93998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21A53AE3" w14:textId="77777777"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w:t>
            </w:r>
          </w:p>
        </w:tc>
        <w:tc>
          <w:tcPr>
            <w:tcW w:w="1134" w:type="dxa"/>
            <w:tcBorders>
              <w:top w:val="nil"/>
              <w:left w:val="nil"/>
              <w:bottom w:val="nil"/>
              <w:right w:val="nil"/>
            </w:tcBorders>
            <w:shd w:val="clear" w:color="000000" w:fill="FFFFFF"/>
            <w:noWrap/>
            <w:vAlign w:val="center"/>
            <w:hideMark/>
          </w:tcPr>
          <w:p w14:paraId="5AD0E450" w14:textId="0575B31A"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r>
      <w:tr w:rsidR="0072568C" w:rsidRPr="001C64FD" w14:paraId="6107D2A6" w14:textId="77777777" w:rsidTr="0072568C">
        <w:trPr>
          <w:trHeight w:val="170"/>
        </w:trPr>
        <w:tc>
          <w:tcPr>
            <w:tcW w:w="6092" w:type="dxa"/>
            <w:tcBorders>
              <w:top w:val="nil"/>
              <w:left w:val="nil"/>
              <w:bottom w:val="nil"/>
              <w:right w:val="nil"/>
            </w:tcBorders>
            <w:shd w:val="clear" w:color="000000" w:fill="FFFFFF"/>
            <w:noWrap/>
            <w:vAlign w:val="center"/>
            <w:hideMark/>
          </w:tcPr>
          <w:p w14:paraId="497AA19C" w14:textId="4CD3A433"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Créditos Recebidos da União - AFAC </w:t>
            </w:r>
          </w:p>
        </w:tc>
        <w:tc>
          <w:tcPr>
            <w:tcW w:w="1134" w:type="dxa"/>
            <w:tcBorders>
              <w:top w:val="nil"/>
              <w:left w:val="nil"/>
              <w:bottom w:val="nil"/>
              <w:right w:val="nil"/>
            </w:tcBorders>
            <w:shd w:val="clear" w:color="000000" w:fill="FFFFFF"/>
            <w:noWrap/>
            <w:vAlign w:val="center"/>
            <w:hideMark/>
          </w:tcPr>
          <w:p w14:paraId="0096BCAF" w14:textId="1122A5F5"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31.720.272 </w:t>
            </w:r>
          </w:p>
        </w:tc>
        <w:tc>
          <w:tcPr>
            <w:tcW w:w="1134" w:type="dxa"/>
            <w:tcBorders>
              <w:top w:val="nil"/>
              <w:left w:val="nil"/>
              <w:bottom w:val="nil"/>
              <w:right w:val="nil"/>
            </w:tcBorders>
            <w:shd w:val="clear" w:color="000000" w:fill="FFFFFF"/>
            <w:noWrap/>
            <w:vAlign w:val="center"/>
            <w:hideMark/>
          </w:tcPr>
          <w:p w14:paraId="31D14557" w14:textId="0271DC1A"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445DE430" w14:textId="0E1650A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31.720.272 </w:t>
            </w:r>
          </w:p>
        </w:tc>
      </w:tr>
      <w:tr w:rsidR="0072568C" w:rsidRPr="001C64FD" w14:paraId="1EE12FB0" w14:textId="77777777" w:rsidTr="0072568C">
        <w:trPr>
          <w:trHeight w:val="170"/>
        </w:trPr>
        <w:tc>
          <w:tcPr>
            <w:tcW w:w="6092" w:type="dxa"/>
            <w:tcBorders>
              <w:top w:val="nil"/>
              <w:left w:val="nil"/>
              <w:bottom w:val="nil"/>
              <w:right w:val="nil"/>
            </w:tcBorders>
            <w:shd w:val="clear" w:color="000000" w:fill="FFFFFF"/>
            <w:noWrap/>
            <w:vAlign w:val="center"/>
            <w:hideMark/>
          </w:tcPr>
          <w:p w14:paraId="04291E4C" w14:textId="1E8A2E90" w:rsidR="001C64FD" w:rsidRPr="001C64FD" w:rsidRDefault="005C6351" w:rsidP="001C64FD">
            <w:pPr>
              <w:spacing w:after="0" w:line="240" w:lineRule="auto"/>
              <w:rPr>
                <w:rFonts w:ascii="Calibri" w:eastAsia="Times New Roman" w:hAnsi="Calibri" w:cs="Calibri"/>
                <w:color w:val="000000"/>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color w:val="000000"/>
                <w:sz w:val="16"/>
                <w:szCs w:val="16"/>
              </w:rPr>
              <w:t xml:space="preserve">Subvenção do Tesouro Nacional - repasse para custeio/pessoal </w:t>
            </w:r>
          </w:p>
        </w:tc>
        <w:tc>
          <w:tcPr>
            <w:tcW w:w="1134" w:type="dxa"/>
            <w:tcBorders>
              <w:top w:val="nil"/>
              <w:left w:val="nil"/>
              <w:bottom w:val="nil"/>
              <w:right w:val="nil"/>
            </w:tcBorders>
            <w:shd w:val="clear" w:color="000000" w:fill="FFFFFF"/>
            <w:noWrap/>
            <w:vAlign w:val="center"/>
            <w:hideMark/>
          </w:tcPr>
          <w:p w14:paraId="387C03FB" w14:textId="040AEB5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47.699.598 </w:t>
            </w:r>
          </w:p>
        </w:tc>
        <w:tc>
          <w:tcPr>
            <w:tcW w:w="1134" w:type="dxa"/>
            <w:tcBorders>
              <w:top w:val="nil"/>
              <w:left w:val="nil"/>
              <w:bottom w:val="nil"/>
              <w:right w:val="nil"/>
            </w:tcBorders>
            <w:shd w:val="clear" w:color="000000" w:fill="FFFFFF"/>
            <w:noWrap/>
            <w:vAlign w:val="center"/>
            <w:hideMark/>
          </w:tcPr>
          <w:p w14:paraId="08B17AC5" w14:textId="20C7F9D4"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1BBF8F17" w14:textId="68BD689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47.699.598 </w:t>
            </w:r>
          </w:p>
        </w:tc>
      </w:tr>
      <w:tr w:rsidR="001C64FD" w:rsidRPr="001C64FD" w14:paraId="799814A8" w14:textId="77777777" w:rsidTr="0072568C">
        <w:trPr>
          <w:trHeight w:val="170"/>
        </w:trPr>
        <w:tc>
          <w:tcPr>
            <w:tcW w:w="6092" w:type="dxa"/>
            <w:tcBorders>
              <w:top w:val="nil"/>
              <w:left w:val="nil"/>
              <w:bottom w:val="nil"/>
              <w:right w:val="nil"/>
            </w:tcBorders>
            <w:shd w:val="clear" w:color="auto" w:fill="auto"/>
            <w:noWrap/>
            <w:vAlign w:val="bottom"/>
            <w:hideMark/>
          </w:tcPr>
          <w:p w14:paraId="3FEF2D9B" w14:textId="3EB04478"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Pagamento de Passivos de Arrendamento (Direito de Uso) </w:t>
            </w:r>
          </w:p>
        </w:tc>
        <w:tc>
          <w:tcPr>
            <w:tcW w:w="1134" w:type="dxa"/>
            <w:tcBorders>
              <w:top w:val="nil"/>
              <w:left w:val="nil"/>
              <w:bottom w:val="nil"/>
              <w:right w:val="nil"/>
            </w:tcBorders>
            <w:shd w:val="clear" w:color="000000" w:fill="FFFFFF"/>
            <w:noWrap/>
            <w:vAlign w:val="center"/>
            <w:hideMark/>
          </w:tcPr>
          <w:p w14:paraId="55B575C3" w14:textId="25C44870"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2D73AD9B" w14:textId="7E29EFE3"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(1.552.442)</w:t>
            </w:r>
          </w:p>
        </w:tc>
        <w:tc>
          <w:tcPr>
            <w:tcW w:w="1134" w:type="dxa"/>
            <w:tcBorders>
              <w:top w:val="nil"/>
              <w:left w:val="nil"/>
              <w:bottom w:val="nil"/>
              <w:right w:val="nil"/>
            </w:tcBorders>
            <w:shd w:val="clear" w:color="000000" w:fill="FFFFFF"/>
            <w:noWrap/>
            <w:vAlign w:val="center"/>
            <w:hideMark/>
          </w:tcPr>
          <w:p w14:paraId="49D7DF23" w14:textId="724D9C3B"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(1.552.442)</w:t>
            </w:r>
          </w:p>
        </w:tc>
      </w:tr>
      <w:tr w:rsidR="0072568C" w:rsidRPr="001C64FD" w14:paraId="6DC6547A" w14:textId="77777777" w:rsidTr="0072568C">
        <w:trPr>
          <w:trHeight w:val="170"/>
        </w:trPr>
        <w:tc>
          <w:tcPr>
            <w:tcW w:w="6092" w:type="dxa"/>
            <w:tcBorders>
              <w:top w:val="nil"/>
              <w:left w:val="nil"/>
              <w:bottom w:val="nil"/>
              <w:right w:val="nil"/>
            </w:tcBorders>
            <w:shd w:val="clear" w:color="000000" w:fill="FFFFFF"/>
            <w:noWrap/>
            <w:vAlign w:val="center"/>
            <w:hideMark/>
          </w:tcPr>
          <w:p w14:paraId="5A5D7428" w14:textId="4ED644E5" w:rsidR="001C64FD" w:rsidRPr="001C64FD" w:rsidRDefault="001C64FD" w:rsidP="001C64FD">
            <w:pPr>
              <w:spacing w:after="0" w:line="240" w:lineRule="auto"/>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Disponibilidades líquidas geradas (aplicadas) nas atividades de financiamentos </w:t>
            </w:r>
          </w:p>
        </w:tc>
        <w:tc>
          <w:tcPr>
            <w:tcW w:w="1134" w:type="dxa"/>
            <w:tcBorders>
              <w:top w:val="nil"/>
              <w:left w:val="nil"/>
              <w:bottom w:val="nil"/>
              <w:right w:val="nil"/>
            </w:tcBorders>
            <w:shd w:val="clear" w:color="000000" w:fill="FFFFFF"/>
            <w:noWrap/>
            <w:vAlign w:val="center"/>
            <w:hideMark/>
          </w:tcPr>
          <w:p w14:paraId="4E3DF793" w14:textId="768A0080"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79.419.870 </w:t>
            </w:r>
          </w:p>
        </w:tc>
        <w:tc>
          <w:tcPr>
            <w:tcW w:w="1134" w:type="dxa"/>
            <w:tcBorders>
              <w:top w:val="nil"/>
              <w:left w:val="nil"/>
              <w:bottom w:val="nil"/>
              <w:right w:val="nil"/>
            </w:tcBorders>
            <w:shd w:val="clear" w:color="000000" w:fill="FFFFFF"/>
            <w:noWrap/>
            <w:vAlign w:val="center"/>
            <w:hideMark/>
          </w:tcPr>
          <w:p w14:paraId="3A4FA276" w14:textId="63DF3AD2"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(1.552.442)</w:t>
            </w:r>
          </w:p>
        </w:tc>
        <w:tc>
          <w:tcPr>
            <w:tcW w:w="1134" w:type="dxa"/>
            <w:tcBorders>
              <w:top w:val="nil"/>
              <w:left w:val="nil"/>
              <w:bottom w:val="nil"/>
              <w:right w:val="nil"/>
            </w:tcBorders>
            <w:shd w:val="clear" w:color="000000" w:fill="FFFFFF"/>
            <w:noWrap/>
            <w:vAlign w:val="center"/>
            <w:hideMark/>
          </w:tcPr>
          <w:p w14:paraId="1C185D77" w14:textId="1A0F1121"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77.867.428 </w:t>
            </w:r>
          </w:p>
        </w:tc>
      </w:tr>
      <w:tr w:rsidR="0072568C" w:rsidRPr="001C64FD" w14:paraId="0856EB35" w14:textId="77777777" w:rsidTr="0072568C">
        <w:trPr>
          <w:trHeight w:val="170"/>
        </w:trPr>
        <w:tc>
          <w:tcPr>
            <w:tcW w:w="6092" w:type="dxa"/>
            <w:tcBorders>
              <w:top w:val="nil"/>
              <w:left w:val="nil"/>
              <w:bottom w:val="nil"/>
              <w:right w:val="nil"/>
            </w:tcBorders>
            <w:shd w:val="clear" w:color="000000" w:fill="FFFFFF"/>
            <w:noWrap/>
            <w:vAlign w:val="center"/>
            <w:hideMark/>
          </w:tcPr>
          <w:p w14:paraId="6CA3B9A3" w14:textId="77777777" w:rsidR="001C64FD" w:rsidRPr="001C64FD" w:rsidRDefault="001C64FD" w:rsidP="001C64FD">
            <w:pPr>
              <w:spacing w:after="0" w:line="240" w:lineRule="auto"/>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6015A304" w14:textId="4F10D84F"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w:t>
            </w:r>
          </w:p>
        </w:tc>
        <w:tc>
          <w:tcPr>
            <w:tcW w:w="1134" w:type="dxa"/>
            <w:tcBorders>
              <w:top w:val="nil"/>
              <w:left w:val="nil"/>
              <w:bottom w:val="nil"/>
              <w:right w:val="nil"/>
            </w:tcBorders>
            <w:shd w:val="clear" w:color="000000" w:fill="FFFFFF"/>
            <w:noWrap/>
            <w:vAlign w:val="center"/>
            <w:hideMark/>
          </w:tcPr>
          <w:p w14:paraId="391BB396" w14:textId="77777777"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w:t>
            </w:r>
          </w:p>
        </w:tc>
        <w:tc>
          <w:tcPr>
            <w:tcW w:w="1134" w:type="dxa"/>
            <w:tcBorders>
              <w:top w:val="nil"/>
              <w:left w:val="nil"/>
              <w:bottom w:val="nil"/>
              <w:right w:val="nil"/>
            </w:tcBorders>
            <w:shd w:val="clear" w:color="000000" w:fill="FFFFFF"/>
            <w:noWrap/>
            <w:vAlign w:val="center"/>
            <w:hideMark/>
          </w:tcPr>
          <w:p w14:paraId="76C540E1" w14:textId="544726D0"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w:t>
            </w:r>
          </w:p>
        </w:tc>
      </w:tr>
      <w:tr w:rsidR="0072568C" w:rsidRPr="001C64FD" w14:paraId="1D7AE465" w14:textId="77777777" w:rsidTr="00B60985">
        <w:trPr>
          <w:trHeight w:val="170"/>
        </w:trPr>
        <w:tc>
          <w:tcPr>
            <w:tcW w:w="6092" w:type="dxa"/>
            <w:tcBorders>
              <w:top w:val="single" w:sz="8" w:space="0" w:color="156082"/>
              <w:left w:val="nil"/>
              <w:bottom w:val="single" w:sz="8" w:space="0" w:color="156082"/>
              <w:right w:val="nil"/>
            </w:tcBorders>
            <w:shd w:val="clear" w:color="auto" w:fill="DEEAF6" w:themeFill="accent1" w:themeFillTint="33"/>
            <w:noWrap/>
            <w:vAlign w:val="center"/>
            <w:hideMark/>
          </w:tcPr>
          <w:p w14:paraId="098A0049" w14:textId="1343BFBE" w:rsidR="001C64FD" w:rsidRPr="001C64FD" w:rsidRDefault="001C64FD" w:rsidP="00B60985">
            <w:pPr>
              <w:spacing w:after="0" w:line="240" w:lineRule="auto"/>
              <w:rPr>
                <w:rFonts w:ascii="Calibri" w:eastAsia="Times New Roman" w:hAnsi="Calibri" w:cs="Calibri"/>
                <w:b/>
                <w:bCs/>
                <w:sz w:val="16"/>
                <w:szCs w:val="16"/>
              </w:rPr>
            </w:pPr>
            <w:r w:rsidRPr="001C64FD">
              <w:rPr>
                <w:rFonts w:ascii="Calibri" w:eastAsia="Times New Roman" w:hAnsi="Calibri" w:cs="Calibri"/>
                <w:b/>
                <w:bCs/>
                <w:sz w:val="16"/>
                <w:szCs w:val="16"/>
              </w:rPr>
              <w:t>Aumento (redução) das disponibilidades</w:t>
            </w:r>
          </w:p>
        </w:tc>
        <w:tc>
          <w:tcPr>
            <w:tcW w:w="1134" w:type="dxa"/>
            <w:tcBorders>
              <w:top w:val="single" w:sz="8" w:space="0" w:color="156082"/>
              <w:left w:val="nil"/>
              <w:bottom w:val="single" w:sz="8" w:space="0" w:color="156082"/>
              <w:right w:val="nil"/>
            </w:tcBorders>
            <w:shd w:val="clear" w:color="auto" w:fill="DEEAF6" w:themeFill="accent1" w:themeFillTint="33"/>
            <w:noWrap/>
            <w:vAlign w:val="center"/>
            <w:hideMark/>
          </w:tcPr>
          <w:p w14:paraId="0E39B48F" w14:textId="59E08D7E"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4.511.860 </w:t>
            </w:r>
          </w:p>
        </w:tc>
        <w:tc>
          <w:tcPr>
            <w:tcW w:w="1134" w:type="dxa"/>
            <w:tcBorders>
              <w:top w:val="single" w:sz="8" w:space="0" w:color="156082"/>
              <w:left w:val="nil"/>
              <w:bottom w:val="single" w:sz="8" w:space="0" w:color="156082"/>
              <w:right w:val="nil"/>
            </w:tcBorders>
            <w:shd w:val="clear" w:color="auto" w:fill="DEEAF6" w:themeFill="accent1" w:themeFillTint="33"/>
            <w:noWrap/>
            <w:vAlign w:val="center"/>
            <w:hideMark/>
          </w:tcPr>
          <w:p w14:paraId="56D082BA" w14:textId="00B40E3A"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 - </w:t>
            </w:r>
          </w:p>
        </w:tc>
        <w:tc>
          <w:tcPr>
            <w:tcW w:w="1134" w:type="dxa"/>
            <w:tcBorders>
              <w:top w:val="single" w:sz="8" w:space="0" w:color="156082"/>
              <w:left w:val="nil"/>
              <w:bottom w:val="single" w:sz="8" w:space="0" w:color="156082"/>
              <w:right w:val="nil"/>
            </w:tcBorders>
            <w:shd w:val="clear" w:color="auto" w:fill="DEEAF6" w:themeFill="accent1" w:themeFillTint="33"/>
            <w:noWrap/>
            <w:vAlign w:val="center"/>
            <w:hideMark/>
          </w:tcPr>
          <w:p w14:paraId="1833FCEE" w14:textId="6BAAAC19" w:rsidR="001C64FD" w:rsidRPr="001C64FD" w:rsidRDefault="001C64FD" w:rsidP="00490FCA">
            <w:pPr>
              <w:spacing w:after="0" w:line="240" w:lineRule="auto"/>
              <w:jc w:val="right"/>
              <w:rPr>
                <w:rFonts w:ascii="Calibri" w:eastAsia="Times New Roman" w:hAnsi="Calibri" w:cs="Calibri"/>
                <w:b/>
                <w:bCs/>
                <w:color w:val="000000"/>
                <w:sz w:val="16"/>
                <w:szCs w:val="16"/>
              </w:rPr>
            </w:pPr>
            <w:r w:rsidRPr="001C64FD">
              <w:rPr>
                <w:rFonts w:ascii="Calibri" w:eastAsia="Times New Roman" w:hAnsi="Calibri" w:cs="Calibri"/>
                <w:b/>
                <w:bCs/>
                <w:color w:val="000000"/>
                <w:sz w:val="16"/>
                <w:szCs w:val="16"/>
              </w:rPr>
              <w:t xml:space="preserve">4.511.860 </w:t>
            </w:r>
          </w:p>
        </w:tc>
      </w:tr>
      <w:tr w:rsidR="001C64FD" w:rsidRPr="001C64FD" w14:paraId="6F83711D" w14:textId="77777777" w:rsidTr="0072568C">
        <w:trPr>
          <w:trHeight w:val="170"/>
        </w:trPr>
        <w:tc>
          <w:tcPr>
            <w:tcW w:w="6092" w:type="dxa"/>
            <w:tcBorders>
              <w:top w:val="nil"/>
              <w:left w:val="nil"/>
              <w:bottom w:val="nil"/>
              <w:right w:val="nil"/>
            </w:tcBorders>
            <w:shd w:val="clear" w:color="auto" w:fill="auto"/>
            <w:noWrap/>
            <w:vAlign w:val="center"/>
            <w:hideMark/>
          </w:tcPr>
          <w:p w14:paraId="0E98B76F" w14:textId="4D752DEA"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Disponibilidades no início do período </w:t>
            </w:r>
          </w:p>
        </w:tc>
        <w:tc>
          <w:tcPr>
            <w:tcW w:w="1134" w:type="dxa"/>
            <w:tcBorders>
              <w:top w:val="nil"/>
              <w:left w:val="nil"/>
              <w:bottom w:val="nil"/>
              <w:right w:val="nil"/>
            </w:tcBorders>
            <w:shd w:val="clear" w:color="000000" w:fill="FFFFFF"/>
            <w:noWrap/>
            <w:vAlign w:val="center"/>
            <w:hideMark/>
          </w:tcPr>
          <w:p w14:paraId="13C1CE68" w14:textId="458DAA6E"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126.597.966 </w:t>
            </w:r>
          </w:p>
        </w:tc>
        <w:tc>
          <w:tcPr>
            <w:tcW w:w="1134" w:type="dxa"/>
            <w:tcBorders>
              <w:top w:val="nil"/>
              <w:left w:val="nil"/>
              <w:bottom w:val="nil"/>
              <w:right w:val="nil"/>
            </w:tcBorders>
            <w:shd w:val="clear" w:color="000000" w:fill="FFFFFF"/>
            <w:noWrap/>
            <w:vAlign w:val="center"/>
            <w:hideMark/>
          </w:tcPr>
          <w:p w14:paraId="0D181E49" w14:textId="534BB7F6"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714E9A54" w14:textId="4D4F01EA"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126.597.966 </w:t>
            </w:r>
          </w:p>
        </w:tc>
      </w:tr>
      <w:tr w:rsidR="001C64FD" w:rsidRPr="001C64FD" w14:paraId="4510A406" w14:textId="77777777" w:rsidTr="0072568C">
        <w:trPr>
          <w:trHeight w:val="170"/>
        </w:trPr>
        <w:tc>
          <w:tcPr>
            <w:tcW w:w="6092" w:type="dxa"/>
            <w:tcBorders>
              <w:top w:val="nil"/>
              <w:left w:val="nil"/>
              <w:bottom w:val="nil"/>
              <w:right w:val="nil"/>
            </w:tcBorders>
            <w:shd w:val="clear" w:color="auto" w:fill="auto"/>
            <w:noWrap/>
            <w:vAlign w:val="center"/>
            <w:hideMark/>
          </w:tcPr>
          <w:p w14:paraId="20975541" w14:textId="37B2F0FA" w:rsidR="001C64FD" w:rsidRPr="001C64FD" w:rsidRDefault="005C6351" w:rsidP="001C64FD">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1C64FD" w:rsidRPr="001C64FD">
              <w:rPr>
                <w:rFonts w:ascii="Calibri" w:eastAsia="Times New Roman" w:hAnsi="Calibri" w:cs="Calibri"/>
                <w:sz w:val="16"/>
                <w:szCs w:val="16"/>
              </w:rPr>
              <w:t xml:space="preserve">Disponibilidades no final do período </w:t>
            </w:r>
          </w:p>
        </w:tc>
        <w:tc>
          <w:tcPr>
            <w:tcW w:w="1134" w:type="dxa"/>
            <w:tcBorders>
              <w:top w:val="nil"/>
              <w:left w:val="nil"/>
              <w:bottom w:val="nil"/>
              <w:right w:val="nil"/>
            </w:tcBorders>
            <w:shd w:val="clear" w:color="000000" w:fill="FFFFFF"/>
            <w:noWrap/>
            <w:vAlign w:val="center"/>
            <w:hideMark/>
          </w:tcPr>
          <w:p w14:paraId="68AE71DB" w14:textId="5C2D777D"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131.109.826 </w:t>
            </w:r>
          </w:p>
        </w:tc>
        <w:tc>
          <w:tcPr>
            <w:tcW w:w="1134" w:type="dxa"/>
            <w:tcBorders>
              <w:top w:val="nil"/>
              <w:left w:val="nil"/>
              <w:bottom w:val="nil"/>
              <w:right w:val="nil"/>
            </w:tcBorders>
            <w:shd w:val="clear" w:color="000000" w:fill="FFFFFF"/>
            <w:noWrap/>
            <w:vAlign w:val="center"/>
            <w:hideMark/>
          </w:tcPr>
          <w:p w14:paraId="0752D732" w14:textId="227EF892"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000000" w:fill="FFFFFF"/>
            <w:noWrap/>
            <w:vAlign w:val="center"/>
            <w:hideMark/>
          </w:tcPr>
          <w:p w14:paraId="10165D94" w14:textId="3966B20E" w:rsidR="001C64FD" w:rsidRPr="001C64FD" w:rsidRDefault="001C64FD" w:rsidP="00490FCA">
            <w:pPr>
              <w:spacing w:after="0" w:line="240" w:lineRule="auto"/>
              <w:jc w:val="right"/>
              <w:rPr>
                <w:rFonts w:ascii="Calibri" w:eastAsia="Times New Roman" w:hAnsi="Calibri" w:cs="Calibri"/>
                <w:color w:val="000000"/>
                <w:sz w:val="16"/>
                <w:szCs w:val="16"/>
              </w:rPr>
            </w:pPr>
            <w:r w:rsidRPr="001C64FD">
              <w:rPr>
                <w:rFonts w:ascii="Calibri" w:eastAsia="Times New Roman" w:hAnsi="Calibri" w:cs="Calibri"/>
                <w:color w:val="000000"/>
                <w:sz w:val="16"/>
                <w:szCs w:val="16"/>
              </w:rPr>
              <w:t xml:space="preserve">131.109.826 </w:t>
            </w:r>
          </w:p>
        </w:tc>
      </w:tr>
    </w:tbl>
    <w:p w14:paraId="0730634B" w14:textId="68C15827" w:rsidR="00ED770D" w:rsidRDefault="00ED770D" w:rsidP="00CE52FD">
      <w:r>
        <w:br w:type="page"/>
      </w:r>
    </w:p>
    <w:p w14:paraId="7ACEC360" w14:textId="7DCAAE55" w:rsidR="00770A39" w:rsidRPr="00F269C4" w:rsidRDefault="00820A56">
      <w:pPr>
        <w:rPr>
          <w:rFonts w:ascii="Calibri" w:hAnsi="Calibri" w:cs="Calibri"/>
          <w:bCs/>
          <w:color w:val="FF0000"/>
          <w:sz w:val="18"/>
          <w:szCs w:val="18"/>
        </w:rPr>
      </w:pPr>
      <w:r w:rsidRPr="00F269C4">
        <w:rPr>
          <w:noProof/>
          <w:color w:val="FF0000"/>
        </w:rPr>
        <w:lastRenderedPageBreak/>
        <w:drawing>
          <wp:anchor distT="0" distB="0" distL="114300" distR="114300" simplePos="0" relativeHeight="251658242" behindDoc="1" locked="0" layoutInCell="1" allowOverlap="1" wp14:anchorId="48CC8284" wp14:editId="2C41DE2E">
            <wp:simplePos x="0" y="0"/>
            <wp:positionH relativeFrom="page">
              <wp:posOffset>5225</wp:posOffset>
            </wp:positionH>
            <wp:positionV relativeFrom="paragraph">
              <wp:posOffset>-796290</wp:posOffset>
            </wp:positionV>
            <wp:extent cx="7546975" cy="10768084"/>
            <wp:effectExtent l="0" t="0" r="0" b="0"/>
            <wp:wrapNone/>
            <wp:docPr id="427214763" name="Imagem 427214763" descr="Uma imagem contendo mesa, azul,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mesa, azul, andando de, homem&#10;&#10;Descrição gerad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6975" cy="10768084"/>
                    </a:xfrm>
                    <a:prstGeom prst="rect">
                      <a:avLst/>
                    </a:prstGeom>
                  </pic:spPr>
                </pic:pic>
              </a:graphicData>
            </a:graphic>
            <wp14:sizeRelH relativeFrom="page">
              <wp14:pctWidth>0</wp14:pctWidth>
            </wp14:sizeRelH>
            <wp14:sizeRelV relativeFrom="page">
              <wp14:pctHeight>0</wp14:pctHeight>
            </wp14:sizeRelV>
          </wp:anchor>
        </w:drawing>
      </w:r>
    </w:p>
    <w:p w14:paraId="133913D4" w14:textId="4BF6373F" w:rsidR="004C7804" w:rsidRPr="00F269C4" w:rsidRDefault="00770A39" w:rsidP="004C7804">
      <w:pPr>
        <w:ind w:left="709" w:right="57"/>
        <w:rPr>
          <w:rFonts w:ascii="Calibri" w:hAnsi="Calibri" w:cs="Calibri"/>
          <w:bCs/>
          <w:color w:val="FF0000"/>
          <w:sz w:val="18"/>
          <w:szCs w:val="18"/>
        </w:rPr>
      </w:pPr>
      <w:r w:rsidRPr="00F269C4">
        <w:rPr>
          <w:noProof/>
          <w:color w:val="FF0000"/>
        </w:rPr>
        <mc:AlternateContent>
          <mc:Choice Requires="wps">
            <w:drawing>
              <wp:anchor distT="45720" distB="45720" distL="114300" distR="114300" simplePos="0" relativeHeight="251658241" behindDoc="0" locked="0" layoutInCell="1" allowOverlap="1" wp14:anchorId="24BAB739" wp14:editId="0004C4D6">
                <wp:simplePos x="0" y="0"/>
                <wp:positionH relativeFrom="column">
                  <wp:posOffset>3152633</wp:posOffset>
                </wp:positionH>
                <wp:positionV relativeFrom="paragraph">
                  <wp:posOffset>631939</wp:posOffset>
                </wp:positionV>
                <wp:extent cx="3603625" cy="1404620"/>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1404620"/>
                        </a:xfrm>
                        <a:prstGeom prst="rect">
                          <a:avLst/>
                        </a:prstGeom>
                        <a:noFill/>
                        <a:ln w="9525">
                          <a:noFill/>
                          <a:miter lim="800000"/>
                          <a:headEnd/>
                          <a:tailEnd/>
                        </a:ln>
                      </wps:spPr>
                      <wps:txbx>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BAB739" id="Caixa de Texto 4" o:spid="_x0000_s1028" type="#_x0000_t202" style="position:absolute;left:0;text-align:left;margin-left:248.25pt;margin-top:49.75pt;width:283.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" filled="f" stroked="f">
                <v:textbox style="mso-fit-shape-to-text:t">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v:textbox>
              </v:shape>
            </w:pict>
          </mc:Fallback>
        </mc:AlternateContent>
      </w:r>
    </w:p>
    <w:sectPr w:rsidR="004C7804" w:rsidRPr="00F269C4" w:rsidSect="00810D38">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88E85F" w14:textId="77777777" w:rsidR="005961E4" w:rsidRDefault="005961E4">
      <w:r>
        <w:separator/>
      </w:r>
    </w:p>
  </w:endnote>
  <w:endnote w:type="continuationSeparator" w:id="0">
    <w:p w14:paraId="007C77AE" w14:textId="77777777" w:rsidR="005961E4" w:rsidRDefault="005961E4">
      <w:r>
        <w:continuationSeparator/>
      </w:r>
    </w:p>
  </w:endnote>
  <w:endnote w:type="continuationNotice" w:id="1">
    <w:p w14:paraId="4A7D145B" w14:textId="77777777" w:rsidR="005961E4" w:rsidRDefault="005961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Aptos Narrow">
    <w:altName w:val="Calibri"/>
    <w:charset w:val="00"/>
    <w:family w:val="swiss"/>
    <w:pitch w:val="variable"/>
    <w:sig w:usb0="20000287" w:usb1="00000003" w:usb2="00000000" w:usb3="00000000" w:csb0="0000019F" w:csb1="00000000"/>
  </w:font>
  <w:font w:name="Quire Sans">
    <w:charset w:val="00"/>
    <w:family w:val="swiss"/>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5852557"/>
      <w:docPartObj>
        <w:docPartGallery w:val="Page Numbers (Bottom of Page)"/>
        <w:docPartUnique/>
      </w:docPartObj>
    </w:sdtPr>
    <w:sdtContent>
      <w:p w14:paraId="58B3AB4C" w14:textId="77777777" w:rsidR="00231FB3" w:rsidRDefault="00231FB3">
        <w:pPr>
          <w:pStyle w:val="Rodap"/>
          <w:jc w:val="center"/>
        </w:pPr>
        <w:r>
          <w:fldChar w:fldCharType="begin"/>
        </w:r>
        <w:r>
          <w:instrText>PAGE   \* MERGEFORMAT</w:instrText>
        </w:r>
        <w:r>
          <w:fldChar w:fldCharType="separate"/>
        </w:r>
        <w:r w:rsidR="00ED757C" w:rsidRPr="00ED757C">
          <w:rPr>
            <w:noProof/>
            <w:lang w:val="pt-BR"/>
          </w:rPr>
          <w:t>30</w:t>
        </w:r>
        <w:r>
          <w:fldChar w:fldCharType="end"/>
        </w:r>
      </w:p>
    </w:sdtContent>
  </w:sdt>
  <w:p w14:paraId="437BD4BE" w14:textId="2077DC4C" w:rsidR="00231FB3" w:rsidRPr="00B96510" w:rsidRDefault="00231FB3">
    <w:pPr>
      <w:pStyle w:val="Rodap"/>
      <w:jc w:val="center"/>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277343" w14:textId="77777777" w:rsidR="005961E4" w:rsidRDefault="005961E4">
      <w:r>
        <w:separator/>
      </w:r>
    </w:p>
  </w:footnote>
  <w:footnote w:type="continuationSeparator" w:id="0">
    <w:p w14:paraId="6F5989AF" w14:textId="77777777" w:rsidR="005961E4" w:rsidRDefault="005961E4">
      <w:r>
        <w:continuationSeparator/>
      </w:r>
    </w:p>
  </w:footnote>
  <w:footnote w:type="continuationNotice" w:id="1">
    <w:p w14:paraId="087D339D" w14:textId="77777777" w:rsidR="005961E4" w:rsidRDefault="005961E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A0884" w14:textId="68ADF44C" w:rsidR="00231FB3" w:rsidRDefault="00231FB3" w:rsidP="00B907E2">
    <w:pPr>
      <w:tabs>
        <w:tab w:val="left" w:pos="8295"/>
      </w:tabs>
      <w:spacing w:after="0" w:line="276" w:lineRule="auto"/>
    </w:pPr>
    <w:r>
      <w:rPr>
        <w:color w:val="5B9BD5" w:themeColor="accent1"/>
        <w:sz w:val="20"/>
        <w:szCs w:val="20"/>
      </w:rPr>
      <w:tab/>
    </w:r>
    <w:r w:rsidR="000B1915" w:rsidRPr="005900CF">
      <w:rPr>
        <w:rFonts w:ascii="Calibri" w:eastAsia="Yu Mincho" w:hAnsi="Calibri" w:cs="Arial"/>
        <w:noProof/>
        <w:sz w:val="18"/>
      </w:rPr>
      <w:drawing>
        <wp:inline distT="0" distB="0" distL="0" distR="0" wp14:anchorId="74820257" wp14:editId="3AA0B1AD">
          <wp:extent cx="1049831" cy="333371"/>
          <wp:effectExtent l="0" t="0" r="0" b="0"/>
          <wp:docPr id="165316785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r w:rsidR="00A71C7C">
      <w:rPr>
        <w:noProof/>
        <w:sz w:val="18"/>
      </w:rPr>
      <w:ptab w:relativeTo="margin" w:alignment="right" w:leader="none"/>
    </w:r>
    <w:r w:rsidR="000B1915">
      <w:rPr>
        <w:rFonts w:ascii="Calibri" w:eastAsia="Yu Mincho" w:hAnsi="Calibri" w:cs="Arial"/>
        <w:noProof/>
        <w:sz w:val="18"/>
      </w:rPr>
      <w:ptab w:relativeTo="margin" w:alignment="right" w:leader="none"/>
    </w:r>
    <w:r w:rsidR="00A71C7C">
      <w:rPr>
        <w:color w:val="5B9BD5" w:themeColor="accent1"/>
        <w:sz w:val="20"/>
        <w:szCs w:val="20"/>
      </w:rPr>
      <w:ptab w:relativeTo="margin" w:alignment="right" w:leader="none"/>
    </w:r>
    <w:r w:rsidR="005D4837">
      <w:rPr>
        <w:color w:val="5B9BD5" w:themeColor="accent1"/>
        <w:sz w:val="20"/>
        <w:szCs w:val="20"/>
      </w:rP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5BA20" w14:textId="77777777" w:rsidR="000B1915" w:rsidRDefault="000B1915" w:rsidP="00B907E2">
    <w:pPr>
      <w:tabs>
        <w:tab w:val="left" w:pos="8295"/>
      </w:tabs>
      <w:spacing w:after="0" w:line="276" w:lineRule="auto"/>
    </w:pPr>
    <w:r>
      <w:rPr>
        <w:color w:val="5B9BD5" w:themeColor="accent1"/>
        <w:sz w:val="20"/>
        <w:szCs w:val="20"/>
      </w:rPr>
      <w:tab/>
    </w:r>
    <w:r>
      <w:rPr>
        <w:noProof/>
        <w:sz w:val="18"/>
      </w:rPr>
      <w:ptab w:relativeTo="margin" w:alignment="right" w:leader="none"/>
    </w:r>
    <w:r w:rsidRPr="005900CF">
      <w:rPr>
        <w:rFonts w:ascii="Calibri" w:eastAsia="Yu Mincho" w:hAnsi="Calibri" w:cs="Arial"/>
        <w:noProof/>
        <w:sz w:val="18"/>
      </w:rPr>
      <w:drawing>
        <wp:inline distT="0" distB="0" distL="0" distR="0" wp14:anchorId="53C208A2" wp14:editId="55D212BB">
          <wp:extent cx="1049831" cy="333371"/>
          <wp:effectExtent l="0" t="0" r="0" b="0"/>
          <wp:docPr id="2073927635"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r>
      <w:rPr>
        <w:rFonts w:ascii="Calibri" w:eastAsia="Yu Mincho" w:hAnsi="Calibri" w:cs="Arial"/>
        <w:noProof/>
        <w:sz w:val="18"/>
      </w:rPr>
      <w:ptab w:relativeTo="margin" w:alignment="right" w:leader="none"/>
    </w:r>
    <w:r>
      <w:rPr>
        <w:color w:val="5B9BD5" w:themeColor="accent1"/>
        <w:sz w:val="20"/>
        <w:szCs w:val="20"/>
      </w:rPr>
      <w:ptab w:relativeTo="margin" w:alignment="right" w:leader="none"/>
    </w:r>
    <w:r>
      <w:rPr>
        <w:color w:val="5B9BD5" w:themeColor="accent1"/>
        <w:sz w:val="20"/>
        <w:szCs w:val="20"/>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D1E00"/>
    <w:multiLevelType w:val="hybridMultilevel"/>
    <w:tmpl w:val="60E253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A516FEE"/>
    <w:multiLevelType w:val="hybridMultilevel"/>
    <w:tmpl w:val="0D7EE686"/>
    <w:lvl w:ilvl="0" w:tplc="692676F0">
      <w:start w:val="1"/>
      <w:numFmt w:val="lowerLetter"/>
      <w:lvlText w:val="%1)"/>
      <w:lvlJc w:val="left"/>
      <w:pPr>
        <w:ind w:left="720" w:hanging="360"/>
      </w:pPr>
      <w:rPr>
        <w:rFonts w:ascii="Calibri" w:eastAsia="Times New Roman" w:hAnsi="Calibri" w:cs="Calibri"/>
        <w:color w:val="auto"/>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C5A7EEB"/>
    <w:multiLevelType w:val="hybridMultilevel"/>
    <w:tmpl w:val="7A6E58BC"/>
    <w:lvl w:ilvl="0" w:tplc="FFFFFFFF">
      <w:start w:val="1"/>
      <w:numFmt w:val="upperRoman"/>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C63683E"/>
    <w:multiLevelType w:val="hybridMultilevel"/>
    <w:tmpl w:val="71B00462"/>
    <w:lvl w:ilvl="0" w:tplc="6F102446">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5" w15:restartNumberingAfterBreak="0">
    <w:nsid w:val="234F425B"/>
    <w:multiLevelType w:val="hybridMultilevel"/>
    <w:tmpl w:val="84D8BA7E"/>
    <w:lvl w:ilvl="0" w:tplc="1978760E">
      <w:start w:val="1"/>
      <w:numFmt w:val="lowerLetter"/>
      <w:lvlText w:val="(%1)"/>
      <w:lvlJc w:val="left"/>
      <w:pPr>
        <w:ind w:left="720" w:hanging="360"/>
      </w:pPr>
      <w:rPr>
        <w:rFonts w:hint="default"/>
        <w:color w:val="2E74B5" w:themeColor="accent1" w:themeShade="BF"/>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E661D15"/>
    <w:multiLevelType w:val="hybridMultilevel"/>
    <w:tmpl w:val="CFAC90C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7E02337"/>
    <w:multiLevelType w:val="hybridMultilevel"/>
    <w:tmpl w:val="43D470D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48AE709F"/>
    <w:multiLevelType w:val="hybridMultilevel"/>
    <w:tmpl w:val="CDC8E93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94B1760"/>
    <w:multiLevelType w:val="hybridMultilevel"/>
    <w:tmpl w:val="E04A28B0"/>
    <w:lvl w:ilvl="0" w:tplc="04160019">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4BDB4BB3"/>
    <w:multiLevelType w:val="hybridMultilevel"/>
    <w:tmpl w:val="39C6C77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57B9221A"/>
    <w:multiLevelType w:val="hybridMultilevel"/>
    <w:tmpl w:val="EAB0093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7672361C"/>
    <w:multiLevelType w:val="hybridMultilevel"/>
    <w:tmpl w:val="F4B0CEFA"/>
    <w:lvl w:ilvl="0" w:tplc="B29469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79F6285F"/>
    <w:multiLevelType w:val="hybridMultilevel"/>
    <w:tmpl w:val="ECBA573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138189158">
    <w:abstractNumId w:val="14"/>
  </w:num>
  <w:num w:numId="2" w16cid:durableId="241181958">
    <w:abstractNumId w:val="1"/>
  </w:num>
  <w:num w:numId="3" w16cid:durableId="277951260">
    <w:abstractNumId w:val="7"/>
  </w:num>
  <w:num w:numId="4" w16cid:durableId="78184598">
    <w:abstractNumId w:val="16"/>
  </w:num>
  <w:num w:numId="5" w16cid:durableId="1575166911">
    <w:abstractNumId w:val="6"/>
  </w:num>
  <w:num w:numId="6" w16cid:durableId="1063215619">
    <w:abstractNumId w:val="15"/>
  </w:num>
  <w:num w:numId="7" w16cid:durableId="454712121">
    <w:abstractNumId w:val="2"/>
  </w:num>
  <w:num w:numId="8" w16cid:durableId="16085398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54680394">
    <w:abstractNumId w:val="5"/>
  </w:num>
  <w:num w:numId="10" w16cid:durableId="419453147">
    <w:abstractNumId w:val="4"/>
  </w:num>
  <w:num w:numId="11" w16cid:durableId="81217719">
    <w:abstractNumId w:val="0"/>
  </w:num>
  <w:num w:numId="12" w16cid:durableId="1181777302">
    <w:abstractNumId w:val="11"/>
  </w:num>
  <w:num w:numId="13" w16cid:durableId="234438351">
    <w:abstractNumId w:val="10"/>
  </w:num>
  <w:num w:numId="14" w16cid:durableId="925725845">
    <w:abstractNumId w:val="9"/>
  </w:num>
  <w:num w:numId="15" w16cid:durableId="746659352">
    <w:abstractNumId w:val="8"/>
  </w:num>
  <w:num w:numId="16" w16cid:durableId="339625778">
    <w:abstractNumId w:val="17"/>
  </w:num>
  <w:num w:numId="17" w16cid:durableId="1915050175">
    <w:abstractNumId w:val="13"/>
  </w:num>
  <w:num w:numId="18" w16cid:durableId="337276178">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910"/>
    <w:rsid w:val="0000029F"/>
    <w:rsid w:val="000002BC"/>
    <w:rsid w:val="0000043B"/>
    <w:rsid w:val="000005A2"/>
    <w:rsid w:val="00000715"/>
    <w:rsid w:val="00000784"/>
    <w:rsid w:val="000007F7"/>
    <w:rsid w:val="00000BCA"/>
    <w:rsid w:val="00000C61"/>
    <w:rsid w:val="00000C94"/>
    <w:rsid w:val="00000CED"/>
    <w:rsid w:val="00000D1C"/>
    <w:rsid w:val="00000D8F"/>
    <w:rsid w:val="00000E94"/>
    <w:rsid w:val="00001005"/>
    <w:rsid w:val="000012AA"/>
    <w:rsid w:val="00001338"/>
    <w:rsid w:val="00001457"/>
    <w:rsid w:val="00001687"/>
    <w:rsid w:val="00001A3F"/>
    <w:rsid w:val="00001A41"/>
    <w:rsid w:val="00001A77"/>
    <w:rsid w:val="00001A90"/>
    <w:rsid w:val="00001B22"/>
    <w:rsid w:val="00001DA8"/>
    <w:rsid w:val="00001F30"/>
    <w:rsid w:val="00002175"/>
    <w:rsid w:val="0000220D"/>
    <w:rsid w:val="0000251D"/>
    <w:rsid w:val="000025A8"/>
    <w:rsid w:val="00002778"/>
    <w:rsid w:val="000027B2"/>
    <w:rsid w:val="000028C7"/>
    <w:rsid w:val="0000290E"/>
    <w:rsid w:val="00002A4C"/>
    <w:rsid w:val="00002A88"/>
    <w:rsid w:val="00002C40"/>
    <w:rsid w:val="00002D2E"/>
    <w:rsid w:val="00002D60"/>
    <w:rsid w:val="00002FC3"/>
    <w:rsid w:val="00003029"/>
    <w:rsid w:val="00003092"/>
    <w:rsid w:val="00003417"/>
    <w:rsid w:val="000035D1"/>
    <w:rsid w:val="000038B1"/>
    <w:rsid w:val="000039EA"/>
    <w:rsid w:val="00003DDC"/>
    <w:rsid w:val="00003E25"/>
    <w:rsid w:val="00004326"/>
    <w:rsid w:val="0000433A"/>
    <w:rsid w:val="00004561"/>
    <w:rsid w:val="000046D6"/>
    <w:rsid w:val="0000484D"/>
    <w:rsid w:val="0000485E"/>
    <w:rsid w:val="000048FC"/>
    <w:rsid w:val="00004966"/>
    <w:rsid w:val="00004C5A"/>
    <w:rsid w:val="00004F42"/>
    <w:rsid w:val="0000506C"/>
    <w:rsid w:val="000051B4"/>
    <w:rsid w:val="0000520D"/>
    <w:rsid w:val="000052AC"/>
    <w:rsid w:val="000052BC"/>
    <w:rsid w:val="000052F0"/>
    <w:rsid w:val="000053E6"/>
    <w:rsid w:val="0000557A"/>
    <w:rsid w:val="00005619"/>
    <w:rsid w:val="0000589A"/>
    <w:rsid w:val="0000596A"/>
    <w:rsid w:val="00005AA2"/>
    <w:rsid w:val="00005B4E"/>
    <w:rsid w:val="00005CE6"/>
    <w:rsid w:val="0000614B"/>
    <w:rsid w:val="0000641F"/>
    <w:rsid w:val="00006458"/>
    <w:rsid w:val="000064B2"/>
    <w:rsid w:val="000069AD"/>
    <w:rsid w:val="00006A6A"/>
    <w:rsid w:val="00006AF3"/>
    <w:rsid w:val="00006C48"/>
    <w:rsid w:val="00006D0C"/>
    <w:rsid w:val="00006E53"/>
    <w:rsid w:val="00006F1E"/>
    <w:rsid w:val="00006FEE"/>
    <w:rsid w:val="00007080"/>
    <w:rsid w:val="00007081"/>
    <w:rsid w:val="000070EF"/>
    <w:rsid w:val="000071A8"/>
    <w:rsid w:val="000071ED"/>
    <w:rsid w:val="0000729A"/>
    <w:rsid w:val="000072C6"/>
    <w:rsid w:val="0000735F"/>
    <w:rsid w:val="000073B3"/>
    <w:rsid w:val="0000740B"/>
    <w:rsid w:val="00007498"/>
    <w:rsid w:val="000074C6"/>
    <w:rsid w:val="000075BC"/>
    <w:rsid w:val="000076AA"/>
    <w:rsid w:val="0000775D"/>
    <w:rsid w:val="00007768"/>
    <w:rsid w:val="00007843"/>
    <w:rsid w:val="00007899"/>
    <w:rsid w:val="00007A8B"/>
    <w:rsid w:val="00007B07"/>
    <w:rsid w:val="00007B0D"/>
    <w:rsid w:val="00007CDC"/>
    <w:rsid w:val="00007D1F"/>
    <w:rsid w:val="00007DD6"/>
    <w:rsid w:val="00007F5E"/>
    <w:rsid w:val="00007F6E"/>
    <w:rsid w:val="00010041"/>
    <w:rsid w:val="000100CB"/>
    <w:rsid w:val="000103EB"/>
    <w:rsid w:val="00010472"/>
    <w:rsid w:val="0001049A"/>
    <w:rsid w:val="00010501"/>
    <w:rsid w:val="00010512"/>
    <w:rsid w:val="00010670"/>
    <w:rsid w:val="000106A9"/>
    <w:rsid w:val="00010820"/>
    <w:rsid w:val="0001097A"/>
    <w:rsid w:val="0001097E"/>
    <w:rsid w:val="000109FB"/>
    <w:rsid w:val="00010A99"/>
    <w:rsid w:val="00010DA9"/>
    <w:rsid w:val="00010E1F"/>
    <w:rsid w:val="000110E1"/>
    <w:rsid w:val="00011357"/>
    <w:rsid w:val="00011496"/>
    <w:rsid w:val="000114F1"/>
    <w:rsid w:val="0001162C"/>
    <w:rsid w:val="0001182A"/>
    <w:rsid w:val="00011855"/>
    <w:rsid w:val="000118DC"/>
    <w:rsid w:val="00011AE7"/>
    <w:rsid w:val="00011B39"/>
    <w:rsid w:val="00011CD1"/>
    <w:rsid w:val="00011D60"/>
    <w:rsid w:val="0001206F"/>
    <w:rsid w:val="000120CB"/>
    <w:rsid w:val="0001215D"/>
    <w:rsid w:val="000125DE"/>
    <w:rsid w:val="00012608"/>
    <w:rsid w:val="00012652"/>
    <w:rsid w:val="00012754"/>
    <w:rsid w:val="000128B2"/>
    <w:rsid w:val="00012AF9"/>
    <w:rsid w:val="00012B56"/>
    <w:rsid w:val="00012BAA"/>
    <w:rsid w:val="00012EA7"/>
    <w:rsid w:val="00012EC4"/>
    <w:rsid w:val="000130F4"/>
    <w:rsid w:val="000132B0"/>
    <w:rsid w:val="00013323"/>
    <w:rsid w:val="00013648"/>
    <w:rsid w:val="00013808"/>
    <w:rsid w:val="0001381A"/>
    <w:rsid w:val="00013845"/>
    <w:rsid w:val="00013B72"/>
    <w:rsid w:val="00013C66"/>
    <w:rsid w:val="00014143"/>
    <w:rsid w:val="00014224"/>
    <w:rsid w:val="00014228"/>
    <w:rsid w:val="0001425A"/>
    <w:rsid w:val="00014279"/>
    <w:rsid w:val="0001430D"/>
    <w:rsid w:val="00014330"/>
    <w:rsid w:val="0001435B"/>
    <w:rsid w:val="00014767"/>
    <w:rsid w:val="00014790"/>
    <w:rsid w:val="000148F8"/>
    <w:rsid w:val="00014902"/>
    <w:rsid w:val="00014928"/>
    <w:rsid w:val="00014B09"/>
    <w:rsid w:val="00014B54"/>
    <w:rsid w:val="00014BFF"/>
    <w:rsid w:val="00014D00"/>
    <w:rsid w:val="00014DC2"/>
    <w:rsid w:val="00014EA4"/>
    <w:rsid w:val="00014F14"/>
    <w:rsid w:val="00014F20"/>
    <w:rsid w:val="0001545D"/>
    <w:rsid w:val="000154C7"/>
    <w:rsid w:val="000155BF"/>
    <w:rsid w:val="000155FA"/>
    <w:rsid w:val="000157B8"/>
    <w:rsid w:val="0001580D"/>
    <w:rsid w:val="000158DC"/>
    <w:rsid w:val="0001598F"/>
    <w:rsid w:val="00015BD8"/>
    <w:rsid w:val="00015C11"/>
    <w:rsid w:val="00015D74"/>
    <w:rsid w:val="00015E88"/>
    <w:rsid w:val="00016055"/>
    <w:rsid w:val="0001605B"/>
    <w:rsid w:val="00016521"/>
    <w:rsid w:val="0001654F"/>
    <w:rsid w:val="000167DE"/>
    <w:rsid w:val="000168FB"/>
    <w:rsid w:val="000169D2"/>
    <w:rsid w:val="00016AE6"/>
    <w:rsid w:val="00016B69"/>
    <w:rsid w:val="00016B9A"/>
    <w:rsid w:val="00016C15"/>
    <w:rsid w:val="00016D17"/>
    <w:rsid w:val="00016F05"/>
    <w:rsid w:val="0001729D"/>
    <w:rsid w:val="0001730C"/>
    <w:rsid w:val="0001736D"/>
    <w:rsid w:val="0001754D"/>
    <w:rsid w:val="00017644"/>
    <w:rsid w:val="000176FF"/>
    <w:rsid w:val="000178D7"/>
    <w:rsid w:val="00017925"/>
    <w:rsid w:val="00017B19"/>
    <w:rsid w:val="00017B1B"/>
    <w:rsid w:val="00017C49"/>
    <w:rsid w:val="00017DE9"/>
    <w:rsid w:val="000202E6"/>
    <w:rsid w:val="00020450"/>
    <w:rsid w:val="000204DD"/>
    <w:rsid w:val="000205DD"/>
    <w:rsid w:val="0002068A"/>
    <w:rsid w:val="000208BA"/>
    <w:rsid w:val="00020AC3"/>
    <w:rsid w:val="00020BA1"/>
    <w:rsid w:val="00020C5A"/>
    <w:rsid w:val="00020C96"/>
    <w:rsid w:val="00020E50"/>
    <w:rsid w:val="00020EBF"/>
    <w:rsid w:val="00020FCC"/>
    <w:rsid w:val="00021249"/>
    <w:rsid w:val="00021252"/>
    <w:rsid w:val="00021284"/>
    <w:rsid w:val="00021440"/>
    <w:rsid w:val="0002162A"/>
    <w:rsid w:val="0002165B"/>
    <w:rsid w:val="000216BB"/>
    <w:rsid w:val="000219C1"/>
    <w:rsid w:val="00021F17"/>
    <w:rsid w:val="00021FF3"/>
    <w:rsid w:val="0002203B"/>
    <w:rsid w:val="000220CB"/>
    <w:rsid w:val="00022105"/>
    <w:rsid w:val="00022457"/>
    <w:rsid w:val="0002271F"/>
    <w:rsid w:val="0002278C"/>
    <w:rsid w:val="00022911"/>
    <w:rsid w:val="000229FA"/>
    <w:rsid w:val="00022A11"/>
    <w:rsid w:val="00022C82"/>
    <w:rsid w:val="00022DCD"/>
    <w:rsid w:val="00022DF7"/>
    <w:rsid w:val="00022E3D"/>
    <w:rsid w:val="00022E92"/>
    <w:rsid w:val="00022ED4"/>
    <w:rsid w:val="0002316D"/>
    <w:rsid w:val="0002331B"/>
    <w:rsid w:val="00023380"/>
    <w:rsid w:val="0002343B"/>
    <w:rsid w:val="00023595"/>
    <w:rsid w:val="0002364A"/>
    <w:rsid w:val="000236FA"/>
    <w:rsid w:val="000239EA"/>
    <w:rsid w:val="00023A36"/>
    <w:rsid w:val="00023A7A"/>
    <w:rsid w:val="00023AC8"/>
    <w:rsid w:val="00023B0B"/>
    <w:rsid w:val="00023B28"/>
    <w:rsid w:val="00023B98"/>
    <w:rsid w:val="00023BAC"/>
    <w:rsid w:val="00023BED"/>
    <w:rsid w:val="00023C05"/>
    <w:rsid w:val="00023C40"/>
    <w:rsid w:val="00023D34"/>
    <w:rsid w:val="00023DFD"/>
    <w:rsid w:val="00024018"/>
    <w:rsid w:val="00024268"/>
    <w:rsid w:val="000242C0"/>
    <w:rsid w:val="000242FD"/>
    <w:rsid w:val="000244FE"/>
    <w:rsid w:val="000245C6"/>
    <w:rsid w:val="00024680"/>
    <w:rsid w:val="00024803"/>
    <w:rsid w:val="00024A86"/>
    <w:rsid w:val="00024BD2"/>
    <w:rsid w:val="00024BED"/>
    <w:rsid w:val="00024D76"/>
    <w:rsid w:val="00024F2C"/>
    <w:rsid w:val="0002508D"/>
    <w:rsid w:val="00025214"/>
    <w:rsid w:val="00025311"/>
    <w:rsid w:val="000253A9"/>
    <w:rsid w:val="0002552A"/>
    <w:rsid w:val="000255A7"/>
    <w:rsid w:val="0002580F"/>
    <w:rsid w:val="00025B2F"/>
    <w:rsid w:val="00025C75"/>
    <w:rsid w:val="00025D10"/>
    <w:rsid w:val="00025F95"/>
    <w:rsid w:val="00026117"/>
    <w:rsid w:val="00026171"/>
    <w:rsid w:val="000263D8"/>
    <w:rsid w:val="00026475"/>
    <w:rsid w:val="000264A3"/>
    <w:rsid w:val="0002674D"/>
    <w:rsid w:val="000267DE"/>
    <w:rsid w:val="00026920"/>
    <w:rsid w:val="0002697E"/>
    <w:rsid w:val="00026A12"/>
    <w:rsid w:val="00026A62"/>
    <w:rsid w:val="00026DD0"/>
    <w:rsid w:val="00026E96"/>
    <w:rsid w:val="00026FDB"/>
    <w:rsid w:val="000271EE"/>
    <w:rsid w:val="000273E5"/>
    <w:rsid w:val="000274D6"/>
    <w:rsid w:val="00027578"/>
    <w:rsid w:val="00027791"/>
    <w:rsid w:val="00027F1B"/>
    <w:rsid w:val="00027FEA"/>
    <w:rsid w:val="00027FFB"/>
    <w:rsid w:val="000300B0"/>
    <w:rsid w:val="00030200"/>
    <w:rsid w:val="000302A8"/>
    <w:rsid w:val="00030425"/>
    <w:rsid w:val="0003058F"/>
    <w:rsid w:val="000308E3"/>
    <w:rsid w:val="0003095D"/>
    <w:rsid w:val="00030AC4"/>
    <w:rsid w:val="00030E4F"/>
    <w:rsid w:val="00030E8C"/>
    <w:rsid w:val="0003103E"/>
    <w:rsid w:val="000310F5"/>
    <w:rsid w:val="0003117D"/>
    <w:rsid w:val="000311D3"/>
    <w:rsid w:val="00031442"/>
    <w:rsid w:val="000315AE"/>
    <w:rsid w:val="0003160C"/>
    <w:rsid w:val="000316CA"/>
    <w:rsid w:val="0003170B"/>
    <w:rsid w:val="00031801"/>
    <w:rsid w:val="00031969"/>
    <w:rsid w:val="000319A1"/>
    <w:rsid w:val="000319AE"/>
    <w:rsid w:val="00031AF0"/>
    <w:rsid w:val="00031B0F"/>
    <w:rsid w:val="00031BB7"/>
    <w:rsid w:val="00031C1D"/>
    <w:rsid w:val="00031D94"/>
    <w:rsid w:val="000321BF"/>
    <w:rsid w:val="000321E6"/>
    <w:rsid w:val="00032342"/>
    <w:rsid w:val="000324CE"/>
    <w:rsid w:val="0003260B"/>
    <w:rsid w:val="00032764"/>
    <w:rsid w:val="00032775"/>
    <w:rsid w:val="00032778"/>
    <w:rsid w:val="000327EC"/>
    <w:rsid w:val="000328E2"/>
    <w:rsid w:val="00032BA5"/>
    <w:rsid w:val="00032BE1"/>
    <w:rsid w:val="00032C14"/>
    <w:rsid w:val="00032CB9"/>
    <w:rsid w:val="00032F3B"/>
    <w:rsid w:val="00032F47"/>
    <w:rsid w:val="00033003"/>
    <w:rsid w:val="0003313B"/>
    <w:rsid w:val="00033187"/>
    <w:rsid w:val="0003320C"/>
    <w:rsid w:val="0003351F"/>
    <w:rsid w:val="00033597"/>
    <w:rsid w:val="000335B4"/>
    <w:rsid w:val="0003376B"/>
    <w:rsid w:val="00033BD9"/>
    <w:rsid w:val="00033C63"/>
    <w:rsid w:val="00033CFD"/>
    <w:rsid w:val="00033DF7"/>
    <w:rsid w:val="00033E37"/>
    <w:rsid w:val="00033FF8"/>
    <w:rsid w:val="0003403C"/>
    <w:rsid w:val="00034158"/>
    <w:rsid w:val="000342D2"/>
    <w:rsid w:val="00034521"/>
    <w:rsid w:val="00034776"/>
    <w:rsid w:val="00034820"/>
    <w:rsid w:val="00034851"/>
    <w:rsid w:val="00034AA9"/>
    <w:rsid w:val="00034B8A"/>
    <w:rsid w:val="00035137"/>
    <w:rsid w:val="00035270"/>
    <w:rsid w:val="0003531B"/>
    <w:rsid w:val="0003547D"/>
    <w:rsid w:val="000354F4"/>
    <w:rsid w:val="00035537"/>
    <w:rsid w:val="000358DB"/>
    <w:rsid w:val="000358F4"/>
    <w:rsid w:val="000358F6"/>
    <w:rsid w:val="00035C24"/>
    <w:rsid w:val="00035F16"/>
    <w:rsid w:val="00036062"/>
    <w:rsid w:val="000360CF"/>
    <w:rsid w:val="00036234"/>
    <w:rsid w:val="00036426"/>
    <w:rsid w:val="0003643F"/>
    <w:rsid w:val="0003646A"/>
    <w:rsid w:val="000367E2"/>
    <w:rsid w:val="00036868"/>
    <w:rsid w:val="000368D4"/>
    <w:rsid w:val="00036923"/>
    <w:rsid w:val="00036AF3"/>
    <w:rsid w:val="00036C28"/>
    <w:rsid w:val="00036D30"/>
    <w:rsid w:val="00036DE6"/>
    <w:rsid w:val="00037150"/>
    <w:rsid w:val="000371B6"/>
    <w:rsid w:val="0003723F"/>
    <w:rsid w:val="000374A6"/>
    <w:rsid w:val="000374F9"/>
    <w:rsid w:val="000376E0"/>
    <w:rsid w:val="000376F3"/>
    <w:rsid w:val="00037826"/>
    <w:rsid w:val="0003782B"/>
    <w:rsid w:val="000379C3"/>
    <w:rsid w:val="00037A51"/>
    <w:rsid w:val="00037ABA"/>
    <w:rsid w:val="00037BF6"/>
    <w:rsid w:val="0004011B"/>
    <w:rsid w:val="00040368"/>
    <w:rsid w:val="0004039E"/>
    <w:rsid w:val="000403ED"/>
    <w:rsid w:val="00040427"/>
    <w:rsid w:val="00040664"/>
    <w:rsid w:val="000406FC"/>
    <w:rsid w:val="000407FC"/>
    <w:rsid w:val="000408D6"/>
    <w:rsid w:val="00040936"/>
    <w:rsid w:val="00040A98"/>
    <w:rsid w:val="00040BCF"/>
    <w:rsid w:val="00040C1B"/>
    <w:rsid w:val="000410F7"/>
    <w:rsid w:val="0004114E"/>
    <w:rsid w:val="00041155"/>
    <w:rsid w:val="0004117C"/>
    <w:rsid w:val="00041328"/>
    <w:rsid w:val="00041329"/>
    <w:rsid w:val="000416AC"/>
    <w:rsid w:val="00041701"/>
    <w:rsid w:val="0004175A"/>
    <w:rsid w:val="0004183A"/>
    <w:rsid w:val="000419DB"/>
    <w:rsid w:val="00041AF5"/>
    <w:rsid w:val="00041B0B"/>
    <w:rsid w:val="00041BAB"/>
    <w:rsid w:val="00041CD4"/>
    <w:rsid w:val="00041E98"/>
    <w:rsid w:val="000421F8"/>
    <w:rsid w:val="00042306"/>
    <w:rsid w:val="00042664"/>
    <w:rsid w:val="00042780"/>
    <w:rsid w:val="0004292A"/>
    <w:rsid w:val="00042BE5"/>
    <w:rsid w:val="00042C2F"/>
    <w:rsid w:val="00042C6F"/>
    <w:rsid w:val="00042F29"/>
    <w:rsid w:val="00042F79"/>
    <w:rsid w:val="000431C1"/>
    <w:rsid w:val="000431FF"/>
    <w:rsid w:val="0004337B"/>
    <w:rsid w:val="000433E8"/>
    <w:rsid w:val="00043452"/>
    <w:rsid w:val="00043892"/>
    <w:rsid w:val="00043909"/>
    <w:rsid w:val="00043A08"/>
    <w:rsid w:val="00043A32"/>
    <w:rsid w:val="00043D10"/>
    <w:rsid w:val="00043EC6"/>
    <w:rsid w:val="00044087"/>
    <w:rsid w:val="000441CF"/>
    <w:rsid w:val="00044367"/>
    <w:rsid w:val="00044886"/>
    <w:rsid w:val="00044AC3"/>
    <w:rsid w:val="00044BCB"/>
    <w:rsid w:val="00044D40"/>
    <w:rsid w:val="00044EBB"/>
    <w:rsid w:val="000453DE"/>
    <w:rsid w:val="00045547"/>
    <w:rsid w:val="00045548"/>
    <w:rsid w:val="0004581F"/>
    <w:rsid w:val="00045B75"/>
    <w:rsid w:val="00045C0E"/>
    <w:rsid w:val="00045FC6"/>
    <w:rsid w:val="000460C3"/>
    <w:rsid w:val="000463F0"/>
    <w:rsid w:val="00046495"/>
    <w:rsid w:val="00046518"/>
    <w:rsid w:val="00046545"/>
    <w:rsid w:val="000467C5"/>
    <w:rsid w:val="00046954"/>
    <w:rsid w:val="00046BF7"/>
    <w:rsid w:val="00046C26"/>
    <w:rsid w:val="00046C80"/>
    <w:rsid w:val="00046EF2"/>
    <w:rsid w:val="0004721F"/>
    <w:rsid w:val="00047393"/>
    <w:rsid w:val="000473D0"/>
    <w:rsid w:val="000476F6"/>
    <w:rsid w:val="0004780C"/>
    <w:rsid w:val="00047827"/>
    <w:rsid w:val="00047AFF"/>
    <w:rsid w:val="00047B40"/>
    <w:rsid w:val="00047C64"/>
    <w:rsid w:val="00047DC1"/>
    <w:rsid w:val="00047EBB"/>
    <w:rsid w:val="00047EC0"/>
    <w:rsid w:val="00047F97"/>
    <w:rsid w:val="000500A2"/>
    <w:rsid w:val="000500AD"/>
    <w:rsid w:val="0005032D"/>
    <w:rsid w:val="000504C2"/>
    <w:rsid w:val="00050982"/>
    <w:rsid w:val="00050A39"/>
    <w:rsid w:val="00050E85"/>
    <w:rsid w:val="00051335"/>
    <w:rsid w:val="0005140F"/>
    <w:rsid w:val="0005156C"/>
    <w:rsid w:val="00051794"/>
    <w:rsid w:val="00051812"/>
    <w:rsid w:val="00051897"/>
    <w:rsid w:val="000519D8"/>
    <w:rsid w:val="00051AC9"/>
    <w:rsid w:val="00051C96"/>
    <w:rsid w:val="00051D4E"/>
    <w:rsid w:val="00052031"/>
    <w:rsid w:val="00052237"/>
    <w:rsid w:val="000525B5"/>
    <w:rsid w:val="00052819"/>
    <w:rsid w:val="00052AFD"/>
    <w:rsid w:val="00052B5A"/>
    <w:rsid w:val="00052BCB"/>
    <w:rsid w:val="00052C65"/>
    <w:rsid w:val="00052D4B"/>
    <w:rsid w:val="00052E9C"/>
    <w:rsid w:val="00053144"/>
    <w:rsid w:val="000531A9"/>
    <w:rsid w:val="00053511"/>
    <w:rsid w:val="00053695"/>
    <w:rsid w:val="00053A04"/>
    <w:rsid w:val="00053AB9"/>
    <w:rsid w:val="00053ACA"/>
    <w:rsid w:val="00053AF2"/>
    <w:rsid w:val="00053E94"/>
    <w:rsid w:val="00053EDB"/>
    <w:rsid w:val="00053F40"/>
    <w:rsid w:val="00054133"/>
    <w:rsid w:val="000543D5"/>
    <w:rsid w:val="00054416"/>
    <w:rsid w:val="000544A6"/>
    <w:rsid w:val="000545DD"/>
    <w:rsid w:val="00054673"/>
    <w:rsid w:val="000547EE"/>
    <w:rsid w:val="0005481F"/>
    <w:rsid w:val="00054850"/>
    <w:rsid w:val="00054925"/>
    <w:rsid w:val="00054BC4"/>
    <w:rsid w:val="00054CE1"/>
    <w:rsid w:val="00054F48"/>
    <w:rsid w:val="00054F4D"/>
    <w:rsid w:val="00055048"/>
    <w:rsid w:val="0005513C"/>
    <w:rsid w:val="00055160"/>
    <w:rsid w:val="0005517B"/>
    <w:rsid w:val="000551CE"/>
    <w:rsid w:val="000551F6"/>
    <w:rsid w:val="000553EF"/>
    <w:rsid w:val="0005551A"/>
    <w:rsid w:val="000555A2"/>
    <w:rsid w:val="00055703"/>
    <w:rsid w:val="00055773"/>
    <w:rsid w:val="000557ED"/>
    <w:rsid w:val="00055904"/>
    <w:rsid w:val="00055BC3"/>
    <w:rsid w:val="00055F20"/>
    <w:rsid w:val="000560E1"/>
    <w:rsid w:val="00056148"/>
    <w:rsid w:val="00056337"/>
    <w:rsid w:val="00056433"/>
    <w:rsid w:val="000564C6"/>
    <w:rsid w:val="00056518"/>
    <w:rsid w:val="0005681B"/>
    <w:rsid w:val="00056887"/>
    <w:rsid w:val="000568B0"/>
    <w:rsid w:val="00056924"/>
    <w:rsid w:val="00056A65"/>
    <w:rsid w:val="00056DFD"/>
    <w:rsid w:val="00056ED5"/>
    <w:rsid w:val="00056FAE"/>
    <w:rsid w:val="00056FCB"/>
    <w:rsid w:val="000570AA"/>
    <w:rsid w:val="00057365"/>
    <w:rsid w:val="00057545"/>
    <w:rsid w:val="00057709"/>
    <w:rsid w:val="0005779F"/>
    <w:rsid w:val="00057811"/>
    <w:rsid w:val="00057830"/>
    <w:rsid w:val="0005788D"/>
    <w:rsid w:val="0005796B"/>
    <w:rsid w:val="00057AF4"/>
    <w:rsid w:val="00057B1E"/>
    <w:rsid w:val="00057E71"/>
    <w:rsid w:val="00060221"/>
    <w:rsid w:val="000603DE"/>
    <w:rsid w:val="000604A1"/>
    <w:rsid w:val="0006051E"/>
    <w:rsid w:val="00060615"/>
    <w:rsid w:val="0006063C"/>
    <w:rsid w:val="0006072D"/>
    <w:rsid w:val="00060741"/>
    <w:rsid w:val="000608F2"/>
    <w:rsid w:val="0006091B"/>
    <w:rsid w:val="00060B3B"/>
    <w:rsid w:val="00060B60"/>
    <w:rsid w:val="00060BD6"/>
    <w:rsid w:val="00060C40"/>
    <w:rsid w:val="00060CFD"/>
    <w:rsid w:val="00060D6B"/>
    <w:rsid w:val="00060DDB"/>
    <w:rsid w:val="00060DE0"/>
    <w:rsid w:val="00060E30"/>
    <w:rsid w:val="00060F71"/>
    <w:rsid w:val="00060F8A"/>
    <w:rsid w:val="00060FC5"/>
    <w:rsid w:val="000611E4"/>
    <w:rsid w:val="00061354"/>
    <w:rsid w:val="00061433"/>
    <w:rsid w:val="0006153C"/>
    <w:rsid w:val="00061562"/>
    <w:rsid w:val="0006160E"/>
    <w:rsid w:val="000616F5"/>
    <w:rsid w:val="000619F6"/>
    <w:rsid w:val="00061A93"/>
    <w:rsid w:val="00061B92"/>
    <w:rsid w:val="00061DC4"/>
    <w:rsid w:val="00061DD3"/>
    <w:rsid w:val="00061FA6"/>
    <w:rsid w:val="0006229F"/>
    <w:rsid w:val="000622C4"/>
    <w:rsid w:val="00062316"/>
    <w:rsid w:val="00062449"/>
    <w:rsid w:val="000624E5"/>
    <w:rsid w:val="0006258A"/>
    <w:rsid w:val="000625E3"/>
    <w:rsid w:val="00062A74"/>
    <w:rsid w:val="00062B3A"/>
    <w:rsid w:val="00062C61"/>
    <w:rsid w:val="00062D98"/>
    <w:rsid w:val="00062DDB"/>
    <w:rsid w:val="0006303A"/>
    <w:rsid w:val="000630CB"/>
    <w:rsid w:val="00063101"/>
    <w:rsid w:val="000631B6"/>
    <w:rsid w:val="000631E8"/>
    <w:rsid w:val="00063277"/>
    <w:rsid w:val="000632DE"/>
    <w:rsid w:val="00063344"/>
    <w:rsid w:val="000633A9"/>
    <w:rsid w:val="000636D9"/>
    <w:rsid w:val="00063892"/>
    <w:rsid w:val="000638C7"/>
    <w:rsid w:val="00063C0A"/>
    <w:rsid w:val="00063CAF"/>
    <w:rsid w:val="00063D79"/>
    <w:rsid w:val="00063DC4"/>
    <w:rsid w:val="00063DF6"/>
    <w:rsid w:val="00063F74"/>
    <w:rsid w:val="00063FD9"/>
    <w:rsid w:val="00063FEB"/>
    <w:rsid w:val="0006405C"/>
    <w:rsid w:val="0006415E"/>
    <w:rsid w:val="000643B0"/>
    <w:rsid w:val="000643F6"/>
    <w:rsid w:val="000643FB"/>
    <w:rsid w:val="000646A4"/>
    <w:rsid w:val="0006479C"/>
    <w:rsid w:val="0006483C"/>
    <w:rsid w:val="0006489E"/>
    <w:rsid w:val="00064C10"/>
    <w:rsid w:val="00064C34"/>
    <w:rsid w:val="00065071"/>
    <w:rsid w:val="000650D6"/>
    <w:rsid w:val="0006516E"/>
    <w:rsid w:val="000652C6"/>
    <w:rsid w:val="000654FE"/>
    <w:rsid w:val="000656CB"/>
    <w:rsid w:val="000659B3"/>
    <w:rsid w:val="0006608E"/>
    <w:rsid w:val="000660E5"/>
    <w:rsid w:val="0006611E"/>
    <w:rsid w:val="000662C6"/>
    <w:rsid w:val="0006644A"/>
    <w:rsid w:val="000668E8"/>
    <w:rsid w:val="00066946"/>
    <w:rsid w:val="00066A77"/>
    <w:rsid w:val="00066B19"/>
    <w:rsid w:val="00066B8F"/>
    <w:rsid w:val="00066BBD"/>
    <w:rsid w:val="00066C37"/>
    <w:rsid w:val="00066F79"/>
    <w:rsid w:val="0006702E"/>
    <w:rsid w:val="00067043"/>
    <w:rsid w:val="00067122"/>
    <w:rsid w:val="000671A8"/>
    <w:rsid w:val="00067272"/>
    <w:rsid w:val="000674F2"/>
    <w:rsid w:val="00067549"/>
    <w:rsid w:val="00067557"/>
    <w:rsid w:val="000675EB"/>
    <w:rsid w:val="000676B3"/>
    <w:rsid w:val="00067718"/>
    <w:rsid w:val="0006776F"/>
    <w:rsid w:val="0006786B"/>
    <w:rsid w:val="000678EA"/>
    <w:rsid w:val="00067BD4"/>
    <w:rsid w:val="00067C9F"/>
    <w:rsid w:val="00067CA3"/>
    <w:rsid w:val="00067EDE"/>
    <w:rsid w:val="000703BF"/>
    <w:rsid w:val="000704CC"/>
    <w:rsid w:val="000704F9"/>
    <w:rsid w:val="00070651"/>
    <w:rsid w:val="0007086A"/>
    <w:rsid w:val="00070945"/>
    <w:rsid w:val="00070949"/>
    <w:rsid w:val="00070966"/>
    <w:rsid w:val="00070B2A"/>
    <w:rsid w:val="00070B57"/>
    <w:rsid w:val="00070D55"/>
    <w:rsid w:val="00071134"/>
    <w:rsid w:val="00071429"/>
    <w:rsid w:val="00071445"/>
    <w:rsid w:val="000714BF"/>
    <w:rsid w:val="00071593"/>
    <w:rsid w:val="00071652"/>
    <w:rsid w:val="000718AF"/>
    <w:rsid w:val="00071A59"/>
    <w:rsid w:val="00071A94"/>
    <w:rsid w:val="00071C48"/>
    <w:rsid w:val="00071D74"/>
    <w:rsid w:val="00071D9F"/>
    <w:rsid w:val="00071EEE"/>
    <w:rsid w:val="00071F5E"/>
    <w:rsid w:val="00072030"/>
    <w:rsid w:val="000722D7"/>
    <w:rsid w:val="000723CE"/>
    <w:rsid w:val="0007252A"/>
    <w:rsid w:val="00072663"/>
    <w:rsid w:val="0007275C"/>
    <w:rsid w:val="0007287C"/>
    <w:rsid w:val="000728D2"/>
    <w:rsid w:val="00072A6F"/>
    <w:rsid w:val="00072BEC"/>
    <w:rsid w:val="00072D26"/>
    <w:rsid w:val="00072E58"/>
    <w:rsid w:val="00072F6B"/>
    <w:rsid w:val="000733A2"/>
    <w:rsid w:val="00073731"/>
    <w:rsid w:val="0007382F"/>
    <w:rsid w:val="00073885"/>
    <w:rsid w:val="00073962"/>
    <w:rsid w:val="000739CA"/>
    <w:rsid w:val="00073B49"/>
    <w:rsid w:val="00073E46"/>
    <w:rsid w:val="000742C8"/>
    <w:rsid w:val="0007468E"/>
    <w:rsid w:val="000746D2"/>
    <w:rsid w:val="000747F7"/>
    <w:rsid w:val="00074920"/>
    <w:rsid w:val="00074BAA"/>
    <w:rsid w:val="00074BD9"/>
    <w:rsid w:val="00074C12"/>
    <w:rsid w:val="00074D8E"/>
    <w:rsid w:val="0007506E"/>
    <w:rsid w:val="0007514C"/>
    <w:rsid w:val="0007560C"/>
    <w:rsid w:val="00075644"/>
    <w:rsid w:val="0007577E"/>
    <w:rsid w:val="00075AC0"/>
    <w:rsid w:val="00075B8A"/>
    <w:rsid w:val="00075CEA"/>
    <w:rsid w:val="00075E00"/>
    <w:rsid w:val="0007601D"/>
    <w:rsid w:val="000760DF"/>
    <w:rsid w:val="00076387"/>
    <w:rsid w:val="000763D7"/>
    <w:rsid w:val="000766A3"/>
    <w:rsid w:val="00076718"/>
    <w:rsid w:val="000768C9"/>
    <w:rsid w:val="00076A66"/>
    <w:rsid w:val="00076AFC"/>
    <w:rsid w:val="00076C37"/>
    <w:rsid w:val="00076DF2"/>
    <w:rsid w:val="00076E82"/>
    <w:rsid w:val="00076F69"/>
    <w:rsid w:val="000770CF"/>
    <w:rsid w:val="000771FA"/>
    <w:rsid w:val="0007721D"/>
    <w:rsid w:val="000773F2"/>
    <w:rsid w:val="00077631"/>
    <w:rsid w:val="000776EC"/>
    <w:rsid w:val="000776F4"/>
    <w:rsid w:val="00077897"/>
    <w:rsid w:val="0007795F"/>
    <w:rsid w:val="000779C4"/>
    <w:rsid w:val="00077A22"/>
    <w:rsid w:val="00077B00"/>
    <w:rsid w:val="00077C55"/>
    <w:rsid w:val="00077D67"/>
    <w:rsid w:val="00077D8A"/>
    <w:rsid w:val="00077E62"/>
    <w:rsid w:val="00077EFE"/>
    <w:rsid w:val="00077F70"/>
    <w:rsid w:val="00077F93"/>
    <w:rsid w:val="00080228"/>
    <w:rsid w:val="000802C6"/>
    <w:rsid w:val="000802C8"/>
    <w:rsid w:val="00080343"/>
    <w:rsid w:val="000809E0"/>
    <w:rsid w:val="00080C28"/>
    <w:rsid w:val="00081191"/>
    <w:rsid w:val="000811F4"/>
    <w:rsid w:val="000812B9"/>
    <w:rsid w:val="00081413"/>
    <w:rsid w:val="000814AE"/>
    <w:rsid w:val="0008172E"/>
    <w:rsid w:val="00081789"/>
    <w:rsid w:val="0008190B"/>
    <w:rsid w:val="00081913"/>
    <w:rsid w:val="00081926"/>
    <w:rsid w:val="00081934"/>
    <w:rsid w:val="000819A6"/>
    <w:rsid w:val="00081C78"/>
    <w:rsid w:val="00081C95"/>
    <w:rsid w:val="00081DB1"/>
    <w:rsid w:val="00081F1C"/>
    <w:rsid w:val="00081F20"/>
    <w:rsid w:val="00081F5F"/>
    <w:rsid w:val="0008209C"/>
    <w:rsid w:val="000821EB"/>
    <w:rsid w:val="000824B9"/>
    <w:rsid w:val="000825CC"/>
    <w:rsid w:val="0008270B"/>
    <w:rsid w:val="00082764"/>
    <w:rsid w:val="000827A5"/>
    <w:rsid w:val="00082AD3"/>
    <w:rsid w:val="00082C0C"/>
    <w:rsid w:val="00082CED"/>
    <w:rsid w:val="00082D88"/>
    <w:rsid w:val="00082F16"/>
    <w:rsid w:val="000830EA"/>
    <w:rsid w:val="000832CA"/>
    <w:rsid w:val="0008330B"/>
    <w:rsid w:val="0008332D"/>
    <w:rsid w:val="000833F8"/>
    <w:rsid w:val="00083534"/>
    <w:rsid w:val="00083659"/>
    <w:rsid w:val="00083743"/>
    <w:rsid w:val="0008376B"/>
    <w:rsid w:val="000838BD"/>
    <w:rsid w:val="000838FB"/>
    <w:rsid w:val="00083A35"/>
    <w:rsid w:val="00083CAF"/>
    <w:rsid w:val="00083CFE"/>
    <w:rsid w:val="00083D04"/>
    <w:rsid w:val="00083D50"/>
    <w:rsid w:val="00083DFA"/>
    <w:rsid w:val="00083E15"/>
    <w:rsid w:val="00083F54"/>
    <w:rsid w:val="000840C3"/>
    <w:rsid w:val="00084181"/>
    <w:rsid w:val="00084256"/>
    <w:rsid w:val="00084317"/>
    <w:rsid w:val="0008493B"/>
    <w:rsid w:val="00084941"/>
    <w:rsid w:val="000849AA"/>
    <w:rsid w:val="00084C74"/>
    <w:rsid w:val="00084CAA"/>
    <w:rsid w:val="00084CAE"/>
    <w:rsid w:val="00084EF9"/>
    <w:rsid w:val="0008535C"/>
    <w:rsid w:val="000853BB"/>
    <w:rsid w:val="000853D8"/>
    <w:rsid w:val="000854C7"/>
    <w:rsid w:val="0008558B"/>
    <w:rsid w:val="0008566A"/>
    <w:rsid w:val="00085B08"/>
    <w:rsid w:val="00085DCA"/>
    <w:rsid w:val="00085F9A"/>
    <w:rsid w:val="00086456"/>
    <w:rsid w:val="0008680B"/>
    <w:rsid w:val="00086B89"/>
    <w:rsid w:val="00086F5F"/>
    <w:rsid w:val="0008709D"/>
    <w:rsid w:val="000870C4"/>
    <w:rsid w:val="00087195"/>
    <w:rsid w:val="0008722A"/>
    <w:rsid w:val="0008729E"/>
    <w:rsid w:val="00087575"/>
    <w:rsid w:val="00087654"/>
    <w:rsid w:val="00087665"/>
    <w:rsid w:val="000877C4"/>
    <w:rsid w:val="000877E6"/>
    <w:rsid w:val="000877EC"/>
    <w:rsid w:val="00087AA2"/>
    <w:rsid w:val="00087AFF"/>
    <w:rsid w:val="00087BFA"/>
    <w:rsid w:val="00087C7F"/>
    <w:rsid w:val="00087D17"/>
    <w:rsid w:val="00087D47"/>
    <w:rsid w:val="00087E04"/>
    <w:rsid w:val="00087EAE"/>
    <w:rsid w:val="00087FAB"/>
    <w:rsid w:val="00087FB4"/>
    <w:rsid w:val="00087FC0"/>
    <w:rsid w:val="00087FE7"/>
    <w:rsid w:val="0009015B"/>
    <w:rsid w:val="000901CB"/>
    <w:rsid w:val="0009020A"/>
    <w:rsid w:val="0009021A"/>
    <w:rsid w:val="00090223"/>
    <w:rsid w:val="00090452"/>
    <w:rsid w:val="000904CF"/>
    <w:rsid w:val="0009064E"/>
    <w:rsid w:val="00090769"/>
    <w:rsid w:val="000907E8"/>
    <w:rsid w:val="0009089E"/>
    <w:rsid w:val="00090C3E"/>
    <w:rsid w:val="00090C97"/>
    <w:rsid w:val="00090E19"/>
    <w:rsid w:val="00090E24"/>
    <w:rsid w:val="00090F09"/>
    <w:rsid w:val="00090F20"/>
    <w:rsid w:val="00091049"/>
    <w:rsid w:val="00091073"/>
    <w:rsid w:val="0009111B"/>
    <w:rsid w:val="000913B2"/>
    <w:rsid w:val="00091613"/>
    <w:rsid w:val="00091B19"/>
    <w:rsid w:val="00091DA1"/>
    <w:rsid w:val="00091EE6"/>
    <w:rsid w:val="00092071"/>
    <w:rsid w:val="00092102"/>
    <w:rsid w:val="000921C0"/>
    <w:rsid w:val="000921F9"/>
    <w:rsid w:val="0009222C"/>
    <w:rsid w:val="0009226D"/>
    <w:rsid w:val="000923E3"/>
    <w:rsid w:val="000924B3"/>
    <w:rsid w:val="0009275D"/>
    <w:rsid w:val="00092850"/>
    <w:rsid w:val="00092873"/>
    <w:rsid w:val="000928C7"/>
    <w:rsid w:val="00092A1B"/>
    <w:rsid w:val="00092A94"/>
    <w:rsid w:val="00092B32"/>
    <w:rsid w:val="00092BB4"/>
    <w:rsid w:val="00092CCD"/>
    <w:rsid w:val="00092D86"/>
    <w:rsid w:val="00093156"/>
    <w:rsid w:val="00093283"/>
    <w:rsid w:val="0009334A"/>
    <w:rsid w:val="00093435"/>
    <w:rsid w:val="00093B23"/>
    <w:rsid w:val="00093F92"/>
    <w:rsid w:val="00093FCC"/>
    <w:rsid w:val="0009413E"/>
    <w:rsid w:val="00094151"/>
    <w:rsid w:val="00094403"/>
    <w:rsid w:val="00094595"/>
    <w:rsid w:val="000949D9"/>
    <w:rsid w:val="000949FF"/>
    <w:rsid w:val="00094AF6"/>
    <w:rsid w:val="00094C06"/>
    <w:rsid w:val="00094E05"/>
    <w:rsid w:val="00094E4B"/>
    <w:rsid w:val="00094E56"/>
    <w:rsid w:val="00094E72"/>
    <w:rsid w:val="00094EB5"/>
    <w:rsid w:val="00094F0B"/>
    <w:rsid w:val="000950F2"/>
    <w:rsid w:val="00095160"/>
    <w:rsid w:val="0009517C"/>
    <w:rsid w:val="0009518B"/>
    <w:rsid w:val="000951E8"/>
    <w:rsid w:val="00095236"/>
    <w:rsid w:val="0009567A"/>
    <w:rsid w:val="000957B4"/>
    <w:rsid w:val="00095830"/>
    <w:rsid w:val="00095907"/>
    <w:rsid w:val="00095B19"/>
    <w:rsid w:val="00095B96"/>
    <w:rsid w:val="00095C87"/>
    <w:rsid w:val="00095D25"/>
    <w:rsid w:val="00095E2F"/>
    <w:rsid w:val="00095F47"/>
    <w:rsid w:val="000962B2"/>
    <w:rsid w:val="000963B0"/>
    <w:rsid w:val="000963D8"/>
    <w:rsid w:val="00096727"/>
    <w:rsid w:val="000967EB"/>
    <w:rsid w:val="00096AC9"/>
    <w:rsid w:val="00096B76"/>
    <w:rsid w:val="00096B8A"/>
    <w:rsid w:val="00096C2A"/>
    <w:rsid w:val="00096C73"/>
    <w:rsid w:val="00096D70"/>
    <w:rsid w:val="000970DB"/>
    <w:rsid w:val="00097213"/>
    <w:rsid w:val="000972DF"/>
    <w:rsid w:val="000974AD"/>
    <w:rsid w:val="00097915"/>
    <w:rsid w:val="0009793C"/>
    <w:rsid w:val="000979D3"/>
    <w:rsid w:val="000979EA"/>
    <w:rsid w:val="00097D2B"/>
    <w:rsid w:val="00097E9F"/>
    <w:rsid w:val="00097F1C"/>
    <w:rsid w:val="000A01E5"/>
    <w:rsid w:val="000A0226"/>
    <w:rsid w:val="000A02FB"/>
    <w:rsid w:val="000A0328"/>
    <w:rsid w:val="000A0467"/>
    <w:rsid w:val="000A04DB"/>
    <w:rsid w:val="000A0528"/>
    <w:rsid w:val="000A074B"/>
    <w:rsid w:val="000A0807"/>
    <w:rsid w:val="000A0A8C"/>
    <w:rsid w:val="000A0AF0"/>
    <w:rsid w:val="000A0E3E"/>
    <w:rsid w:val="000A0EB8"/>
    <w:rsid w:val="000A0EDA"/>
    <w:rsid w:val="000A0FBE"/>
    <w:rsid w:val="000A115F"/>
    <w:rsid w:val="000A135F"/>
    <w:rsid w:val="000A1389"/>
    <w:rsid w:val="000A14FB"/>
    <w:rsid w:val="000A1611"/>
    <w:rsid w:val="000A1B4E"/>
    <w:rsid w:val="000A1B91"/>
    <w:rsid w:val="000A1BDD"/>
    <w:rsid w:val="000A1E25"/>
    <w:rsid w:val="000A1E95"/>
    <w:rsid w:val="000A1EF1"/>
    <w:rsid w:val="000A21A6"/>
    <w:rsid w:val="000A2291"/>
    <w:rsid w:val="000A252E"/>
    <w:rsid w:val="000A25FF"/>
    <w:rsid w:val="000A2846"/>
    <w:rsid w:val="000A287F"/>
    <w:rsid w:val="000A29C3"/>
    <w:rsid w:val="000A2AEB"/>
    <w:rsid w:val="000A2B05"/>
    <w:rsid w:val="000A2D28"/>
    <w:rsid w:val="000A2F1C"/>
    <w:rsid w:val="000A2F30"/>
    <w:rsid w:val="000A2FBC"/>
    <w:rsid w:val="000A3130"/>
    <w:rsid w:val="000A31D5"/>
    <w:rsid w:val="000A335A"/>
    <w:rsid w:val="000A346B"/>
    <w:rsid w:val="000A359C"/>
    <w:rsid w:val="000A35C0"/>
    <w:rsid w:val="000A35ED"/>
    <w:rsid w:val="000A35FC"/>
    <w:rsid w:val="000A370C"/>
    <w:rsid w:val="000A3AD4"/>
    <w:rsid w:val="000A3B60"/>
    <w:rsid w:val="000A3E4F"/>
    <w:rsid w:val="000A40E3"/>
    <w:rsid w:val="000A4338"/>
    <w:rsid w:val="000A44A6"/>
    <w:rsid w:val="000A4607"/>
    <w:rsid w:val="000A467A"/>
    <w:rsid w:val="000A4719"/>
    <w:rsid w:val="000A48BF"/>
    <w:rsid w:val="000A48FD"/>
    <w:rsid w:val="000A49D1"/>
    <w:rsid w:val="000A4A63"/>
    <w:rsid w:val="000A4AF6"/>
    <w:rsid w:val="000A4B0F"/>
    <w:rsid w:val="000A4B4D"/>
    <w:rsid w:val="000A4B74"/>
    <w:rsid w:val="000A4C5D"/>
    <w:rsid w:val="000A4ED8"/>
    <w:rsid w:val="000A5021"/>
    <w:rsid w:val="000A5067"/>
    <w:rsid w:val="000A5120"/>
    <w:rsid w:val="000A524B"/>
    <w:rsid w:val="000A5284"/>
    <w:rsid w:val="000A533E"/>
    <w:rsid w:val="000A557D"/>
    <w:rsid w:val="000A55D3"/>
    <w:rsid w:val="000A571A"/>
    <w:rsid w:val="000A58E4"/>
    <w:rsid w:val="000A59F8"/>
    <w:rsid w:val="000A5E0D"/>
    <w:rsid w:val="000A5E69"/>
    <w:rsid w:val="000A5EB1"/>
    <w:rsid w:val="000A6515"/>
    <w:rsid w:val="000A65D2"/>
    <w:rsid w:val="000A66D9"/>
    <w:rsid w:val="000A6782"/>
    <w:rsid w:val="000A69EA"/>
    <w:rsid w:val="000A6B6E"/>
    <w:rsid w:val="000A6C38"/>
    <w:rsid w:val="000A6C60"/>
    <w:rsid w:val="000A6CB7"/>
    <w:rsid w:val="000A703C"/>
    <w:rsid w:val="000A7077"/>
    <w:rsid w:val="000A7081"/>
    <w:rsid w:val="000A7290"/>
    <w:rsid w:val="000A72C5"/>
    <w:rsid w:val="000A72EF"/>
    <w:rsid w:val="000A7633"/>
    <w:rsid w:val="000A766E"/>
    <w:rsid w:val="000A786E"/>
    <w:rsid w:val="000A78CF"/>
    <w:rsid w:val="000A7913"/>
    <w:rsid w:val="000A797E"/>
    <w:rsid w:val="000A7AAF"/>
    <w:rsid w:val="000A7B39"/>
    <w:rsid w:val="000A7E68"/>
    <w:rsid w:val="000A7F24"/>
    <w:rsid w:val="000A7F7F"/>
    <w:rsid w:val="000A7FBB"/>
    <w:rsid w:val="000B00F1"/>
    <w:rsid w:val="000B01B3"/>
    <w:rsid w:val="000B037F"/>
    <w:rsid w:val="000B0506"/>
    <w:rsid w:val="000B0587"/>
    <w:rsid w:val="000B08CF"/>
    <w:rsid w:val="000B08EF"/>
    <w:rsid w:val="000B09CC"/>
    <w:rsid w:val="000B0C95"/>
    <w:rsid w:val="000B0D56"/>
    <w:rsid w:val="000B0D62"/>
    <w:rsid w:val="000B0FDA"/>
    <w:rsid w:val="000B11C6"/>
    <w:rsid w:val="000B1222"/>
    <w:rsid w:val="000B131C"/>
    <w:rsid w:val="000B143B"/>
    <w:rsid w:val="000B143C"/>
    <w:rsid w:val="000B1790"/>
    <w:rsid w:val="000B1846"/>
    <w:rsid w:val="000B1857"/>
    <w:rsid w:val="000B1915"/>
    <w:rsid w:val="000B1964"/>
    <w:rsid w:val="000B19DB"/>
    <w:rsid w:val="000B1A31"/>
    <w:rsid w:val="000B1A8E"/>
    <w:rsid w:val="000B1B16"/>
    <w:rsid w:val="000B1B26"/>
    <w:rsid w:val="000B1B33"/>
    <w:rsid w:val="000B1CA9"/>
    <w:rsid w:val="000B1DB5"/>
    <w:rsid w:val="000B2097"/>
    <w:rsid w:val="000B2278"/>
    <w:rsid w:val="000B234F"/>
    <w:rsid w:val="000B251D"/>
    <w:rsid w:val="000B2533"/>
    <w:rsid w:val="000B2874"/>
    <w:rsid w:val="000B2CB9"/>
    <w:rsid w:val="000B2CF6"/>
    <w:rsid w:val="000B2D9F"/>
    <w:rsid w:val="000B2E26"/>
    <w:rsid w:val="000B2E29"/>
    <w:rsid w:val="000B2EC5"/>
    <w:rsid w:val="000B2ED9"/>
    <w:rsid w:val="000B2F24"/>
    <w:rsid w:val="000B3017"/>
    <w:rsid w:val="000B33CC"/>
    <w:rsid w:val="000B364F"/>
    <w:rsid w:val="000B37F0"/>
    <w:rsid w:val="000B38C8"/>
    <w:rsid w:val="000B3937"/>
    <w:rsid w:val="000B3A75"/>
    <w:rsid w:val="000B3AA1"/>
    <w:rsid w:val="000B3AF1"/>
    <w:rsid w:val="000B3BA2"/>
    <w:rsid w:val="000B3E1A"/>
    <w:rsid w:val="000B3E20"/>
    <w:rsid w:val="000B3E29"/>
    <w:rsid w:val="000B3ECC"/>
    <w:rsid w:val="000B3F10"/>
    <w:rsid w:val="000B4020"/>
    <w:rsid w:val="000B4109"/>
    <w:rsid w:val="000B422E"/>
    <w:rsid w:val="000B4253"/>
    <w:rsid w:val="000B442D"/>
    <w:rsid w:val="000B4501"/>
    <w:rsid w:val="000B4554"/>
    <w:rsid w:val="000B45F0"/>
    <w:rsid w:val="000B473C"/>
    <w:rsid w:val="000B4767"/>
    <w:rsid w:val="000B47D5"/>
    <w:rsid w:val="000B47F9"/>
    <w:rsid w:val="000B4824"/>
    <w:rsid w:val="000B4990"/>
    <w:rsid w:val="000B4B2D"/>
    <w:rsid w:val="000B4B6A"/>
    <w:rsid w:val="000B4E0C"/>
    <w:rsid w:val="000B4EB0"/>
    <w:rsid w:val="000B4F11"/>
    <w:rsid w:val="000B4F14"/>
    <w:rsid w:val="000B50D1"/>
    <w:rsid w:val="000B51B6"/>
    <w:rsid w:val="000B51C1"/>
    <w:rsid w:val="000B52D7"/>
    <w:rsid w:val="000B5311"/>
    <w:rsid w:val="000B531C"/>
    <w:rsid w:val="000B545F"/>
    <w:rsid w:val="000B56DF"/>
    <w:rsid w:val="000B56E3"/>
    <w:rsid w:val="000B5798"/>
    <w:rsid w:val="000B5A54"/>
    <w:rsid w:val="000B5B0A"/>
    <w:rsid w:val="000B5C7B"/>
    <w:rsid w:val="000B5C8C"/>
    <w:rsid w:val="000B5CEA"/>
    <w:rsid w:val="000B5D82"/>
    <w:rsid w:val="000B5F85"/>
    <w:rsid w:val="000B6009"/>
    <w:rsid w:val="000B61B6"/>
    <w:rsid w:val="000B6302"/>
    <w:rsid w:val="000B6330"/>
    <w:rsid w:val="000B64C0"/>
    <w:rsid w:val="000B650D"/>
    <w:rsid w:val="000B6539"/>
    <w:rsid w:val="000B666F"/>
    <w:rsid w:val="000B6763"/>
    <w:rsid w:val="000B6937"/>
    <w:rsid w:val="000B6F1A"/>
    <w:rsid w:val="000B702E"/>
    <w:rsid w:val="000B7167"/>
    <w:rsid w:val="000B74B9"/>
    <w:rsid w:val="000B74E6"/>
    <w:rsid w:val="000B79FA"/>
    <w:rsid w:val="000B7C3B"/>
    <w:rsid w:val="000B7E34"/>
    <w:rsid w:val="000B7ECF"/>
    <w:rsid w:val="000C0004"/>
    <w:rsid w:val="000C0051"/>
    <w:rsid w:val="000C0069"/>
    <w:rsid w:val="000C0099"/>
    <w:rsid w:val="000C00AB"/>
    <w:rsid w:val="000C00C6"/>
    <w:rsid w:val="000C03AE"/>
    <w:rsid w:val="000C042D"/>
    <w:rsid w:val="000C0581"/>
    <w:rsid w:val="000C0589"/>
    <w:rsid w:val="000C05F8"/>
    <w:rsid w:val="000C065B"/>
    <w:rsid w:val="000C076B"/>
    <w:rsid w:val="000C079F"/>
    <w:rsid w:val="000C07EC"/>
    <w:rsid w:val="000C0889"/>
    <w:rsid w:val="000C09E8"/>
    <w:rsid w:val="000C0A54"/>
    <w:rsid w:val="000C0CDF"/>
    <w:rsid w:val="000C0D09"/>
    <w:rsid w:val="000C0DC6"/>
    <w:rsid w:val="000C0E1C"/>
    <w:rsid w:val="000C0E76"/>
    <w:rsid w:val="000C0E8D"/>
    <w:rsid w:val="000C0E95"/>
    <w:rsid w:val="000C0EC9"/>
    <w:rsid w:val="000C106E"/>
    <w:rsid w:val="000C116C"/>
    <w:rsid w:val="000C12CF"/>
    <w:rsid w:val="000C1363"/>
    <w:rsid w:val="000C1625"/>
    <w:rsid w:val="000C17B5"/>
    <w:rsid w:val="000C1901"/>
    <w:rsid w:val="000C1907"/>
    <w:rsid w:val="000C1923"/>
    <w:rsid w:val="000C194A"/>
    <w:rsid w:val="000C1A6D"/>
    <w:rsid w:val="000C1D3C"/>
    <w:rsid w:val="000C264B"/>
    <w:rsid w:val="000C26D2"/>
    <w:rsid w:val="000C270E"/>
    <w:rsid w:val="000C2831"/>
    <w:rsid w:val="000C28A7"/>
    <w:rsid w:val="000C2B22"/>
    <w:rsid w:val="000C2BE0"/>
    <w:rsid w:val="000C2BE5"/>
    <w:rsid w:val="000C2C79"/>
    <w:rsid w:val="000C2D87"/>
    <w:rsid w:val="000C2DF3"/>
    <w:rsid w:val="000C2E06"/>
    <w:rsid w:val="000C2F17"/>
    <w:rsid w:val="000C30F5"/>
    <w:rsid w:val="000C3192"/>
    <w:rsid w:val="000C31A8"/>
    <w:rsid w:val="000C32A1"/>
    <w:rsid w:val="000C3310"/>
    <w:rsid w:val="000C3345"/>
    <w:rsid w:val="000C3550"/>
    <w:rsid w:val="000C3565"/>
    <w:rsid w:val="000C35CE"/>
    <w:rsid w:val="000C35F4"/>
    <w:rsid w:val="000C36B3"/>
    <w:rsid w:val="000C379A"/>
    <w:rsid w:val="000C384D"/>
    <w:rsid w:val="000C3A2F"/>
    <w:rsid w:val="000C3C86"/>
    <w:rsid w:val="000C3D09"/>
    <w:rsid w:val="000C3E4F"/>
    <w:rsid w:val="000C3EA9"/>
    <w:rsid w:val="000C3FEE"/>
    <w:rsid w:val="000C41E8"/>
    <w:rsid w:val="000C4209"/>
    <w:rsid w:val="000C469B"/>
    <w:rsid w:val="000C4AE4"/>
    <w:rsid w:val="000C4C87"/>
    <w:rsid w:val="000C4E07"/>
    <w:rsid w:val="000C4EDA"/>
    <w:rsid w:val="000C5007"/>
    <w:rsid w:val="000C506A"/>
    <w:rsid w:val="000C50F9"/>
    <w:rsid w:val="000C5384"/>
    <w:rsid w:val="000C54C6"/>
    <w:rsid w:val="000C5585"/>
    <w:rsid w:val="000C5879"/>
    <w:rsid w:val="000C59C1"/>
    <w:rsid w:val="000C5AFD"/>
    <w:rsid w:val="000C5BBB"/>
    <w:rsid w:val="000C5CCE"/>
    <w:rsid w:val="000C5EFC"/>
    <w:rsid w:val="000C5F8D"/>
    <w:rsid w:val="000C6119"/>
    <w:rsid w:val="000C6213"/>
    <w:rsid w:val="000C6224"/>
    <w:rsid w:val="000C6230"/>
    <w:rsid w:val="000C64E8"/>
    <w:rsid w:val="000C6538"/>
    <w:rsid w:val="000C6952"/>
    <w:rsid w:val="000C6B05"/>
    <w:rsid w:val="000C6F93"/>
    <w:rsid w:val="000C71AB"/>
    <w:rsid w:val="000C71DB"/>
    <w:rsid w:val="000C725D"/>
    <w:rsid w:val="000C7342"/>
    <w:rsid w:val="000C7376"/>
    <w:rsid w:val="000C7386"/>
    <w:rsid w:val="000C7577"/>
    <w:rsid w:val="000C763E"/>
    <w:rsid w:val="000C7640"/>
    <w:rsid w:val="000C775F"/>
    <w:rsid w:val="000C7886"/>
    <w:rsid w:val="000C7926"/>
    <w:rsid w:val="000C79D3"/>
    <w:rsid w:val="000C7A21"/>
    <w:rsid w:val="000C7A67"/>
    <w:rsid w:val="000C7BF0"/>
    <w:rsid w:val="000C7EA3"/>
    <w:rsid w:val="000D03FE"/>
    <w:rsid w:val="000D04FD"/>
    <w:rsid w:val="000D054F"/>
    <w:rsid w:val="000D0572"/>
    <w:rsid w:val="000D0740"/>
    <w:rsid w:val="000D0CB4"/>
    <w:rsid w:val="000D0ED3"/>
    <w:rsid w:val="000D11E6"/>
    <w:rsid w:val="000D121E"/>
    <w:rsid w:val="000D15CA"/>
    <w:rsid w:val="000D16F2"/>
    <w:rsid w:val="000D171F"/>
    <w:rsid w:val="000D1785"/>
    <w:rsid w:val="000D19EE"/>
    <w:rsid w:val="000D1A9E"/>
    <w:rsid w:val="000D1B0A"/>
    <w:rsid w:val="000D1B3A"/>
    <w:rsid w:val="000D1B98"/>
    <w:rsid w:val="000D1C0E"/>
    <w:rsid w:val="000D208D"/>
    <w:rsid w:val="000D2437"/>
    <w:rsid w:val="000D251B"/>
    <w:rsid w:val="000D25BB"/>
    <w:rsid w:val="000D2719"/>
    <w:rsid w:val="000D27B1"/>
    <w:rsid w:val="000D282E"/>
    <w:rsid w:val="000D2831"/>
    <w:rsid w:val="000D28A2"/>
    <w:rsid w:val="000D29DC"/>
    <w:rsid w:val="000D2F06"/>
    <w:rsid w:val="000D2F74"/>
    <w:rsid w:val="000D2FD4"/>
    <w:rsid w:val="000D3033"/>
    <w:rsid w:val="000D3233"/>
    <w:rsid w:val="000D3277"/>
    <w:rsid w:val="000D32C0"/>
    <w:rsid w:val="000D32E0"/>
    <w:rsid w:val="000D32E9"/>
    <w:rsid w:val="000D32F8"/>
    <w:rsid w:val="000D333B"/>
    <w:rsid w:val="000D3626"/>
    <w:rsid w:val="000D38F6"/>
    <w:rsid w:val="000D3A63"/>
    <w:rsid w:val="000D3AB5"/>
    <w:rsid w:val="000D3ABF"/>
    <w:rsid w:val="000D41E9"/>
    <w:rsid w:val="000D445C"/>
    <w:rsid w:val="000D44CE"/>
    <w:rsid w:val="000D4684"/>
    <w:rsid w:val="000D4699"/>
    <w:rsid w:val="000D49AE"/>
    <w:rsid w:val="000D49B0"/>
    <w:rsid w:val="000D4B9E"/>
    <w:rsid w:val="000D4C5F"/>
    <w:rsid w:val="000D4C7E"/>
    <w:rsid w:val="000D4E07"/>
    <w:rsid w:val="000D4EB9"/>
    <w:rsid w:val="000D4ED2"/>
    <w:rsid w:val="000D4F9A"/>
    <w:rsid w:val="000D508A"/>
    <w:rsid w:val="000D516B"/>
    <w:rsid w:val="000D5251"/>
    <w:rsid w:val="000D5266"/>
    <w:rsid w:val="000D539B"/>
    <w:rsid w:val="000D5407"/>
    <w:rsid w:val="000D56B1"/>
    <w:rsid w:val="000D5724"/>
    <w:rsid w:val="000D57CE"/>
    <w:rsid w:val="000D59A2"/>
    <w:rsid w:val="000D59FC"/>
    <w:rsid w:val="000D5E38"/>
    <w:rsid w:val="000D5E4F"/>
    <w:rsid w:val="000D6134"/>
    <w:rsid w:val="000D61E9"/>
    <w:rsid w:val="000D65C1"/>
    <w:rsid w:val="000D6720"/>
    <w:rsid w:val="000D67FB"/>
    <w:rsid w:val="000D6B5D"/>
    <w:rsid w:val="000D6DFA"/>
    <w:rsid w:val="000D7127"/>
    <w:rsid w:val="000D730B"/>
    <w:rsid w:val="000D7318"/>
    <w:rsid w:val="000D74B2"/>
    <w:rsid w:val="000D74D4"/>
    <w:rsid w:val="000D761C"/>
    <w:rsid w:val="000D7BE1"/>
    <w:rsid w:val="000D7D5C"/>
    <w:rsid w:val="000D7D78"/>
    <w:rsid w:val="000D7E3A"/>
    <w:rsid w:val="000D7E98"/>
    <w:rsid w:val="000E00DF"/>
    <w:rsid w:val="000E00FF"/>
    <w:rsid w:val="000E0457"/>
    <w:rsid w:val="000E0475"/>
    <w:rsid w:val="000E07F1"/>
    <w:rsid w:val="000E0800"/>
    <w:rsid w:val="000E09F2"/>
    <w:rsid w:val="000E0D62"/>
    <w:rsid w:val="000E1139"/>
    <w:rsid w:val="000E11E4"/>
    <w:rsid w:val="000E1252"/>
    <w:rsid w:val="000E13AB"/>
    <w:rsid w:val="000E15A9"/>
    <w:rsid w:val="000E15D0"/>
    <w:rsid w:val="000E1882"/>
    <w:rsid w:val="000E2192"/>
    <w:rsid w:val="000E21FC"/>
    <w:rsid w:val="000E2253"/>
    <w:rsid w:val="000E2273"/>
    <w:rsid w:val="000E24A4"/>
    <w:rsid w:val="000E253B"/>
    <w:rsid w:val="000E26FF"/>
    <w:rsid w:val="000E2726"/>
    <w:rsid w:val="000E2BC3"/>
    <w:rsid w:val="000E2EE6"/>
    <w:rsid w:val="000E2F20"/>
    <w:rsid w:val="000E2F7F"/>
    <w:rsid w:val="000E2FE8"/>
    <w:rsid w:val="000E31CC"/>
    <w:rsid w:val="000E350F"/>
    <w:rsid w:val="000E3562"/>
    <w:rsid w:val="000E3604"/>
    <w:rsid w:val="000E37CB"/>
    <w:rsid w:val="000E3910"/>
    <w:rsid w:val="000E39A7"/>
    <w:rsid w:val="000E3A88"/>
    <w:rsid w:val="000E3BD6"/>
    <w:rsid w:val="000E3BF4"/>
    <w:rsid w:val="000E3C01"/>
    <w:rsid w:val="000E3E4E"/>
    <w:rsid w:val="000E3E6F"/>
    <w:rsid w:val="000E3EBB"/>
    <w:rsid w:val="000E4028"/>
    <w:rsid w:val="000E4096"/>
    <w:rsid w:val="000E4239"/>
    <w:rsid w:val="000E424F"/>
    <w:rsid w:val="000E42E0"/>
    <w:rsid w:val="000E42F9"/>
    <w:rsid w:val="000E434C"/>
    <w:rsid w:val="000E43B7"/>
    <w:rsid w:val="000E4432"/>
    <w:rsid w:val="000E446B"/>
    <w:rsid w:val="000E45C7"/>
    <w:rsid w:val="000E49AA"/>
    <w:rsid w:val="000E4AF8"/>
    <w:rsid w:val="000E4B72"/>
    <w:rsid w:val="000E4CAA"/>
    <w:rsid w:val="000E4CBA"/>
    <w:rsid w:val="000E4FA6"/>
    <w:rsid w:val="000E5083"/>
    <w:rsid w:val="000E50E3"/>
    <w:rsid w:val="000E51AE"/>
    <w:rsid w:val="000E534A"/>
    <w:rsid w:val="000E5396"/>
    <w:rsid w:val="000E53A9"/>
    <w:rsid w:val="000E5694"/>
    <w:rsid w:val="000E57F2"/>
    <w:rsid w:val="000E5977"/>
    <w:rsid w:val="000E5AC9"/>
    <w:rsid w:val="000E5B3A"/>
    <w:rsid w:val="000E5D67"/>
    <w:rsid w:val="000E5D93"/>
    <w:rsid w:val="000E5E96"/>
    <w:rsid w:val="000E5F8E"/>
    <w:rsid w:val="000E600D"/>
    <w:rsid w:val="000E6031"/>
    <w:rsid w:val="000E606F"/>
    <w:rsid w:val="000E6202"/>
    <w:rsid w:val="000E630C"/>
    <w:rsid w:val="000E6508"/>
    <w:rsid w:val="000E655F"/>
    <w:rsid w:val="000E663C"/>
    <w:rsid w:val="000E6859"/>
    <w:rsid w:val="000E687D"/>
    <w:rsid w:val="000E693F"/>
    <w:rsid w:val="000E6BE0"/>
    <w:rsid w:val="000E6C62"/>
    <w:rsid w:val="000E6E65"/>
    <w:rsid w:val="000E6F8E"/>
    <w:rsid w:val="000E6FD8"/>
    <w:rsid w:val="000E706B"/>
    <w:rsid w:val="000E70DA"/>
    <w:rsid w:val="000E76F7"/>
    <w:rsid w:val="000E7A53"/>
    <w:rsid w:val="000E7B79"/>
    <w:rsid w:val="000F023D"/>
    <w:rsid w:val="000F024E"/>
    <w:rsid w:val="000F02D1"/>
    <w:rsid w:val="000F052C"/>
    <w:rsid w:val="000F0577"/>
    <w:rsid w:val="000F08F4"/>
    <w:rsid w:val="000F0A71"/>
    <w:rsid w:val="000F0AEB"/>
    <w:rsid w:val="000F0D6D"/>
    <w:rsid w:val="000F0F31"/>
    <w:rsid w:val="000F0FC8"/>
    <w:rsid w:val="000F1006"/>
    <w:rsid w:val="000F1298"/>
    <w:rsid w:val="000F13E3"/>
    <w:rsid w:val="000F149C"/>
    <w:rsid w:val="000F15F7"/>
    <w:rsid w:val="000F160B"/>
    <w:rsid w:val="000F1675"/>
    <w:rsid w:val="000F16D0"/>
    <w:rsid w:val="000F171E"/>
    <w:rsid w:val="000F1A72"/>
    <w:rsid w:val="000F1E42"/>
    <w:rsid w:val="000F1E5A"/>
    <w:rsid w:val="000F1ECF"/>
    <w:rsid w:val="000F1FF5"/>
    <w:rsid w:val="000F2035"/>
    <w:rsid w:val="000F2077"/>
    <w:rsid w:val="000F22AE"/>
    <w:rsid w:val="000F23AF"/>
    <w:rsid w:val="000F248B"/>
    <w:rsid w:val="000F24BD"/>
    <w:rsid w:val="000F24F3"/>
    <w:rsid w:val="000F2531"/>
    <w:rsid w:val="000F26B4"/>
    <w:rsid w:val="000F26D0"/>
    <w:rsid w:val="000F2719"/>
    <w:rsid w:val="000F2AF3"/>
    <w:rsid w:val="000F2B7E"/>
    <w:rsid w:val="000F2C0B"/>
    <w:rsid w:val="000F2F0B"/>
    <w:rsid w:val="000F3016"/>
    <w:rsid w:val="000F32D7"/>
    <w:rsid w:val="000F3639"/>
    <w:rsid w:val="000F37A3"/>
    <w:rsid w:val="000F396A"/>
    <w:rsid w:val="000F3B06"/>
    <w:rsid w:val="000F3B85"/>
    <w:rsid w:val="000F3BC2"/>
    <w:rsid w:val="000F3CC4"/>
    <w:rsid w:val="000F3CD4"/>
    <w:rsid w:val="000F3E5F"/>
    <w:rsid w:val="000F3FA9"/>
    <w:rsid w:val="000F3FB5"/>
    <w:rsid w:val="000F43AA"/>
    <w:rsid w:val="000F4409"/>
    <w:rsid w:val="000F46BE"/>
    <w:rsid w:val="000F4827"/>
    <w:rsid w:val="000F4A6F"/>
    <w:rsid w:val="000F4B0D"/>
    <w:rsid w:val="000F4B3F"/>
    <w:rsid w:val="000F4BB6"/>
    <w:rsid w:val="000F4C37"/>
    <w:rsid w:val="000F4DEB"/>
    <w:rsid w:val="000F4E1E"/>
    <w:rsid w:val="000F4F7E"/>
    <w:rsid w:val="000F5078"/>
    <w:rsid w:val="000F53D5"/>
    <w:rsid w:val="000F5407"/>
    <w:rsid w:val="000F548D"/>
    <w:rsid w:val="000F55D2"/>
    <w:rsid w:val="000F55FF"/>
    <w:rsid w:val="000F57A7"/>
    <w:rsid w:val="000F5954"/>
    <w:rsid w:val="000F599B"/>
    <w:rsid w:val="000F5A2D"/>
    <w:rsid w:val="000F5ADC"/>
    <w:rsid w:val="000F5E21"/>
    <w:rsid w:val="000F5E40"/>
    <w:rsid w:val="000F5F74"/>
    <w:rsid w:val="000F601B"/>
    <w:rsid w:val="000F6211"/>
    <w:rsid w:val="000F63D0"/>
    <w:rsid w:val="000F6472"/>
    <w:rsid w:val="000F64EF"/>
    <w:rsid w:val="000F651F"/>
    <w:rsid w:val="000F656E"/>
    <w:rsid w:val="000F65DF"/>
    <w:rsid w:val="000F6605"/>
    <w:rsid w:val="000F6782"/>
    <w:rsid w:val="000F67AF"/>
    <w:rsid w:val="000F6878"/>
    <w:rsid w:val="000F6924"/>
    <w:rsid w:val="000F6993"/>
    <w:rsid w:val="000F6A6F"/>
    <w:rsid w:val="000F6A87"/>
    <w:rsid w:val="000F6B94"/>
    <w:rsid w:val="000F6BE9"/>
    <w:rsid w:val="000F6C34"/>
    <w:rsid w:val="000F6F4C"/>
    <w:rsid w:val="000F6F7E"/>
    <w:rsid w:val="000F6F9D"/>
    <w:rsid w:val="000F715D"/>
    <w:rsid w:val="000F717A"/>
    <w:rsid w:val="000F72EF"/>
    <w:rsid w:val="000F7362"/>
    <w:rsid w:val="000F7389"/>
    <w:rsid w:val="000F781D"/>
    <w:rsid w:val="000F7991"/>
    <w:rsid w:val="000F7A95"/>
    <w:rsid w:val="000F7AF4"/>
    <w:rsid w:val="000F7BD9"/>
    <w:rsid w:val="000F7C09"/>
    <w:rsid w:val="000F7D9B"/>
    <w:rsid w:val="000F7DA2"/>
    <w:rsid w:val="000F7E6B"/>
    <w:rsid w:val="00100270"/>
    <w:rsid w:val="0010033F"/>
    <w:rsid w:val="001003AC"/>
    <w:rsid w:val="001003C8"/>
    <w:rsid w:val="001003EB"/>
    <w:rsid w:val="001004F9"/>
    <w:rsid w:val="00100653"/>
    <w:rsid w:val="00100691"/>
    <w:rsid w:val="0010072D"/>
    <w:rsid w:val="00100BD1"/>
    <w:rsid w:val="00100D81"/>
    <w:rsid w:val="00100EC3"/>
    <w:rsid w:val="00100FA4"/>
    <w:rsid w:val="0010105F"/>
    <w:rsid w:val="0010107D"/>
    <w:rsid w:val="001011FD"/>
    <w:rsid w:val="00101392"/>
    <w:rsid w:val="001016FC"/>
    <w:rsid w:val="00101751"/>
    <w:rsid w:val="001017D9"/>
    <w:rsid w:val="001018CD"/>
    <w:rsid w:val="001018D3"/>
    <w:rsid w:val="00101A44"/>
    <w:rsid w:val="00101B21"/>
    <w:rsid w:val="00101BB3"/>
    <w:rsid w:val="00101E16"/>
    <w:rsid w:val="001023A8"/>
    <w:rsid w:val="00102959"/>
    <w:rsid w:val="001029C8"/>
    <w:rsid w:val="001029DA"/>
    <w:rsid w:val="001029E4"/>
    <w:rsid w:val="00102A88"/>
    <w:rsid w:val="00102B87"/>
    <w:rsid w:val="00102B8D"/>
    <w:rsid w:val="00102E0A"/>
    <w:rsid w:val="00102E1E"/>
    <w:rsid w:val="00103104"/>
    <w:rsid w:val="001032FA"/>
    <w:rsid w:val="00103490"/>
    <w:rsid w:val="0010352A"/>
    <w:rsid w:val="00103CEF"/>
    <w:rsid w:val="00103D06"/>
    <w:rsid w:val="00103E29"/>
    <w:rsid w:val="00104007"/>
    <w:rsid w:val="00104048"/>
    <w:rsid w:val="0010416B"/>
    <w:rsid w:val="00104252"/>
    <w:rsid w:val="001042A8"/>
    <w:rsid w:val="001043A6"/>
    <w:rsid w:val="0010489B"/>
    <w:rsid w:val="001048F8"/>
    <w:rsid w:val="001049F3"/>
    <w:rsid w:val="00104A69"/>
    <w:rsid w:val="00104BAF"/>
    <w:rsid w:val="00104C4A"/>
    <w:rsid w:val="00104DE1"/>
    <w:rsid w:val="00104F1D"/>
    <w:rsid w:val="0010518C"/>
    <w:rsid w:val="00105561"/>
    <w:rsid w:val="00105962"/>
    <w:rsid w:val="00105A9A"/>
    <w:rsid w:val="00105C34"/>
    <w:rsid w:val="00105C4C"/>
    <w:rsid w:val="00105C7D"/>
    <w:rsid w:val="00105DA1"/>
    <w:rsid w:val="00105DF1"/>
    <w:rsid w:val="00105E0E"/>
    <w:rsid w:val="00105E77"/>
    <w:rsid w:val="00105FCB"/>
    <w:rsid w:val="00106049"/>
    <w:rsid w:val="001061C7"/>
    <w:rsid w:val="001063C9"/>
    <w:rsid w:val="0010641C"/>
    <w:rsid w:val="001067A5"/>
    <w:rsid w:val="00106883"/>
    <w:rsid w:val="00106922"/>
    <w:rsid w:val="00106A38"/>
    <w:rsid w:val="00106C73"/>
    <w:rsid w:val="00106CEA"/>
    <w:rsid w:val="00106DEC"/>
    <w:rsid w:val="00106EB8"/>
    <w:rsid w:val="00106F90"/>
    <w:rsid w:val="00107162"/>
    <w:rsid w:val="001072E6"/>
    <w:rsid w:val="00107366"/>
    <w:rsid w:val="001073BD"/>
    <w:rsid w:val="001076A1"/>
    <w:rsid w:val="0010770E"/>
    <w:rsid w:val="00107845"/>
    <w:rsid w:val="00107932"/>
    <w:rsid w:val="00107960"/>
    <w:rsid w:val="00107FFD"/>
    <w:rsid w:val="00110011"/>
    <w:rsid w:val="00110027"/>
    <w:rsid w:val="0011006A"/>
    <w:rsid w:val="0011038F"/>
    <w:rsid w:val="00110591"/>
    <w:rsid w:val="001105D5"/>
    <w:rsid w:val="001107B1"/>
    <w:rsid w:val="001108FF"/>
    <w:rsid w:val="00110976"/>
    <w:rsid w:val="001109B5"/>
    <w:rsid w:val="00110A96"/>
    <w:rsid w:val="00110AFD"/>
    <w:rsid w:val="00110B9F"/>
    <w:rsid w:val="00110D88"/>
    <w:rsid w:val="00110ECA"/>
    <w:rsid w:val="00110F78"/>
    <w:rsid w:val="00110FED"/>
    <w:rsid w:val="001110A6"/>
    <w:rsid w:val="001110B5"/>
    <w:rsid w:val="001110D5"/>
    <w:rsid w:val="0011128C"/>
    <w:rsid w:val="001112A6"/>
    <w:rsid w:val="0011134F"/>
    <w:rsid w:val="0011140B"/>
    <w:rsid w:val="0011141B"/>
    <w:rsid w:val="0011154F"/>
    <w:rsid w:val="001115E6"/>
    <w:rsid w:val="001115FE"/>
    <w:rsid w:val="0011184D"/>
    <w:rsid w:val="001119D5"/>
    <w:rsid w:val="001119E6"/>
    <w:rsid w:val="00111D18"/>
    <w:rsid w:val="00111EB2"/>
    <w:rsid w:val="00111F77"/>
    <w:rsid w:val="00111FA9"/>
    <w:rsid w:val="001123E3"/>
    <w:rsid w:val="0011247E"/>
    <w:rsid w:val="001124D8"/>
    <w:rsid w:val="00112685"/>
    <w:rsid w:val="0011284B"/>
    <w:rsid w:val="001128E9"/>
    <w:rsid w:val="00112906"/>
    <w:rsid w:val="00112A07"/>
    <w:rsid w:val="00112A99"/>
    <w:rsid w:val="00112AE9"/>
    <w:rsid w:val="00112B54"/>
    <w:rsid w:val="00112B82"/>
    <w:rsid w:val="00113046"/>
    <w:rsid w:val="00113232"/>
    <w:rsid w:val="00113296"/>
    <w:rsid w:val="00113516"/>
    <w:rsid w:val="00113655"/>
    <w:rsid w:val="00113665"/>
    <w:rsid w:val="00113737"/>
    <w:rsid w:val="001138E5"/>
    <w:rsid w:val="00113B47"/>
    <w:rsid w:val="00113BF9"/>
    <w:rsid w:val="00113C17"/>
    <w:rsid w:val="00113C4B"/>
    <w:rsid w:val="00113D0E"/>
    <w:rsid w:val="0011412D"/>
    <w:rsid w:val="001143B1"/>
    <w:rsid w:val="00114439"/>
    <w:rsid w:val="0011452C"/>
    <w:rsid w:val="001145B2"/>
    <w:rsid w:val="00114738"/>
    <w:rsid w:val="00114B92"/>
    <w:rsid w:val="00114D37"/>
    <w:rsid w:val="00114D4F"/>
    <w:rsid w:val="00114D87"/>
    <w:rsid w:val="00114DC6"/>
    <w:rsid w:val="00114E5E"/>
    <w:rsid w:val="00114E9F"/>
    <w:rsid w:val="00115462"/>
    <w:rsid w:val="00115611"/>
    <w:rsid w:val="0011575C"/>
    <w:rsid w:val="001157AD"/>
    <w:rsid w:val="00115882"/>
    <w:rsid w:val="0011596D"/>
    <w:rsid w:val="001159E0"/>
    <w:rsid w:val="00115E7A"/>
    <w:rsid w:val="00115EC9"/>
    <w:rsid w:val="00115FCE"/>
    <w:rsid w:val="00116109"/>
    <w:rsid w:val="00116122"/>
    <w:rsid w:val="0011612A"/>
    <w:rsid w:val="00116254"/>
    <w:rsid w:val="0011630B"/>
    <w:rsid w:val="001163E0"/>
    <w:rsid w:val="001163ED"/>
    <w:rsid w:val="001168A6"/>
    <w:rsid w:val="001169F0"/>
    <w:rsid w:val="00116B9A"/>
    <w:rsid w:val="00116DCC"/>
    <w:rsid w:val="00116F3B"/>
    <w:rsid w:val="0011700E"/>
    <w:rsid w:val="00117092"/>
    <w:rsid w:val="0011740E"/>
    <w:rsid w:val="0011745C"/>
    <w:rsid w:val="0011767A"/>
    <w:rsid w:val="00117714"/>
    <w:rsid w:val="001177C5"/>
    <w:rsid w:val="001177CE"/>
    <w:rsid w:val="0011785C"/>
    <w:rsid w:val="00117B6B"/>
    <w:rsid w:val="00117D45"/>
    <w:rsid w:val="00117DB0"/>
    <w:rsid w:val="00117DC7"/>
    <w:rsid w:val="00117DE2"/>
    <w:rsid w:val="00117E79"/>
    <w:rsid w:val="00117F82"/>
    <w:rsid w:val="001200B5"/>
    <w:rsid w:val="001200FD"/>
    <w:rsid w:val="00120126"/>
    <w:rsid w:val="00120149"/>
    <w:rsid w:val="0012018F"/>
    <w:rsid w:val="00120203"/>
    <w:rsid w:val="0012022C"/>
    <w:rsid w:val="0012030D"/>
    <w:rsid w:val="001204F8"/>
    <w:rsid w:val="001205E1"/>
    <w:rsid w:val="00120600"/>
    <w:rsid w:val="00120854"/>
    <w:rsid w:val="001208AA"/>
    <w:rsid w:val="00120973"/>
    <w:rsid w:val="00120C4E"/>
    <w:rsid w:val="00120C63"/>
    <w:rsid w:val="00120CA0"/>
    <w:rsid w:val="00120CB6"/>
    <w:rsid w:val="00120EAB"/>
    <w:rsid w:val="001210A7"/>
    <w:rsid w:val="00121556"/>
    <w:rsid w:val="001215A2"/>
    <w:rsid w:val="0012161D"/>
    <w:rsid w:val="001217DB"/>
    <w:rsid w:val="00121960"/>
    <w:rsid w:val="00121A13"/>
    <w:rsid w:val="00121BD7"/>
    <w:rsid w:val="00121C43"/>
    <w:rsid w:val="00121D3E"/>
    <w:rsid w:val="00121D71"/>
    <w:rsid w:val="00121DE3"/>
    <w:rsid w:val="001220F9"/>
    <w:rsid w:val="001221CD"/>
    <w:rsid w:val="001222D9"/>
    <w:rsid w:val="001222F4"/>
    <w:rsid w:val="00122447"/>
    <w:rsid w:val="0012289E"/>
    <w:rsid w:val="001228A7"/>
    <w:rsid w:val="001228FA"/>
    <w:rsid w:val="0012296A"/>
    <w:rsid w:val="00122AD9"/>
    <w:rsid w:val="00122C48"/>
    <w:rsid w:val="00122DF9"/>
    <w:rsid w:val="00122E30"/>
    <w:rsid w:val="001230B9"/>
    <w:rsid w:val="001231AB"/>
    <w:rsid w:val="00123361"/>
    <w:rsid w:val="001235D9"/>
    <w:rsid w:val="00123B59"/>
    <w:rsid w:val="00123C4A"/>
    <w:rsid w:val="00123CA1"/>
    <w:rsid w:val="00123E52"/>
    <w:rsid w:val="00123EA2"/>
    <w:rsid w:val="00124162"/>
    <w:rsid w:val="00124249"/>
    <w:rsid w:val="00124263"/>
    <w:rsid w:val="0012428D"/>
    <w:rsid w:val="001243F8"/>
    <w:rsid w:val="0012451F"/>
    <w:rsid w:val="0012486C"/>
    <w:rsid w:val="00124BF3"/>
    <w:rsid w:val="00124C6A"/>
    <w:rsid w:val="00125016"/>
    <w:rsid w:val="00125024"/>
    <w:rsid w:val="001250C0"/>
    <w:rsid w:val="00125124"/>
    <w:rsid w:val="00125549"/>
    <w:rsid w:val="00125743"/>
    <w:rsid w:val="00125959"/>
    <w:rsid w:val="001259EE"/>
    <w:rsid w:val="00125B66"/>
    <w:rsid w:val="00125BCA"/>
    <w:rsid w:val="00125C2E"/>
    <w:rsid w:val="0012627D"/>
    <w:rsid w:val="0012650D"/>
    <w:rsid w:val="0012660A"/>
    <w:rsid w:val="001266A0"/>
    <w:rsid w:val="001266B8"/>
    <w:rsid w:val="00126A20"/>
    <w:rsid w:val="00126AF0"/>
    <w:rsid w:val="00126B46"/>
    <w:rsid w:val="00126EC2"/>
    <w:rsid w:val="00126EFA"/>
    <w:rsid w:val="00126FA2"/>
    <w:rsid w:val="0012702D"/>
    <w:rsid w:val="00127169"/>
    <w:rsid w:val="00127260"/>
    <w:rsid w:val="0012729E"/>
    <w:rsid w:val="001274F5"/>
    <w:rsid w:val="00127738"/>
    <w:rsid w:val="00127772"/>
    <w:rsid w:val="00127915"/>
    <w:rsid w:val="00127B3B"/>
    <w:rsid w:val="00127E88"/>
    <w:rsid w:val="00127FD6"/>
    <w:rsid w:val="001300A1"/>
    <w:rsid w:val="0013017F"/>
    <w:rsid w:val="00130181"/>
    <w:rsid w:val="00130291"/>
    <w:rsid w:val="0013029F"/>
    <w:rsid w:val="0013037F"/>
    <w:rsid w:val="00130540"/>
    <w:rsid w:val="001305C9"/>
    <w:rsid w:val="00130768"/>
    <w:rsid w:val="00130781"/>
    <w:rsid w:val="0013088C"/>
    <w:rsid w:val="00130970"/>
    <w:rsid w:val="00130B37"/>
    <w:rsid w:val="00130BAF"/>
    <w:rsid w:val="00130CC9"/>
    <w:rsid w:val="00130E57"/>
    <w:rsid w:val="0013123B"/>
    <w:rsid w:val="001313F5"/>
    <w:rsid w:val="001316AB"/>
    <w:rsid w:val="001317D9"/>
    <w:rsid w:val="001317E8"/>
    <w:rsid w:val="00131823"/>
    <w:rsid w:val="0013183F"/>
    <w:rsid w:val="001318DC"/>
    <w:rsid w:val="001318FE"/>
    <w:rsid w:val="00131B84"/>
    <w:rsid w:val="00131C4C"/>
    <w:rsid w:val="00131C83"/>
    <w:rsid w:val="00131D04"/>
    <w:rsid w:val="00131D10"/>
    <w:rsid w:val="00131D9C"/>
    <w:rsid w:val="00131E8C"/>
    <w:rsid w:val="00131E91"/>
    <w:rsid w:val="00131FCF"/>
    <w:rsid w:val="0013209A"/>
    <w:rsid w:val="00132454"/>
    <w:rsid w:val="00132507"/>
    <w:rsid w:val="001325A0"/>
    <w:rsid w:val="00132683"/>
    <w:rsid w:val="0013276C"/>
    <w:rsid w:val="001327D1"/>
    <w:rsid w:val="0013294D"/>
    <w:rsid w:val="00132A49"/>
    <w:rsid w:val="00132AE9"/>
    <w:rsid w:val="00132B17"/>
    <w:rsid w:val="00132BE2"/>
    <w:rsid w:val="00132E80"/>
    <w:rsid w:val="00132FA5"/>
    <w:rsid w:val="00133042"/>
    <w:rsid w:val="0013333D"/>
    <w:rsid w:val="0013349A"/>
    <w:rsid w:val="001334F7"/>
    <w:rsid w:val="0013350A"/>
    <w:rsid w:val="001335DB"/>
    <w:rsid w:val="0013370D"/>
    <w:rsid w:val="00133713"/>
    <w:rsid w:val="001337AE"/>
    <w:rsid w:val="0013395B"/>
    <w:rsid w:val="00133972"/>
    <w:rsid w:val="00133D80"/>
    <w:rsid w:val="00133F09"/>
    <w:rsid w:val="001341C8"/>
    <w:rsid w:val="0013444A"/>
    <w:rsid w:val="001346D8"/>
    <w:rsid w:val="001347FC"/>
    <w:rsid w:val="00134A8B"/>
    <w:rsid w:val="00134C05"/>
    <w:rsid w:val="00134C0C"/>
    <w:rsid w:val="00134CB9"/>
    <w:rsid w:val="00134D0D"/>
    <w:rsid w:val="00134D97"/>
    <w:rsid w:val="00134E02"/>
    <w:rsid w:val="00134E89"/>
    <w:rsid w:val="00134EBD"/>
    <w:rsid w:val="00134FE5"/>
    <w:rsid w:val="00135036"/>
    <w:rsid w:val="0013509E"/>
    <w:rsid w:val="001351E9"/>
    <w:rsid w:val="001353BF"/>
    <w:rsid w:val="00135514"/>
    <w:rsid w:val="00135556"/>
    <w:rsid w:val="001357D8"/>
    <w:rsid w:val="00135937"/>
    <w:rsid w:val="001359F9"/>
    <w:rsid w:val="00135B39"/>
    <w:rsid w:val="00135B5A"/>
    <w:rsid w:val="00136016"/>
    <w:rsid w:val="001360BC"/>
    <w:rsid w:val="00136132"/>
    <w:rsid w:val="001361A2"/>
    <w:rsid w:val="00136413"/>
    <w:rsid w:val="0013653C"/>
    <w:rsid w:val="00136585"/>
    <w:rsid w:val="00136596"/>
    <w:rsid w:val="0013668D"/>
    <w:rsid w:val="001366C7"/>
    <w:rsid w:val="001367CA"/>
    <w:rsid w:val="001369A6"/>
    <w:rsid w:val="00136BD5"/>
    <w:rsid w:val="00136BED"/>
    <w:rsid w:val="00136C34"/>
    <w:rsid w:val="00136D17"/>
    <w:rsid w:val="00136D36"/>
    <w:rsid w:val="00136D82"/>
    <w:rsid w:val="00136D9C"/>
    <w:rsid w:val="00136E81"/>
    <w:rsid w:val="00136FB8"/>
    <w:rsid w:val="00137200"/>
    <w:rsid w:val="00137332"/>
    <w:rsid w:val="0013739E"/>
    <w:rsid w:val="00137522"/>
    <w:rsid w:val="00137536"/>
    <w:rsid w:val="001375F7"/>
    <w:rsid w:val="00137635"/>
    <w:rsid w:val="00137AD1"/>
    <w:rsid w:val="00137B07"/>
    <w:rsid w:val="00137CAF"/>
    <w:rsid w:val="00137EBA"/>
    <w:rsid w:val="00140017"/>
    <w:rsid w:val="0014006B"/>
    <w:rsid w:val="00140109"/>
    <w:rsid w:val="00140178"/>
    <w:rsid w:val="001402F7"/>
    <w:rsid w:val="001404C6"/>
    <w:rsid w:val="001404E7"/>
    <w:rsid w:val="00140650"/>
    <w:rsid w:val="001408D6"/>
    <w:rsid w:val="00140912"/>
    <w:rsid w:val="00140954"/>
    <w:rsid w:val="00140A1C"/>
    <w:rsid w:val="00140A20"/>
    <w:rsid w:val="00140AE8"/>
    <w:rsid w:val="00140FB0"/>
    <w:rsid w:val="0014119E"/>
    <w:rsid w:val="00141470"/>
    <w:rsid w:val="0014177E"/>
    <w:rsid w:val="0014178C"/>
    <w:rsid w:val="00141959"/>
    <w:rsid w:val="00141D2D"/>
    <w:rsid w:val="00141E08"/>
    <w:rsid w:val="00142105"/>
    <w:rsid w:val="00142179"/>
    <w:rsid w:val="0014217A"/>
    <w:rsid w:val="001421B5"/>
    <w:rsid w:val="00142321"/>
    <w:rsid w:val="001423B4"/>
    <w:rsid w:val="0014249E"/>
    <w:rsid w:val="00142596"/>
    <w:rsid w:val="00142948"/>
    <w:rsid w:val="00142B79"/>
    <w:rsid w:val="00142B8F"/>
    <w:rsid w:val="00142CB0"/>
    <w:rsid w:val="001436E0"/>
    <w:rsid w:val="001438FB"/>
    <w:rsid w:val="001439AF"/>
    <w:rsid w:val="001439E4"/>
    <w:rsid w:val="00143B02"/>
    <w:rsid w:val="00143B67"/>
    <w:rsid w:val="00143C91"/>
    <w:rsid w:val="00143DEB"/>
    <w:rsid w:val="00143E18"/>
    <w:rsid w:val="00143E2E"/>
    <w:rsid w:val="00143F6B"/>
    <w:rsid w:val="00143FA8"/>
    <w:rsid w:val="001441C4"/>
    <w:rsid w:val="00144227"/>
    <w:rsid w:val="0014463A"/>
    <w:rsid w:val="0014476A"/>
    <w:rsid w:val="001447D2"/>
    <w:rsid w:val="00144860"/>
    <w:rsid w:val="00144B36"/>
    <w:rsid w:val="00144B7A"/>
    <w:rsid w:val="00144CAB"/>
    <w:rsid w:val="00144DC2"/>
    <w:rsid w:val="00144F38"/>
    <w:rsid w:val="00144FAE"/>
    <w:rsid w:val="001450C5"/>
    <w:rsid w:val="00145225"/>
    <w:rsid w:val="0014527A"/>
    <w:rsid w:val="0014533C"/>
    <w:rsid w:val="001455B7"/>
    <w:rsid w:val="00145950"/>
    <w:rsid w:val="00145B35"/>
    <w:rsid w:val="00145C36"/>
    <w:rsid w:val="00145C62"/>
    <w:rsid w:val="00145C91"/>
    <w:rsid w:val="00145D07"/>
    <w:rsid w:val="00145DE2"/>
    <w:rsid w:val="00145F69"/>
    <w:rsid w:val="00145F6B"/>
    <w:rsid w:val="00145F6F"/>
    <w:rsid w:val="00146133"/>
    <w:rsid w:val="00146149"/>
    <w:rsid w:val="001461CC"/>
    <w:rsid w:val="00146237"/>
    <w:rsid w:val="00146349"/>
    <w:rsid w:val="001463AE"/>
    <w:rsid w:val="00146482"/>
    <w:rsid w:val="0014651E"/>
    <w:rsid w:val="001468AE"/>
    <w:rsid w:val="00146A63"/>
    <w:rsid w:val="00146A8E"/>
    <w:rsid w:val="00146AA6"/>
    <w:rsid w:val="00146AE8"/>
    <w:rsid w:val="00146C04"/>
    <w:rsid w:val="00146CCC"/>
    <w:rsid w:val="00146D89"/>
    <w:rsid w:val="00146DAB"/>
    <w:rsid w:val="00146F8F"/>
    <w:rsid w:val="00147218"/>
    <w:rsid w:val="00147349"/>
    <w:rsid w:val="0014768E"/>
    <w:rsid w:val="001478B4"/>
    <w:rsid w:val="00147D6D"/>
    <w:rsid w:val="00147DD4"/>
    <w:rsid w:val="00147E16"/>
    <w:rsid w:val="00147E4F"/>
    <w:rsid w:val="00147F00"/>
    <w:rsid w:val="00150256"/>
    <w:rsid w:val="001504D7"/>
    <w:rsid w:val="001506B3"/>
    <w:rsid w:val="00150774"/>
    <w:rsid w:val="00150A2F"/>
    <w:rsid w:val="00150A73"/>
    <w:rsid w:val="00150AB1"/>
    <w:rsid w:val="00150AB3"/>
    <w:rsid w:val="00150AF4"/>
    <w:rsid w:val="00150B13"/>
    <w:rsid w:val="00150B2A"/>
    <w:rsid w:val="00150C57"/>
    <w:rsid w:val="00150D5A"/>
    <w:rsid w:val="00150D6C"/>
    <w:rsid w:val="00150DE9"/>
    <w:rsid w:val="00150DED"/>
    <w:rsid w:val="00150E0A"/>
    <w:rsid w:val="00150E74"/>
    <w:rsid w:val="0015106D"/>
    <w:rsid w:val="001510A3"/>
    <w:rsid w:val="0015135A"/>
    <w:rsid w:val="00151460"/>
    <w:rsid w:val="001514B4"/>
    <w:rsid w:val="0015160D"/>
    <w:rsid w:val="00151744"/>
    <w:rsid w:val="00151753"/>
    <w:rsid w:val="0015188B"/>
    <w:rsid w:val="001519B4"/>
    <w:rsid w:val="00151B18"/>
    <w:rsid w:val="00151CCD"/>
    <w:rsid w:val="00151E5F"/>
    <w:rsid w:val="00151F0D"/>
    <w:rsid w:val="001520CE"/>
    <w:rsid w:val="00152228"/>
    <w:rsid w:val="0015239C"/>
    <w:rsid w:val="0015249A"/>
    <w:rsid w:val="001524D8"/>
    <w:rsid w:val="001525EA"/>
    <w:rsid w:val="0015275A"/>
    <w:rsid w:val="0015277D"/>
    <w:rsid w:val="00152820"/>
    <w:rsid w:val="0015292D"/>
    <w:rsid w:val="00152A45"/>
    <w:rsid w:val="00152B3C"/>
    <w:rsid w:val="00152E49"/>
    <w:rsid w:val="00152EA8"/>
    <w:rsid w:val="0015311D"/>
    <w:rsid w:val="001531B5"/>
    <w:rsid w:val="001533D1"/>
    <w:rsid w:val="001533D4"/>
    <w:rsid w:val="00153475"/>
    <w:rsid w:val="0015352B"/>
    <w:rsid w:val="001535FB"/>
    <w:rsid w:val="00153686"/>
    <w:rsid w:val="0015374C"/>
    <w:rsid w:val="00153779"/>
    <w:rsid w:val="001537B1"/>
    <w:rsid w:val="0015381A"/>
    <w:rsid w:val="00153B2C"/>
    <w:rsid w:val="00153B4B"/>
    <w:rsid w:val="00153D00"/>
    <w:rsid w:val="00154156"/>
    <w:rsid w:val="0015418C"/>
    <w:rsid w:val="00154397"/>
    <w:rsid w:val="00154531"/>
    <w:rsid w:val="001547CD"/>
    <w:rsid w:val="001548CF"/>
    <w:rsid w:val="001548F1"/>
    <w:rsid w:val="001548FD"/>
    <w:rsid w:val="00154A1F"/>
    <w:rsid w:val="00154ABD"/>
    <w:rsid w:val="00154BA6"/>
    <w:rsid w:val="00154C95"/>
    <w:rsid w:val="00154CCF"/>
    <w:rsid w:val="00154CED"/>
    <w:rsid w:val="00154E10"/>
    <w:rsid w:val="00154E18"/>
    <w:rsid w:val="001551C6"/>
    <w:rsid w:val="001553B8"/>
    <w:rsid w:val="0015543C"/>
    <w:rsid w:val="00155519"/>
    <w:rsid w:val="00155537"/>
    <w:rsid w:val="0015554F"/>
    <w:rsid w:val="001555C0"/>
    <w:rsid w:val="0015581A"/>
    <w:rsid w:val="00155822"/>
    <w:rsid w:val="00155825"/>
    <w:rsid w:val="001559A4"/>
    <w:rsid w:val="00155C09"/>
    <w:rsid w:val="00155D97"/>
    <w:rsid w:val="00155E0B"/>
    <w:rsid w:val="0015612A"/>
    <w:rsid w:val="00156174"/>
    <w:rsid w:val="00156677"/>
    <w:rsid w:val="001566EA"/>
    <w:rsid w:val="00156755"/>
    <w:rsid w:val="001567EB"/>
    <w:rsid w:val="001569E1"/>
    <w:rsid w:val="00156ACF"/>
    <w:rsid w:val="00156B14"/>
    <w:rsid w:val="00156CB7"/>
    <w:rsid w:val="00156EC8"/>
    <w:rsid w:val="00156FEB"/>
    <w:rsid w:val="0015707F"/>
    <w:rsid w:val="00157326"/>
    <w:rsid w:val="001573AF"/>
    <w:rsid w:val="00157533"/>
    <w:rsid w:val="001575DF"/>
    <w:rsid w:val="001576BB"/>
    <w:rsid w:val="001577D9"/>
    <w:rsid w:val="001578EC"/>
    <w:rsid w:val="0015792C"/>
    <w:rsid w:val="00157AB0"/>
    <w:rsid w:val="00157C0C"/>
    <w:rsid w:val="00157D36"/>
    <w:rsid w:val="00157DF4"/>
    <w:rsid w:val="001600E4"/>
    <w:rsid w:val="001601CB"/>
    <w:rsid w:val="001601D7"/>
    <w:rsid w:val="0016035D"/>
    <w:rsid w:val="0016042D"/>
    <w:rsid w:val="0016058A"/>
    <w:rsid w:val="001607F0"/>
    <w:rsid w:val="0016084B"/>
    <w:rsid w:val="001609ED"/>
    <w:rsid w:val="00160B0F"/>
    <w:rsid w:val="00160D28"/>
    <w:rsid w:val="00160F2D"/>
    <w:rsid w:val="00160FE1"/>
    <w:rsid w:val="001611F2"/>
    <w:rsid w:val="00161222"/>
    <w:rsid w:val="0016122A"/>
    <w:rsid w:val="0016151E"/>
    <w:rsid w:val="0016167B"/>
    <w:rsid w:val="00161A75"/>
    <w:rsid w:val="00161CFD"/>
    <w:rsid w:val="00162045"/>
    <w:rsid w:val="0016218D"/>
    <w:rsid w:val="00162648"/>
    <w:rsid w:val="00162655"/>
    <w:rsid w:val="00162910"/>
    <w:rsid w:val="00162A04"/>
    <w:rsid w:val="00162B98"/>
    <w:rsid w:val="00162BC2"/>
    <w:rsid w:val="00163245"/>
    <w:rsid w:val="0016324C"/>
    <w:rsid w:val="00163380"/>
    <w:rsid w:val="0016350C"/>
    <w:rsid w:val="00163714"/>
    <w:rsid w:val="001637F9"/>
    <w:rsid w:val="00163817"/>
    <w:rsid w:val="00163988"/>
    <w:rsid w:val="00163A22"/>
    <w:rsid w:val="00163A6C"/>
    <w:rsid w:val="00163B58"/>
    <w:rsid w:val="00163BC4"/>
    <w:rsid w:val="00163C69"/>
    <w:rsid w:val="00163C7E"/>
    <w:rsid w:val="00163D87"/>
    <w:rsid w:val="00163DF4"/>
    <w:rsid w:val="00163E2A"/>
    <w:rsid w:val="00163EBA"/>
    <w:rsid w:val="00163EFE"/>
    <w:rsid w:val="00163F77"/>
    <w:rsid w:val="001641A3"/>
    <w:rsid w:val="00164397"/>
    <w:rsid w:val="00164619"/>
    <w:rsid w:val="001649A2"/>
    <w:rsid w:val="00164B33"/>
    <w:rsid w:val="00164C02"/>
    <w:rsid w:val="00164F24"/>
    <w:rsid w:val="00164F53"/>
    <w:rsid w:val="00164FDD"/>
    <w:rsid w:val="00165005"/>
    <w:rsid w:val="001652FC"/>
    <w:rsid w:val="0016538F"/>
    <w:rsid w:val="00165709"/>
    <w:rsid w:val="00165818"/>
    <w:rsid w:val="00165958"/>
    <w:rsid w:val="00165D5D"/>
    <w:rsid w:val="00165D7B"/>
    <w:rsid w:val="00165DF1"/>
    <w:rsid w:val="001663B4"/>
    <w:rsid w:val="00166495"/>
    <w:rsid w:val="001664A1"/>
    <w:rsid w:val="001664D9"/>
    <w:rsid w:val="00166692"/>
    <w:rsid w:val="00166856"/>
    <w:rsid w:val="001668DF"/>
    <w:rsid w:val="00166B4C"/>
    <w:rsid w:val="00166D4E"/>
    <w:rsid w:val="00166E77"/>
    <w:rsid w:val="00166FF6"/>
    <w:rsid w:val="001671F2"/>
    <w:rsid w:val="00167334"/>
    <w:rsid w:val="00167346"/>
    <w:rsid w:val="00167422"/>
    <w:rsid w:val="001674F7"/>
    <w:rsid w:val="00167684"/>
    <w:rsid w:val="001676DF"/>
    <w:rsid w:val="001676EA"/>
    <w:rsid w:val="001678FE"/>
    <w:rsid w:val="00167948"/>
    <w:rsid w:val="001679CA"/>
    <w:rsid w:val="001679D7"/>
    <w:rsid w:val="00167A05"/>
    <w:rsid w:val="00167CD7"/>
    <w:rsid w:val="00167D18"/>
    <w:rsid w:val="00167D52"/>
    <w:rsid w:val="00167DAD"/>
    <w:rsid w:val="00167EC5"/>
    <w:rsid w:val="00167F75"/>
    <w:rsid w:val="0017010D"/>
    <w:rsid w:val="001701F4"/>
    <w:rsid w:val="00170348"/>
    <w:rsid w:val="00170354"/>
    <w:rsid w:val="00170437"/>
    <w:rsid w:val="00170575"/>
    <w:rsid w:val="00170634"/>
    <w:rsid w:val="00170A3D"/>
    <w:rsid w:val="0017137A"/>
    <w:rsid w:val="001713DF"/>
    <w:rsid w:val="00171651"/>
    <w:rsid w:val="0017183F"/>
    <w:rsid w:val="00171CB8"/>
    <w:rsid w:val="00171DBB"/>
    <w:rsid w:val="00171DF3"/>
    <w:rsid w:val="001720F1"/>
    <w:rsid w:val="00172223"/>
    <w:rsid w:val="001722EA"/>
    <w:rsid w:val="00172411"/>
    <w:rsid w:val="0017243A"/>
    <w:rsid w:val="001724E2"/>
    <w:rsid w:val="0017257A"/>
    <w:rsid w:val="001725FB"/>
    <w:rsid w:val="00172696"/>
    <w:rsid w:val="001728F9"/>
    <w:rsid w:val="00172964"/>
    <w:rsid w:val="001729AF"/>
    <w:rsid w:val="00172A06"/>
    <w:rsid w:val="00172DC1"/>
    <w:rsid w:val="00172E7E"/>
    <w:rsid w:val="00173084"/>
    <w:rsid w:val="0017323E"/>
    <w:rsid w:val="00173325"/>
    <w:rsid w:val="001733CF"/>
    <w:rsid w:val="00173509"/>
    <w:rsid w:val="00173772"/>
    <w:rsid w:val="0017389F"/>
    <w:rsid w:val="00173907"/>
    <w:rsid w:val="00173917"/>
    <w:rsid w:val="00173950"/>
    <w:rsid w:val="00173B29"/>
    <w:rsid w:val="00173C0E"/>
    <w:rsid w:val="00173D91"/>
    <w:rsid w:val="00173EAD"/>
    <w:rsid w:val="00174075"/>
    <w:rsid w:val="001740BF"/>
    <w:rsid w:val="001741CE"/>
    <w:rsid w:val="001743C1"/>
    <w:rsid w:val="00174649"/>
    <w:rsid w:val="00174654"/>
    <w:rsid w:val="00174797"/>
    <w:rsid w:val="001747EE"/>
    <w:rsid w:val="00174A5A"/>
    <w:rsid w:val="00174C71"/>
    <w:rsid w:val="00174C8D"/>
    <w:rsid w:val="00174CB0"/>
    <w:rsid w:val="00174DD1"/>
    <w:rsid w:val="00174F4C"/>
    <w:rsid w:val="00175101"/>
    <w:rsid w:val="00175268"/>
    <w:rsid w:val="001753CB"/>
    <w:rsid w:val="001754C9"/>
    <w:rsid w:val="001757D7"/>
    <w:rsid w:val="001757E0"/>
    <w:rsid w:val="001759B8"/>
    <w:rsid w:val="00175A36"/>
    <w:rsid w:val="00175A5E"/>
    <w:rsid w:val="00175CAD"/>
    <w:rsid w:val="00175D0A"/>
    <w:rsid w:val="00175E06"/>
    <w:rsid w:val="00175FB4"/>
    <w:rsid w:val="0017635C"/>
    <w:rsid w:val="00176457"/>
    <w:rsid w:val="0017653C"/>
    <w:rsid w:val="001766F6"/>
    <w:rsid w:val="00176741"/>
    <w:rsid w:val="001768B3"/>
    <w:rsid w:val="00176ACA"/>
    <w:rsid w:val="00176B07"/>
    <w:rsid w:val="00176D93"/>
    <w:rsid w:val="00176E02"/>
    <w:rsid w:val="00176EB8"/>
    <w:rsid w:val="00176F52"/>
    <w:rsid w:val="00176F92"/>
    <w:rsid w:val="0017712C"/>
    <w:rsid w:val="001774E0"/>
    <w:rsid w:val="00177559"/>
    <w:rsid w:val="001775C2"/>
    <w:rsid w:val="00177614"/>
    <w:rsid w:val="0017761D"/>
    <w:rsid w:val="00177C7F"/>
    <w:rsid w:val="00177D64"/>
    <w:rsid w:val="00177E04"/>
    <w:rsid w:val="00177E0E"/>
    <w:rsid w:val="00177E27"/>
    <w:rsid w:val="00177E79"/>
    <w:rsid w:val="00177F66"/>
    <w:rsid w:val="00177F9D"/>
    <w:rsid w:val="001801E6"/>
    <w:rsid w:val="00180253"/>
    <w:rsid w:val="00180483"/>
    <w:rsid w:val="001804F2"/>
    <w:rsid w:val="001806AA"/>
    <w:rsid w:val="0018078C"/>
    <w:rsid w:val="001807C2"/>
    <w:rsid w:val="001809D8"/>
    <w:rsid w:val="00180ACD"/>
    <w:rsid w:val="00180AD7"/>
    <w:rsid w:val="00180B0D"/>
    <w:rsid w:val="00180B59"/>
    <w:rsid w:val="00180C97"/>
    <w:rsid w:val="00180D08"/>
    <w:rsid w:val="00180DB1"/>
    <w:rsid w:val="00180E63"/>
    <w:rsid w:val="00181017"/>
    <w:rsid w:val="00181050"/>
    <w:rsid w:val="00181107"/>
    <w:rsid w:val="00181180"/>
    <w:rsid w:val="001812AA"/>
    <w:rsid w:val="001812E4"/>
    <w:rsid w:val="0018130A"/>
    <w:rsid w:val="00181314"/>
    <w:rsid w:val="0018138D"/>
    <w:rsid w:val="00181390"/>
    <w:rsid w:val="00181544"/>
    <w:rsid w:val="00181794"/>
    <w:rsid w:val="001817EB"/>
    <w:rsid w:val="001819C0"/>
    <w:rsid w:val="00181A03"/>
    <w:rsid w:val="00181BD4"/>
    <w:rsid w:val="00181D52"/>
    <w:rsid w:val="00181DE9"/>
    <w:rsid w:val="001821FE"/>
    <w:rsid w:val="00182528"/>
    <w:rsid w:val="001826A8"/>
    <w:rsid w:val="001827AA"/>
    <w:rsid w:val="00182995"/>
    <w:rsid w:val="00182A74"/>
    <w:rsid w:val="00182A8E"/>
    <w:rsid w:val="00182B71"/>
    <w:rsid w:val="00182C44"/>
    <w:rsid w:val="00182D93"/>
    <w:rsid w:val="00182FA1"/>
    <w:rsid w:val="00183011"/>
    <w:rsid w:val="001830C1"/>
    <w:rsid w:val="00183135"/>
    <w:rsid w:val="00183372"/>
    <w:rsid w:val="00183438"/>
    <w:rsid w:val="00183671"/>
    <w:rsid w:val="00183676"/>
    <w:rsid w:val="0018375C"/>
    <w:rsid w:val="00183775"/>
    <w:rsid w:val="00183822"/>
    <w:rsid w:val="00183D17"/>
    <w:rsid w:val="00183ECA"/>
    <w:rsid w:val="00183F5C"/>
    <w:rsid w:val="0018431D"/>
    <w:rsid w:val="00184952"/>
    <w:rsid w:val="00184A8E"/>
    <w:rsid w:val="00184C03"/>
    <w:rsid w:val="00184E9F"/>
    <w:rsid w:val="00184EE6"/>
    <w:rsid w:val="00185023"/>
    <w:rsid w:val="00185298"/>
    <w:rsid w:val="00185360"/>
    <w:rsid w:val="001857C6"/>
    <w:rsid w:val="001858A8"/>
    <w:rsid w:val="001858AF"/>
    <w:rsid w:val="00185B63"/>
    <w:rsid w:val="00185C18"/>
    <w:rsid w:val="00185E32"/>
    <w:rsid w:val="00185F0A"/>
    <w:rsid w:val="00186216"/>
    <w:rsid w:val="0018683D"/>
    <w:rsid w:val="00186AC3"/>
    <w:rsid w:val="00186D62"/>
    <w:rsid w:val="00187080"/>
    <w:rsid w:val="0018735D"/>
    <w:rsid w:val="001874E5"/>
    <w:rsid w:val="0018752E"/>
    <w:rsid w:val="0018761D"/>
    <w:rsid w:val="00187828"/>
    <w:rsid w:val="0018789E"/>
    <w:rsid w:val="00187B10"/>
    <w:rsid w:val="00187B84"/>
    <w:rsid w:val="00187C2E"/>
    <w:rsid w:val="00190026"/>
    <w:rsid w:val="0019007A"/>
    <w:rsid w:val="0019027C"/>
    <w:rsid w:val="0019030B"/>
    <w:rsid w:val="00190376"/>
    <w:rsid w:val="0019039F"/>
    <w:rsid w:val="001903D7"/>
    <w:rsid w:val="001904A2"/>
    <w:rsid w:val="001909A7"/>
    <w:rsid w:val="001909AA"/>
    <w:rsid w:val="00190D4D"/>
    <w:rsid w:val="00190D5D"/>
    <w:rsid w:val="00190DB5"/>
    <w:rsid w:val="00190DE0"/>
    <w:rsid w:val="00190E09"/>
    <w:rsid w:val="00190E5C"/>
    <w:rsid w:val="00190FDC"/>
    <w:rsid w:val="00191171"/>
    <w:rsid w:val="00191341"/>
    <w:rsid w:val="0019138B"/>
    <w:rsid w:val="001913D7"/>
    <w:rsid w:val="001913F9"/>
    <w:rsid w:val="0019158D"/>
    <w:rsid w:val="001916AC"/>
    <w:rsid w:val="001917E8"/>
    <w:rsid w:val="0019182A"/>
    <w:rsid w:val="001919E6"/>
    <w:rsid w:val="001919EE"/>
    <w:rsid w:val="00191B93"/>
    <w:rsid w:val="00191BFA"/>
    <w:rsid w:val="00191C0F"/>
    <w:rsid w:val="00191EED"/>
    <w:rsid w:val="00191FCB"/>
    <w:rsid w:val="00192196"/>
    <w:rsid w:val="001921EC"/>
    <w:rsid w:val="00192356"/>
    <w:rsid w:val="001924D4"/>
    <w:rsid w:val="0019250E"/>
    <w:rsid w:val="0019262B"/>
    <w:rsid w:val="00192827"/>
    <w:rsid w:val="00192829"/>
    <w:rsid w:val="0019284B"/>
    <w:rsid w:val="001928D9"/>
    <w:rsid w:val="00192BF1"/>
    <w:rsid w:val="00192D1D"/>
    <w:rsid w:val="00192DEB"/>
    <w:rsid w:val="001930C7"/>
    <w:rsid w:val="00193122"/>
    <w:rsid w:val="00193224"/>
    <w:rsid w:val="00193307"/>
    <w:rsid w:val="001933ED"/>
    <w:rsid w:val="001934B6"/>
    <w:rsid w:val="001935B0"/>
    <w:rsid w:val="00193904"/>
    <w:rsid w:val="001939E2"/>
    <w:rsid w:val="00193A75"/>
    <w:rsid w:val="00193AD3"/>
    <w:rsid w:val="00193ADD"/>
    <w:rsid w:val="00193ADF"/>
    <w:rsid w:val="00193DFD"/>
    <w:rsid w:val="0019415A"/>
    <w:rsid w:val="00194597"/>
    <w:rsid w:val="001945FF"/>
    <w:rsid w:val="0019461B"/>
    <w:rsid w:val="00194906"/>
    <w:rsid w:val="00194AA3"/>
    <w:rsid w:val="00194AAA"/>
    <w:rsid w:val="00194B2C"/>
    <w:rsid w:val="00194B44"/>
    <w:rsid w:val="00194E3A"/>
    <w:rsid w:val="00194EA6"/>
    <w:rsid w:val="00194FA6"/>
    <w:rsid w:val="00194FC0"/>
    <w:rsid w:val="0019504B"/>
    <w:rsid w:val="0019506E"/>
    <w:rsid w:val="00195118"/>
    <w:rsid w:val="0019516B"/>
    <w:rsid w:val="001951B5"/>
    <w:rsid w:val="00195407"/>
    <w:rsid w:val="0019540E"/>
    <w:rsid w:val="00195422"/>
    <w:rsid w:val="0019543D"/>
    <w:rsid w:val="001954B0"/>
    <w:rsid w:val="001957A8"/>
    <w:rsid w:val="001958B5"/>
    <w:rsid w:val="001959EC"/>
    <w:rsid w:val="00195A1E"/>
    <w:rsid w:val="00195A65"/>
    <w:rsid w:val="00195C37"/>
    <w:rsid w:val="00195CC2"/>
    <w:rsid w:val="00195CDF"/>
    <w:rsid w:val="00195DA3"/>
    <w:rsid w:val="00195FE3"/>
    <w:rsid w:val="001960D3"/>
    <w:rsid w:val="00196271"/>
    <w:rsid w:val="00196499"/>
    <w:rsid w:val="001965A7"/>
    <w:rsid w:val="00196694"/>
    <w:rsid w:val="00196739"/>
    <w:rsid w:val="00196A6B"/>
    <w:rsid w:val="00196A94"/>
    <w:rsid w:val="00196BF6"/>
    <w:rsid w:val="00196C01"/>
    <w:rsid w:val="00196C03"/>
    <w:rsid w:val="00196CCE"/>
    <w:rsid w:val="00196D93"/>
    <w:rsid w:val="00196DBD"/>
    <w:rsid w:val="00196DD8"/>
    <w:rsid w:val="001971B6"/>
    <w:rsid w:val="00197436"/>
    <w:rsid w:val="00197497"/>
    <w:rsid w:val="001974D4"/>
    <w:rsid w:val="001977E4"/>
    <w:rsid w:val="00197AFB"/>
    <w:rsid w:val="00197D34"/>
    <w:rsid w:val="00197D63"/>
    <w:rsid w:val="00197F18"/>
    <w:rsid w:val="001A0208"/>
    <w:rsid w:val="001A0376"/>
    <w:rsid w:val="001A04A6"/>
    <w:rsid w:val="001A0644"/>
    <w:rsid w:val="001A0744"/>
    <w:rsid w:val="001A08F6"/>
    <w:rsid w:val="001A0A0F"/>
    <w:rsid w:val="001A0CAF"/>
    <w:rsid w:val="001A0EF1"/>
    <w:rsid w:val="001A0F11"/>
    <w:rsid w:val="001A0F4D"/>
    <w:rsid w:val="001A0F99"/>
    <w:rsid w:val="001A10D4"/>
    <w:rsid w:val="001A1192"/>
    <w:rsid w:val="001A123C"/>
    <w:rsid w:val="001A1486"/>
    <w:rsid w:val="001A167E"/>
    <w:rsid w:val="001A168A"/>
    <w:rsid w:val="001A1797"/>
    <w:rsid w:val="001A1996"/>
    <w:rsid w:val="001A1A85"/>
    <w:rsid w:val="001A1AAB"/>
    <w:rsid w:val="001A1B68"/>
    <w:rsid w:val="001A1C4A"/>
    <w:rsid w:val="001A1C65"/>
    <w:rsid w:val="001A1CF6"/>
    <w:rsid w:val="001A1D5D"/>
    <w:rsid w:val="001A1F83"/>
    <w:rsid w:val="001A2044"/>
    <w:rsid w:val="001A211B"/>
    <w:rsid w:val="001A21B2"/>
    <w:rsid w:val="001A22E7"/>
    <w:rsid w:val="001A234E"/>
    <w:rsid w:val="001A255C"/>
    <w:rsid w:val="001A2613"/>
    <w:rsid w:val="001A26D1"/>
    <w:rsid w:val="001A26F3"/>
    <w:rsid w:val="001A272B"/>
    <w:rsid w:val="001A2AA9"/>
    <w:rsid w:val="001A2B45"/>
    <w:rsid w:val="001A2EA3"/>
    <w:rsid w:val="001A2EAF"/>
    <w:rsid w:val="001A2EEF"/>
    <w:rsid w:val="001A302C"/>
    <w:rsid w:val="001A30B9"/>
    <w:rsid w:val="001A34CD"/>
    <w:rsid w:val="001A36BD"/>
    <w:rsid w:val="001A3930"/>
    <w:rsid w:val="001A3A5A"/>
    <w:rsid w:val="001A3A6C"/>
    <w:rsid w:val="001A3ABA"/>
    <w:rsid w:val="001A3B50"/>
    <w:rsid w:val="001A3B64"/>
    <w:rsid w:val="001A3CC0"/>
    <w:rsid w:val="001A3D53"/>
    <w:rsid w:val="001A3D8C"/>
    <w:rsid w:val="001A3EA2"/>
    <w:rsid w:val="001A41A2"/>
    <w:rsid w:val="001A4279"/>
    <w:rsid w:val="001A43E3"/>
    <w:rsid w:val="001A483A"/>
    <w:rsid w:val="001A4852"/>
    <w:rsid w:val="001A4BBF"/>
    <w:rsid w:val="001A4FE7"/>
    <w:rsid w:val="001A535A"/>
    <w:rsid w:val="001A539B"/>
    <w:rsid w:val="001A553E"/>
    <w:rsid w:val="001A5827"/>
    <w:rsid w:val="001A5B4D"/>
    <w:rsid w:val="001A5D6E"/>
    <w:rsid w:val="001A5DDD"/>
    <w:rsid w:val="001A5E52"/>
    <w:rsid w:val="001A5FD6"/>
    <w:rsid w:val="001A60AD"/>
    <w:rsid w:val="001A61AC"/>
    <w:rsid w:val="001A6345"/>
    <w:rsid w:val="001A65EA"/>
    <w:rsid w:val="001A66F8"/>
    <w:rsid w:val="001A67CB"/>
    <w:rsid w:val="001A6826"/>
    <w:rsid w:val="001A6963"/>
    <w:rsid w:val="001A6BDB"/>
    <w:rsid w:val="001A6BF8"/>
    <w:rsid w:val="001A6F43"/>
    <w:rsid w:val="001A7037"/>
    <w:rsid w:val="001A70B7"/>
    <w:rsid w:val="001A70CA"/>
    <w:rsid w:val="001A719C"/>
    <w:rsid w:val="001A72BC"/>
    <w:rsid w:val="001A7400"/>
    <w:rsid w:val="001A752B"/>
    <w:rsid w:val="001A77BC"/>
    <w:rsid w:val="001A78C8"/>
    <w:rsid w:val="001A79E5"/>
    <w:rsid w:val="001A79F0"/>
    <w:rsid w:val="001A7ACE"/>
    <w:rsid w:val="001A7B58"/>
    <w:rsid w:val="001A7C87"/>
    <w:rsid w:val="001A7E62"/>
    <w:rsid w:val="001B0078"/>
    <w:rsid w:val="001B00D0"/>
    <w:rsid w:val="001B0127"/>
    <w:rsid w:val="001B09D8"/>
    <w:rsid w:val="001B0B17"/>
    <w:rsid w:val="001B0C5D"/>
    <w:rsid w:val="001B0D3F"/>
    <w:rsid w:val="001B0DD0"/>
    <w:rsid w:val="001B0E13"/>
    <w:rsid w:val="001B1126"/>
    <w:rsid w:val="001B1192"/>
    <w:rsid w:val="001B12E2"/>
    <w:rsid w:val="001B12F6"/>
    <w:rsid w:val="001B132E"/>
    <w:rsid w:val="001B173F"/>
    <w:rsid w:val="001B1772"/>
    <w:rsid w:val="001B1995"/>
    <w:rsid w:val="001B1AB4"/>
    <w:rsid w:val="001B1F8A"/>
    <w:rsid w:val="001B21E9"/>
    <w:rsid w:val="001B21F6"/>
    <w:rsid w:val="001B220B"/>
    <w:rsid w:val="001B2272"/>
    <w:rsid w:val="001B2304"/>
    <w:rsid w:val="001B2586"/>
    <w:rsid w:val="001B2668"/>
    <w:rsid w:val="001B2742"/>
    <w:rsid w:val="001B2830"/>
    <w:rsid w:val="001B2B09"/>
    <w:rsid w:val="001B2C28"/>
    <w:rsid w:val="001B304E"/>
    <w:rsid w:val="001B311C"/>
    <w:rsid w:val="001B3398"/>
    <w:rsid w:val="001B349D"/>
    <w:rsid w:val="001B34FA"/>
    <w:rsid w:val="001B35AA"/>
    <w:rsid w:val="001B35E0"/>
    <w:rsid w:val="001B384E"/>
    <w:rsid w:val="001B3981"/>
    <w:rsid w:val="001B3A83"/>
    <w:rsid w:val="001B3B3E"/>
    <w:rsid w:val="001B3CD7"/>
    <w:rsid w:val="001B3EF8"/>
    <w:rsid w:val="001B3F14"/>
    <w:rsid w:val="001B4008"/>
    <w:rsid w:val="001B41D2"/>
    <w:rsid w:val="001B4205"/>
    <w:rsid w:val="001B4261"/>
    <w:rsid w:val="001B428F"/>
    <w:rsid w:val="001B42C2"/>
    <w:rsid w:val="001B4358"/>
    <w:rsid w:val="001B4430"/>
    <w:rsid w:val="001B4570"/>
    <w:rsid w:val="001B4579"/>
    <w:rsid w:val="001B4649"/>
    <w:rsid w:val="001B4708"/>
    <w:rsid w:val="001B47CD"/>
    <w:rsid w:val="001B489D"/>
    <w:rsid w:val="001B49EA"/>
    <w:rsid w:val="001B4A2C"/>
    <w:rsid w:val="001B4C12"/>
    <w:rsid w:val="001B4C75"/>
    <w:rsid w:val="001B4D2D"/>
    <w:rsid w:val="001B4FD5"/>
    <w:rsid w:val="001B524D"/>
    <w:rsid w:val="001B54D2"/>
    <w:rsid w:val="001B57F3"/>
    <w:rsid w:val="001B597E"/>
    <w:rsid w:val="001B59DA"/>
    <w:rsid w:val="001B5DA7"/>
    <w:rsid w:val="001B5DB9"/>
    <w:rsid w:val="001B5F13"/>
    <w:rsid w:val="001B5F8D"/>
    <w:rsid w:val="001B60DB"/>
    <w:rsid w:val="001B62AA"/>
    <w:rsid w:val="001B640B"/>
    <w:rsid w:val="001B643C"/>
    <w:rsid w:val="001B6529"/>
    <w:rsid w:val="001B6717"/>
    <w:rsid w:val="001B67FB"/>
    <w:rsid w:val="001B68CD"/>
    <w:rsid w:val="001B6901"/>
    <w:rsid w:val="001B6974"/>
    <w:rsid w:val="001B6BEF"/>
    <w:rsid w:val="001B6D8A"/>
    <w:rsid w:val="001B6E65"/>
    <w:rsid w:val="001B71DD"/>
    <w:rsid w:val="001B7279"/>
    <w:rsid w:val="001B7492"/>
    <w:rsid w:val="001B7584"/>
    <w:rsid w:val="001B75DC"/>
    <w:rsid w:val="001B7765"/>
    <w:rsid w:val="001B799E"/>
    <w:rsid w:val="001B79F9"/>
    <w:rsid w:val="001B7C68"/>
    <w:rsid w:val="001C0162"/>
    <w:rsid w:val="001C028C"/>
    <w:rsid w:val="001C053F"/>
    <w:rsid w:val="001C081F"/>
    <w:rsid w:val="001C0829"/>
    <w:rsid w:val="001C0951"/>
    <w:rsid w:val="001C0967"/>
    <w:rsid w:val="001C0A2C"/>
    <w:rsid w:val="001C0BA4"/>
    <w:rsid w:val="001C0D17"/>
    <w:rsid w:val="001C0DE4"/>
    <w:rsid w:val="001C0E9A"/>
    <w:rsid w:val="001C0F3A"/>
    <w:rsid w:val="001C0F8D"/>
    <w:rsid w:val="001C0F8F"/>
    <w:rsid w:val="001C12D1"/>
    <w:rsid w:val="001C13AC"/>
    <w:rsid w:val="001C14BC"/>
    <w:rsid w:val="001C1811"/>
    <w:rsid w:val="001C1837"/>
    <w:rsid w:val="001C1841"/>
    <w:rsid w:val="001C1894"/>
    <w:rsid w:val="001C18A1"/>
    <w:rsid w:val="001C1A06"/>
    <w:rsid w:val="001C1A16"/>
    <w:rsid w:val="001C1BC6"/>
    <w:rsid w:val="001C1D70"/>
    <w:rsid w:val="001C1DE6"/>
    <w:rsid w:val="001C1FB3"/>
    <w:rsid w:val="001C2098"/>
    <w:rsid w:val="001C2179"/>
    <w:rsid w:val="001C23DF"/>
    <w:rsid w:val="001C2405"/>
    <w:rsid w:val="001C243D"/>
    <w:rsid w:val="001C24BA"/>
    <w:rsid w:val="001C24D1"/>
    <w:rsid w:val="001C2535"/>
    <w:rsid w:val="001C25AC"/>
    <w:rsid w:val="001C26DB"/>
    <w:rsid w:val="001C28F6"/>
    <w:rsid w:val="001C2A5E"/>
    <w:rsid w:val="001C2B32"/>
    <w:rsid w:val="001C2FA9"/>
    <w:rsid w:val="001C3014"/>
    <w:rsid w:val="001C301D"/>
    <w:rsid w:val="001C325F"/>
    <w:rsid w:val="001C33CB"/>
    <w:rsid w:val="001C3453"/>
    <w:rsid w:val="001C3649"/>
    <w:rsid w:val="001C36BD"/>
    <w:rsid w:val="001C375F"/>
    <w:rsid w:val="001C37E3"/>
    <w:rsid w:val="001C3941"/>
    <w:rsid w:val="001C3A9B"/>
    <w:rsid w:val="001C3B5E"/>
    <w:rsid w:val="001C3F7B"/>
    <w:rsid w:val="001C4098"/>
    <w:rsid w:val="001C40C0"/>
    <w:rsid w:val="001C41B8"/>
    <w:rsid w:val="001C42BC"/>
    <w:rsid w:val="001C42EC"/>
    <w:rsid w:val="001C44ED"/>
    <w:rsid w:val="001C474E"/>
    <w:rsid w:val="001C487C"/>
    <w:rsid w:val="001C4A0D"/>
    <w:rsid w:val="001C4EDD"/>
    <w:rsid w:val="001C4F0C"/>
    <w:rsid w:val="001C50BE"/>
    <w:rsid w:val="001C553C"/>
    <w:rsid w:val="001C5712"/>
    <w:rsid w:val="001C578B"/>
    <w:rsid w:val="001C5A14"/>
    <w:rsid w:val="001C5B54"/>
    <w:rsid w:val="001C5B9E"/>
    <w:rsid w:val="001C5BF2"/>
    <w:rsid w:val="001C5CB2"/>
    <w:rsid w:val="001C5D20"/>
    <w:rsid w:val="001C5E41"/>
    <w:rsid w:val="001C5F4C"/>
    <w:rsid w:val="001C6079"/>
    <w:rsid w:val="001C60FB"/>
    <w:rsid w:val="001C62D7"/>
    <w:rsid w:val="001C64FD"/>
    <w:rsid w:val="001C66C1"/>
    <w:rsid w:val="001C670C"/>
    <w:rsid w:val="001C6B2C"/>
    <w:rsid w:val="001C6CE3"/>
    <w:rsid w:val="001C6D35"/>
    <w:rsid w:val="001C6F49"/>
    <w:rsid w:val="001C6FCE"/>
    <w:rsid w:val="001C7268"/>
    <w:rsid w:val="001C726A"/>
    <w:rsid w:val="001C7350"/>
    <w:rsid w:val="001C73EF"/>
    <w:rsid w:val="001C744B"/>
    <w:rsid w:val="001C7460"/>
    <w:rsid w:val="001C746E"/>
    <w:rsid w:val="001C749C"/>
    <w:rsid w:val="001C7515"/>
    <w:rsid w:val="001C75AC"/>
    <w:rsid w:val="001C7A28"/>
    <w:rsid w:val="001C7B5F"/>
    <w:rsid w:val="001C7B74"/>
    <w:rsid w:val="001C7BB1"/>
    <w:rsid w:val="001D01E1"/>
    <w:rsid w:val="001D05BA"/>
    <w:rsid w:val="001D06A2"/>
    <w:rsid w:val="001D06B0"/>
    <w:rsid w:val="001D09B9"/>
    <w:rsid w:val="001D0ADA"/>
    <w:rsid w:val="001D0BB1"/>
    <w:rsid w:val="001D0C0C"/>
    <w:rsid w:val="001D0C3E"/>
    <w:rsid w:val="001D0D04"/>
    <w:rsid w:val="001D0DAD"/>
    <w:rsid w:val="001D0E4F"/>
    <w:rsid w:val="001D0E6B"/>
    <w:rsid w:val="001D0F4F"/>
    <w:rsid w:val="001D104D"/>
    <w:rsid w:val="001D1259"/>
    <w:rsid w:val="001D1411"/>
    <w:rsid w:val="001D14E8"/>
    <w:rsid w:val="001D15AA"/>
    <w:rsid w:val="001D1606"/>
    <w:rsid w:val="001D1984"/>
    <w:rsid w:val="001D1A5E"/>
    <w:rsid w:val="001D1B0C"/>
    <w:rsid w:val="001D1C58"/>
    <w:rsid w:val="001D1CAC"/>
    <w:rsid w:val="001D1E76"/>
    <w:rsid w:val="001D1E99"/>
    <w:rsid w:val="001D1EA1"/>
    <w:rsid w:val="001D2085"/>
    <w:rsid w:val="001D22AE"/>
    <w:rsid w:val="001D22C1"/>
    <w:rsid w:val="001D274B"/>
    <w:rsid w:val="001D28C0"/>
    <w:rsid w:val="001D2945"/>
    <w:rsid w:val="001D3168"/>
    <w:rsid w:val="001D3270"/>
    <w:rsid w:val="001D3306"/>
    <w:rsid w:val="001D3345"/>
    <w:rsid w:val="001D3381"/>
    <w:rsid w:val="001D35B6"/>
    <w:rsid w:val="001D3633"/>
    <w:rsid w:val="001D3AEF"/>
    <w:rsid w:val="001D3C03"/>
    <w:rsid w:val="001D3EB1"/>
    <w:rsid w:val="001D3F58"/>
    <w:rsid w:val="001D40A3"/>
    <w:rsid w:val="001D41AA"/>
    <w:rsid w:val="001D41AD"/>
    <w:rsid w:val="001D4268"/>
    <w:rsid w:val="001D444E"/>
    <w:rsid w:val="001D44A8"/>
    <w:rsid w:val="001D4613"/>
    <w:rsid w:val="001D46BE"/>
    <w:rsid w:val="001D46D4"/>
    <w:rsid w:val="001D48F5"/>
    <w:rsid w:val="001D4B3A"/>
    <w:rsid w:val="001D4B3D"/>
    <w:rsid w:val="001D4C42"/>
    <w:rsid w:val="001D4D4B"/>
    <w:rsid w:val="001D4E7F"/>
    <w:rsid w:val="001D4FAA"/>
    <w:rsid w:val="001D52FC"/>
    <w:rsid w:val="001D5522"/>
    <w:rsid w:val="001D5B4D"/>
    <w:rsid w:val="001D5B51"/>
    <w:rsid w:val="001D5BA5"/>
    <w:rsid w:val="001D5F24"/>
    <w:rsid w:val="001D6046"/>
    <w:rsid w:val="001D610C"/>
    <w:rsid w:val="001D61F7"/>
    <w:rsid w:val="001D627E"/>
    <w:rsid w:val="001D6333"/>
    <w:rsid w:val="001D633A"/>
    <w:rsid w:val="001D6470"/>
    <w:rsid w:val="001D64BE"/>
    <w:rsid w:val="001D64D6"/>
    <w:rsid w:val="001D66FA"/>
    <w:rsid w:val="001D67D3"/>
    <w:rsid w:val="001D6DEE"/>
    <w:rsid w:val="001D6F95"/>
    <w:rsid w:val="001D70CA"/>
    <w:rsid w:val="001D7278"/>
    <w:rsid w:val="001D7313"/>
    <w:rsid w:val="001D7488"/>
    <w:rsid w:val="001D7590"/>
    <w:rsid w:val="001D7624"/>
    <w:rsid w:val="001D7754"/>
    <w:rsid w:val="001D776B"/>
    <w:rsid w:val="001D77A3"/>
    <w:rsid w:val="001D7838"/>
    <w:rsid w:val="001D7998"/>
    <w:rsid w:val="001D7A82"/>
    <w:rsid w:val="001D7A8A"/>
    <w:rsid w:val="001D7AD3"/>
    <w:rsid w:val="001D7AD8"/>
    <w:rsid w:val="001D7B5B"/>
    <w:rsid w:val="001D7DFC"/>
    <w:rsid w:val="001E00F6"/>
    <w:rsid w:val="001E01B1"/>
    <w:rsid w:val="001E036E"/>
    <w:rsid w:val="001E0396"/>
    <w:rsid w:val="001E040F"/>
    <w:rsid w:val="001E0495"/>
    <w:rsid w:val="001E0542"/>
    <w:rsid w:val="001E0597"/>
    <w:rsid w:val="001E0641"/>
    <w:rsid w:val="001E0A2D"/>
    <w:rsid w:val="001E0AFD"/>
    <w:rsid w:val="001E0C6B"/>
    <w:rsid w:val="001E0D92"/>
    <w:rsid w:val="001E0FF2"/>
    <w:rsid w:val="001E115A"/>
    <w:rsid w:val="001E12E7"/>
    <w:rsid w:val="001E1343"/>
    <w:rsid w:val="001E13E5"/>
    <w:rsid w:val="001E1550"/>
    <w:rsid w:val="001E1565"/>
    <w:rsid w:val="001E158D"/>
    <w:rsid w:val="001E15F3"/>
    <w:rsid w:val="001E162C"/>
    <w:rsid w:val="001E167F"/>
    <w:rsid w:val="001E184B"/>
    <w:rsid w:val="001E18C6"/>
    <w:rsid w:val="001E1B82"/>
    <w:rsid w:val="001E1D6D"/>
    <w:rsid w:val="001E1DFC"/>
    <w:rsid w:val="001E1E51"/>
    <w:rsid w:val="001E1E79"/>
    <w:rsid w:val="001E1EE1"/>
    <w:rsid w:val="001E1F0B"/>
    <w:rsid w:val="001E2025"/>
    <w:rsid w:val="001E20DD"/>
    <w:rsid w:val="001E20E2"/>
    <w:rsid w:val="001E20E9"/>
    <w:rsid w:val="001E211B"/>
    <w:rsid w:val="001E2281"/>
    <w:rsid w:val="001E23C9"/>
    <w:rsid w:val="001E23D5"/>
    <w:rsid w:val="001E241B"/>
    <w:rsid w:val="001E2588"/>
    <w:rsid w:val="001E2915"/>
    <w:rsid w:val="001E2B62"/>
    <w:rsid w:val="001E2DA8"/>
    <w:rsid w:val="001E2DAE"/>
    <w:rsid w:val="001E2DD4"/>
    <w:rsid w:val="001E2E5B"/>
    <w:rsid w:val="001E2E6D"/>
    <w:rsid w:val="001E317B"/>
    <w:rsid w:val="001E3256"/>
    <w:rsid w:val="001E33C9"/>
    <w:rsid w:val="001E33E3"/>
    <w:rsid w:val="001E33FA"/>
    <w:rsid w:val="001E36F7"/>
    <w:rsid w:val="001E3948"/>
    <w:rsid w:val="001E39B7"/>
    <w:rsid w:val="001E3D43"/>
    <w:rsid w:val="001E3DF1"/>
    <w:rsid w:val="001E3ED1"/>
    <w:rsid w:val="001E3ED7"/>
    <w:rsid w:val="001E4094"/>
    <w:rsid w:val="001E40F7"/>
    <w:rsid w:val="001E40FA"/>
    <w:rsid w:val="001E41C1"/>
    <w:rsid w:val="001E429C"/>
    <w:rsid w:val="001E42E9"/>
    <w:rsid w:val="001E42FE"/>
    <w:rsid w:val="001E434B"/>
    <w:rsid w:val="001E466B"/>
    <w:rsid w:val="001E4763"/>
    <w:rsid w:val="001E490B"/>
    <w:rsid w:val="001E490C"/>
    <w:rsid w:val="001E4911"/>
    <w:rsid w:val="001E4AC9"/>
    <w:rsid w:val="001E4BA4"/>
    <w:rsid w:val="001E4F40"/>
    <w:rsid w:val="001E50FB"/>
    <w:rsid w:val="001E5396"/>
    <w:rsid w:val="001E5826"/>
    <w:rsid w:val="001E59D6"/>
    <w:rsid w:val="001E5B82"/>
    <w:rsid w:val="001E5B9D"/>
    <w:rsid w:val="001E5C15"/>
    <w:rsid w:val="001E608D"/>
    <w:rsid w:val="001E62AA"/>
    <w:rsid w:val="001E6596"/>
    <w:rsid w:val="001E65E1"/>
    <w:rsid w:val="001E674C"/>
    <w:rsid w:val="001E6760"/>
    <w:rsid w:val="001E6914"/>
    <w:rsid w:val="001E6972"/>
    <w:rsid w:val="001E6AD7"/>
    <w:rsid w:val="001E6BC5"/>
    <w:rsid w:val="001E6C5B"/>
    <w:rsid w:val="001E6C68"/>
    <w:rsid w:val="001E6CBB"/>
    <w:rsid w:val="001E6D61"/>
    <w:rsid w:val="001E6DFA"/>
    <w:rsid w:val="001E6E1B"/>
    <w:rsid w:val="001E6E23"/>
    <w:rsid w:val="001E6EBA"/>
    <w:rsid w:val="001E6EDE"/>
    <w:rsid w:val="001E6EF1"/>
    <w:rsid w:val="001E6FE0"/>
    <w:rsid w:val="001E70A5"/>
    <w:rsid w:val="001E70C6"/>
    <w:rsid w:val="001E7291"/>
    <w:rsid w:val="001E7309"/>
    <w:rsid w:val="001E743D"/>
    <w:rsid w:val="001E75B4"/>
    <w:rsid w:val="001E77AC"/>
    <w:rsid w:val="001E78CF"/>
    <w:rsid w:val="001E7A24"/>
    <w:rsid w:val="001E7C17"/>
    <w:rsid w:val="001E7C57"/>
    <w:rsid w:val="001E7CF8"/>
    <w:rsid w:val="001E7E53"/>
    <w:rsid w:val="001F005E"/>
    <w:rsid w:val="001F03AB"/>
    <w:rsid w:val="001F04C1"/>
    <w:rsid w:val="001F054C"/>
    <w:rsid w:val="001F0573"/>
    <w:rsid w:val="001F05BB"/>
    <w:rsid w:val="001F06D4"/>
    <w:rsid w:val="001F08AB"/>
    <w:rsid w:val="001F0AC8"/>
    <w:rsid w:val="001F0BD2"/>
    <w:rsid w:val="001F0BEE"/>
    <w:rsid w:val="001F0CF3"/>
    <w:rsid w:val="001F0CFE"/>
    <w:rsid w:val="001F0D6A"/>
    <w:rsid w:val="001F0E3D"/>
    <w:rsid w:val="001F0F7C"/>
    <w:rsid w:val="001F0FCF"/>
    <w:rsid w:val="001F106F"/>
    <w:rsid w:val="001F10AA"/>
    <w:rsid w:val="001F1176"/>
    <w:rsid w:val="001F1193"/>
    <w:rsid w:val="001F11ED"/>
    <w:rsid w:val="001F1375"/>
    <w:rsid w:val="001F13A3"/>
    <w:rsid w:val="001F1697"/>
    <w:rsid w:val="001F17F1"/>
    <w:rsid w:val="001F18CB"/>
    <w:rsid w:val="001F1901"/>
    <w:rsid w:val="001F1AB3"/>
    <w:rsid w:val="001F1B37"/>
    <w:rsid w:val="001F1B68"/>
    <w:rsid w:val="001F1BC4"/>
    <w:rsid w:val="001F1C37"/>
    <w:rsid w:val="001F1CC8"/>
    <w:rsid w:val="001F1D3C"/>
    <w:rsid w:val="001F1D73"/>
    <w:rsid w:val="001F2077"/>
    <w:rsid w:val="001F2194"/>
    <w:rsid w:val="001F2200"/>
    <w:rsid w:val="001F2206"/>
    <w:rsid w:val="001F22D2"/>
    <w:rsid w:val="001F2362"/>
    <w:rsid w:val="001F2A37"/>
    <w:rsid w:val="001F2A56"/>
    <w:rsid w:val="001F2C37"/>
    <w:rsid w:val="001F2D82"/>
    <w:rsid w:val="001F2DD5"/>
    <w:rsid w:val="001F2E41"/>
    <w:rsid w:val="001F2EC4"/>
    <w:rsid w:val="001F2EFA"/>
    <w:rsid w:val="001F2FC9"/>
    <w:rsid w:val="001F2FF6"/>
    <w:rsid w:val="001F31A7"/>
    <w:rsid w:val="001F3614"/>
    <w:rsid w:val="001F3677"/>
    <w:rsid w:val="001F3698"/>
    <w:rsid w:val="001F36CC"/>
    <w:rsid w:val="001F3712"/>
    <w:rsid w:val="001F3806"/>
    <w:rsid w:val="001F3868"/>
    <w:rsid w:val="001F38E9"/>
    <w:rsid w:val="001F39A5"/>
    <w:rsid w:val="001F3A85"/>
    <w:rsid w:val="001F3DF0"/>
    <w:rsid w:val="001F3ECE"/>
    <w:rsid w:val="001F3F01"/>
    <w:rsid w:val="001F3F30"/>
    <w:rsid w:val="001F3FCD"/>
    <w:rsid w:val="001F404F"/>
    <w:rsid w:val="001F4159"/>
    <w:rsid w:val="001F41CA"/>
    <w:rsid w:val="001F429D"/>
    <w:rsid w:val="001F460F"/>
    <w:rsid w:val="001F4A01"/>
    <w:rsid w:val="001F4C5C"/>
    <w:rsid w:val="001F4CA1"/>
    <w:rsid w:val="001F4D38"/>
    <w:rsid w:val="001F4D92"/>
    <w:rsid w:val="001F4E23"/>
    <w:rsid w:val="001F4E6B"/>
    <w:rsid w:val="001F51C1"/>
    <w:rsid w:val="001F51D0"/>
    <w:rsid w:val="001F53D2"/>
    <w:rsid w:val="001F541A"/>
    <w:rsid w:val="001F54A0"/>
    <w:rsid w:val="001F5806"/>
    <w:rsid w:val="001F5AF6"/>
    <w:rsid w:val="001F5B84"/>
    <w:rsid w:val="001F5C35"/>
    <w:rsid w:val="001F5CDB"/>
    <w:rsid w:val="001F5EEB"/>
    <w:rsid w:val="001F5F93"/>
    <w:rsid w:val="001F61D1"/>
    <w:rsid w:val="001F6377"/>
    <w:rsid w:val="001F6420"/>
    <w:rsid w:val="001F651A"/>
    <w:rsid w:val="001F6893"/>
    <w:rsid w:val="001F6C59"/>
    <w:rsid w:val="001F6D38"/>
    <w:rsid w:val="001F6D6C"/>
    <w:rsid w:val="001F6D86"/>
    <w:rsid w:val="001F7124"/>
    <w:rsid w:val="001F7184"/>
    <w:rsid w:val="001F71AC"/>
    <w:rsid w:val="001F71C1"/>
    <w:rsid w:val="001F71CF"/>
    <w:rsid w:val="001F71E7"/>
    <w:rsid w:val="001F736D"/>
    <w:rsid w:val="001F7398"/>
    <w:rsid w:val="001F73F1"/>
    <w:rsid w:val="001F75F9"/>
    <w:rsid w:val="001F7643"/>
    <w:rsid w:val="001F769E"/>
    <w:rsid w:val="001F7738"/>
    <w:rsid w:val="001F7979"/>
    <w:rsid w:val="001F7A3D"/>
    <w:rsid w:val="001F7BA0"/>
    <w:rsid w:val="001F7D2F"/>
    <w:rsid w:val="001F7DD6"/>
    <w:rsid w:val="001F7E8C"/>
    <w:rsid w:val="001F7FE7"/>
    <w:rsid w:val="00200178"/>
    <w:rsid w:val="002001CD"/>
    <w:rsid w:val="002004FA"/>
    <w:rsid w:val="00200519"/>
    <w:rsid w:val="0020070B"/>
    <w:rsid w:val="0020072A"/>
    <w:rsid w:val="00200732"/>
    <w:rsid w:val="00200D2F"/>
    <w:rsid w:val="00200DCD"/>
    <w:rsid w:val="002010D8"/>
    <w:rsid w:val="0020116A"/>
    <w:rsid w:val="0020130D"/>
    <w:rsid w:val="00201511"/>
    <w:rsid w:val="002015C7"/>
    <w:rsid w:val="0020170F"/>
    <w:rsid w:val="00201714"/>
    <w:rsid w:val="00201852"/>
    <w:rsid w:val="00201868"/>
    <w:rsid w:val="00201913"/>
    <w:rsid w:val="00201A02"/>
    <w:rsid w:val="00201C2C"/>
    <w:rsid w:val="00201C3D"/>
    <w:rsid w:val="00201C75"/>
    <w:rsid w:val="00201EE1"/>
    <w:rsid w:val="002020EA"/>
    <w:rsid w:val="002020EB"/>
    <w:rsid w:val="002021FB"/>
    <w:rsid w:val="0020238D"/>
    <w:rsid w:val="00202548"/>
    <w:rsid w:val="002025BA"/>
    <w:rsid w:val="0020268C"/>
    <w:rsid w:val="0020277E"/>
    <w:rsid w:val="002029A4"/>
    <w:rsid w:val="00202CBE"/>
    <w:rsid w:val="002035D2"/>
    <w:rsid w:val="00203729"/>
    <w:rsid w:val="0020383A"/>
    <w:rsid w:val="002038F4"/>
    <w:rsid w:val="00203C36"/>
    <w:rsid w:val="0020406B"/>
    <w:rsid w:val="002040F2"/>
    <w:rsid w:val="00204143"/>
    <w:rsid w:val="00204186"/>
    <w:rsid w:val="00204387"/>
    <w:rsid w:val="0020439B"/>
    <w:rsid w:val="0020443A"/>
    <w:rsid w:val="00204527"/>
    <w:rsid w:val="002045B8"/>
    <w:rsid w:val="0020468B"/>
    <w:rsid w:val="002047EE"/>
    <w:rsid w:val="00204A83"/>
    <w:rsid w:val="00204AEF"/>
    <w:rsid w:val="00204B89"/>
    <w:rsid w:val="00204FB3"/>
    <w:rsid w:val="002051CB"/>
    <w:rsid w:val="0020524A"/>
    <w:rsid w:val="00205347"/>
    <w:rsid w:val="00205420"/>
    <w:rsid w:val="00205456"/>
    <w:rsid w:val="00205667"/>
    <w:rsid w:val="0020593C"/>
    <w:rsid w:val="00205992"/>
    <w:rsid w:val="00205A27"/>
    <w:rsid w:val="00205ABA"/>
    <w:rsid w:val="00205AD1"/>
    <w:rsid w:val="00205B43"/>
    <w:rsid w:val="00205C51"/>
    <w:rsid w:val="00205DE5"/>
    <w:rsid w:val="00206039"/>
    <w:rsid w:val="0020603F"/>
    <w:rsid w:val="002060BF"/>
    <w:rsid w:val="00206344"/>
    <w:rsid w:val="00206364"/>
    <w:rsid w:val="00206422"/>
    <w:rsid w:val="002068C7"/>
    <w:rsid w:val="002069C3"/>
    <w:rsid w:val="002069FD"/>
    <w:rsid w:val="00206DA0"/>
    <w:rsid w:val="00206DCF"/>
    <w:rsid w:val="00206DD7"/>
    <w:rsid w:val="00206DD8"/>
    <w:rsid w:val="00206EFB"/>
    <w:rsid w:val="00207068"/>
    <w:rsid w:val="00207073"/>
    <w:rsid w:val="0020712C"/>
    <w:rsid w:val="0020720B"/>
    <w:rsid w:val="002072E9"/>
    <w:rsid w:val="00207452"/>
    <w:rsid w:val="002074B1"/>
    <w:rsid w:val="00207539"/>
    <w:rsid w:val="002078CB"/>
    <w:rsid w:val="002078D7"/>
    <w:rsid w:val="002079F6"/>
    <w:rsid w:val="00207A04"/>
    <w:rsid w:val="00207BDE"/>
    <w:rsid w:val="00210172"/>
    <w:rsid w:val="002101B8"/>
    <w:rsid w:val="0021035C"/>
    <w:rsid w:val="002104BD"/>
    <w:rsid w:val="0021054F"/>
    <w:rsid w:val="0021066E"/>
    <w:rsid w:val="0021080D"/>
    <w:rsid w:val="002108E4"/>
    <w:rsid w:val="00210C76"/>
    <w:rsid w:val="00210D4B"/>
    <w:rsid w:val="00210DB9"/>
    <w:rsid w:val="002110B3"/>
    <w:rsid w:val="00211146"/>
    <w:rsid w:val="002112E5"/>
    <w:rsid w:val="00211465"/>
    <w:rsid w:val="00211502"/>
    <w:rsid w:val="00211589"/>
    <w:rsid w:val="002115A1"/>
    <w:rsid w:val="002115A2"/>
    <w:rsid w:val="0021179D"/>
    <w:rsid w:val="00211845"/>
    <w:rsid w:val="0021184B"/>
    <w:rsid w:val="00211887"/>
    <w:rsid w:val="002119C8"/>
    <w:rsid w:val="00211AAC"/>
    <w:rsid w:val="00211B7E"/>
    <w:rsid w:val="00211BEE"/>
    <w:rsid w:val="00211CB5"/>
    <w:rsid w:val="00211F8E"/>
    <w:rsid w:val="00211FEA"/>
    <w:rsid w:val="00211FF3"/>
    <w:rsid w:val="00212095"/>
    <w:rsid w:val="0021235B"/>
    <w:rsid w:val="00212555"/>
    <w:rsid w:val="00212684"/>
    <w:rsid w:val="00212750"/>
    <w:rsid w:val="0021293E"/>
    <w:rsid w:val="00212A78"/>
    <w:rsid w:val="00212D4B"/>
    <w:rsid w:val="00212D5F"/>
    <w:rsid w:val="00212DC1"/>
    <w:rsid w:val="00212F6A"/>
    <w:rsid w:val="00212FFB"/>
    <w:rsid w:val="002132FC"/>
    <w:rsid w:val="00213340"/>
    <w:rsid w:val="002133DC"/>
    <w:rsid w:val="00213471"/>
    <w:rsid w:val="002134BD"/>
    <w:rsid w:val="002134D8"/>
    <w:rsid w:val="0021356A"/>
    <w:rsid w:val="002135E3"/>
    <w:rsid w:val="00213611"/>
    <w:rsid w:val="002136B7"/>
    <w:rsid w:val="0021371E"/>
    <w:rsid w:val="00213900"/>
    <w:rsid w:val="0021398B"/>
    <w:rsid w:val="00213A1F"/>
    <w:rsid w:val="00213ABC"/>
    <w:rsid w:val="00213AC4"/>
    <w:rsid w:val="00213B04"/>
    <w:rsid w:val="00213C4B"/>
    <w:rsid w:val="00213C88"/>
    <w:rsid w:val="00213D0C"/>
    <w:rsid w:val="00213D3C"/>
    <w:rsid w:val="00213F09"/>
    <w:rsid w:val="00213FA2"/>
    <w:rsid w:val="00213FFA"/>
    <w:rsid w:val="00214011"/>
    <w:rsid w:val="0021430E"/>
    <w:rsid w:val="00214363"/>
    <w:rsid w:val="00214572"/>
    <w:rsid w:val="002149D6"/>
    <w:rsid w:val="00214AE7"/>
    <w:rsid w:val="00214B07"/>
    <w:rsid w:val="00214BAB"/>
    <w:rsid w:val="00214C13"/>
    <w:rsid w:val="00214D15"/>
    <w:rsid w:val="00214E25"/>
    <w:rsid w:val="00214E87"/>
    <w:rsid w:val="00214F9C"/>
    <w:rsid w:val="0021502A"/>
    <w:rsid w:val="002151F1"/>
    <w:rsid w:val="002152A2"/>
    <w:rsid w:val="0021533C"/>
    <w:rsid w:val="002154D4"/>
    <w:rsid w:val="002155DC"/>
    <w:rsid w:val="00215602"/>
    <w:rsid w:val="002159E4"/>
    <w:rsid w:val="00215A18"/>
    <w:rsid w:val="00215B21"/>
    <w:rsid w:val="00215B4A"/>
    <w:rsid w:val="00215C4F"/>
    <w:rsid w:val="00215D0D"/>
    <w:rsid w:val="00216251"/>
    <w:rsid w:val="00216301"/>
    <w:rsid w:val="0021659D"/>
    <w:rsid w:val="0021661A"/>
    <w:rsid w:val="00216654"/>
    <w:rsid w:val="00216848"/>
    <w:rsid w:val="002168F8"/>
    <w:rsid w:val="00216972"/>
    <w:rsid w:val="00216A83"/>
    <w:rsid w:val="00216AD4"/>
    <w:rsid w:val="00216B01"/>
    <w:rsid w:val="00216B28"/>
    <w:rsid w:val="00216B93"/>
    <w:rsid w:val="00216D27"/>
    <w:rsid w:val="00216F09"/>
    <w:rsid w:val="00216F51"/>
    <w:rsid w:val="00216FAD"/>
    <w:rsid w:val="002171FB"/>
    <w:rsid w:val="0021723B"/>
    <w:rsid w:val="0021744C"/>
    <w:rsid w:val="0021757B"/>
    <w:rsid w:val="00217942"/>
    <w:rsid w:val="00217BDF"/>
    <w:rsid w:val="00217D56"/>
    <w:rsid w:val="00217E9B"/>
    <w:rsid w:val="00217F78"/>
    <w:rsid w:val="002200E4"/>
    <w:rsid w:val="0022017B"/>
    <w:rsid w:val="002203BD"/>
    <w:rsid w:val="00220468"/>
    <w:rsid w:val="00220496"/>
    <w:rsid w:val="002204BC"/>
    <w:rsid w:val="002205C3"/>
    <w:rsid w:val="00220751"/>
    <w:rsid w:val="00220785"/>
    <w:rsid w:val="002209D7"/>
    <w:rsid w:val="002209E2"/>
    <w:rsid w:val="00220A6F"/>
    <w:rsid w:val="00220AC4"/>
    <w:rsid w:val="00220B1C"/>
    <w:rsid w:val="00220BC8"/>
    <w:rsid w:val="00220BEC"/>
    <w:rsid w:val="00220C2C"/>
    <w:rsid w:val="00220FFA"/>
    <w:rsid w:val="002210B2"/>
    <w:rsid w:val="002210F9"/>
    <w:rsid w:val="002211A7"/>
    <w:rsid w:val="00221212"/>
    <w:rsid w:val="00221290"/>
    <w:rsid w:val="002214A0"/>
    <w:rsid w:val="00221550"/>
    <w:rsid w:val="0022174F"/>
    <w:rsid w:val="002217A7"/>
    <w:rsid w:val="00221ECF"/>
    <w:rsid w:val="0022225E"/>
    <w:rsid w:val="00222274"/>
    <w:rsid w:val="002222A8"/>
    <w:rsid w:val="002222F2"/>
    <w:rsid w:val="00222360"/>
    <w:rsid w:val="0022238E"/>
    <w:rsid w:val="00222415"/>
    <w:rsid w:val="00222462"/>
    <w:rsid w:val="00222561"/>
    <w:rsid w:val="0022264D"/>
    <w:rsid w:val="002228D9"/>
    <w:rsid w:val="00222A11"/>
    <w:rsid w:val="00222BDE"/>
    <w:rsid w:val="00222BF5"/>
    <w:rsid w:val="00222CCE"/>
    <w:rsid w:val="00222F6D"/>
    <w:rsid w:val="0022309B"/>
    <w:rsid w:val="00223176"/>
    <w:rsid w:val="002234A5"/>
    <w:rsid w:val="0022360A"/>
    <w:rsid w:val="0022369B"/>
    <w:rsid w:val="00223896"/>
    <w:rsid w:val="00223AF0"/>
    <w:rsid w:val="00223D19"/>
    <w:rsid w:val="00223DF4"/>
    <w:rsid w:val="00223E51"/>
    <w:rsid w:val="00223E9F"/>
    <w:rsid w:val="00223EFB"/>
    <w:rsid w:val="00223FAA"/>
    <w:rsid w:val="002242E8"/>
    <w:rsid w:val="00224311"/>
    <w:rsid w:val="0022432A"/>
    <w:rsid w:val="002247A6"/>
    <w:rsid w:val="002247AD"/>
    <w:rsid w:val="002247DF"/>
    <w:rsid w:val="002248B7"/>
    <w:rsid w:val="002248C0"/>
    <w:rsid w:val="002249D9"/>
    <w:rsid w:val="00224A74"/>
    <w:rsid w:val="00224B73"/>
    <w:rsid w:val="00224BB3"/>
    <w:rsid w:val="00224D86"/>
    <w:rsid w:val="00224DA8"/>
    <w:rsid w:val="00224DCD"/>
    <w:rsid w:val="00224E03"/>
    <w:rsid w:val="00224FB1"/>
    <w:rsid w:val="00224FC8"/>
    <w:rsid w:val="002252C4"/>
    <w:rsid w:val="002254E4"/>
    <w:rsid w:val="002255A5"/>
    <w:rsid w:val="002256A4"/>
    <w:rsid w:val="002258BA"/>
    <w:rsid w:val="00225A01"/>
    <w:rsid w:val="00225A1A"/>
    <w:rsid w:val="00225B96"/>
    <w:rsid w:val="00225C07"/>
    <w:rsid w:val="00225CBD"/>
    <w:rsid w:val="00225F50"/>
    <w:rsid w:val="00226061"/>
    <w:rsid w:val="0022606A"/>
    <w:rsid w:val="002261FE"/>
    <w:rsid w:val="00226456"/>
    <w:rsid w:val="0022654B"/>
    <w:rsid w:val="0022655B"/>
    <w:rsid w:val="0022686A"/>
    <w:rsid w:val="0022690C"/>
    <w:rsid w:val="0022694E"/>
    <w:rsid w:val="002269CA"/>
    <w:rsid w:val="00226A56"/>
    <w:rsid w:val="00226A99"/>
    <w:rsid w:val="00226C64"/>
    <w:rsid w:val="00226D7A"/>
    <w:rsid w:val="00226E66"/>
    <w:rsid w:val="00226EAC"/>
    <w:rsid w:val="00226FF3"/>
    <w:rsid w:val="0022701A"/>
    <w:rsid w:val="002271E6"/>
    <w:rsid w:val="00227325"/>
    <w:rsid w:val="00227355"/>
    <w:rsid w:val="00227382"/>
    <w:rsid w:val="00227491"/>
    <w:rsid w:val="00227847"/>
    <w:rsid w:val="0022790B"/>
    <w:rsid w:val="00227944"/>
    <w:rsid w:val="0022797B"/>
    <w:rsid w:val="00227A2B"/>
    <w:rsid w:val="00227A3E"/>
    <w:rsid w:val="00227C15"/>
    <w:rsid w:val="00227CD3"/>
    <w:rsid w:val="00227E99"/>
    <w:rsid w:val="00227E9B"/>
    <w:rsid w:val="0023012A"/>
    <w:rsid w:val="00230539"/>
    <w:rsid w:val="0023057E"/>
    <w:rsid w:val="002305C0"/>
    <w:rsid w:val="002306FB"/>
    <w:rsid w:val="002307DB"/>
    <w:rsid w:val="00230A22"/>
    <w:rsid w:val="00230BB7"/>
    <w:rsid w:val="00230BF7"/>
    <w:rsid w:val="00230D2A"/>
    <w:rsid w:val="00230E0E"/>
    <w:rsid w:val="00230E4F"/>
    <w:rsid w:val="00230E8D"/>
    <w:rsid w:val="0023104B"/>
    <w:rsid w:val="00231205"/>
    <w:rsid w:val="00231339"/>
    <w:rsid w:val="002314B3"/>
    <w:rsid w:val="002314CD"/>
    <w:rsid w:val="00231511"/>
    <w:rsid w:val="002316D7"/>
    <w:rsid w:val="00231753"/>
    <w:rsid w:val="00231782"/>
    <w:rsid w:val="002318B9"/>
    <w:rsid w:val="00231914"/>
    <w:rsid w:val="00231A49"/>
    <w:rsid w:val="00231ED2"/>
    <w:rsid w:val="00231FB3"/>
    <w:rsid w:val="00232033"/>
    <w:rsid w:val="0023205E"/>
    <w:rsid w:val="002320C5"/>
    <w:rsid w:val="00232186"/>
    <w:rsid w:val="0023227F"/>
    <w:rsid w:val="00232461"/>
    <w:rsid w:val="0023254A"/>
    <w:rsid w:val="00232596"/>
    <w:rsid w:val="002326AF"/>
    <w:rsid w:val="002326FF"/>
    <w:rsid w:val="00232874"/>
    <w:rsid w:val="00232AD1"/>
    <w:rsid w:val="00232CF9"/>
    <w:rsid w:val="00232D07"/>
    <w:rsid w:val="00232E07"/>
    <w:rsid w:val="00232FB4"/>
    <w:rsid w:val="00233227"/>
    <w:rsid w:val="00233470"/>
    <w:rsid w:val="00233560"/>
    <w:rsid w:val="002338DB"/>
    <w:rsid w:val="0023396A"/>
    <w:rsid w:val="0023399C"/>
    <w:rsid w:val="002339ED"/>
    <w:rsid w:val="00233C6A"/>
    <w:rsid w:val="00233C72"/>
    <w:rsid w:val="00233E70"/>
    <w:rsid w:val="00233EF6"/>
    <w:rsid w:val="00233FD5"/>
    <w:rsid w:val="00233FE4"/>
    <w:rsid w:val="00234588"/>
    <w:rsid w:val="0023459A"/>
    <w:rsid w:val="0023466D"/>
    <w:rsid w:val="00234702"/>
    <w:rsid w:val="00234708"/>
    <w:rsid w:val="002348F1"/>
    <w:rsid w:val="00234A6B"/>
    <w:rsid w:val="00234D5A"/>
    <w:rsid w:val="00234DB1"/>
    <w:rsid w:val="00235238"/>
    <w:rsid w:val="00235423"/>
    <w:rsid w:val="0023550E"/>
    <w:rsid w:val="0023562E"/>
    <w:rsid w:val="00235799"/>
    <w:rsid w:val="00235AB6"/>
    <w:rsid w:val="00235B50"/>
    <w:rsid w:val="00235B73"/>
    <w:rsid w:val="00235B77"/>
    <w:rsid w:val="00235CC4"/>
    <w:rsid w:val="00235CD9"/>
    <w:rsid w:val="0023616D"/>
    <w:rsid w:val="002361C7"/>
    <w:rsid w:val="002362F3"/>
    <w:rsid w:val="00236364"/>
    <w:rsid w:val="0023653C"/>
    <w:rsid w:val="002365BA"/>
    <w:rsid w:val="002365EA"/>
    <w:rsid w:val="00236618"/>
    <w:rsid w:val="002366BF"/>
    <w:rsid w:val="00236796"/>
    <w:rsid w:val="00236995"/>
    <w:rsid w:val="00236B42"/>
    <w:rsid w:val="00236C23"/>
    <w:rsid w:val="00236F77"/>
    <w:rsid w:val="00236FCA"/>
    <w:rsid w:val="00237136"/>
    <w:rsid w:val="0023738D"/>
    <w:rsid w:val="002374E1"/>
    <w:rsid w:val="002374EC"/>
    <w:rsid w:val="00237637"/>
    <w:rsid w:val="002378D3"/>
    <w:rsid w:val="00237A01"/>
    <w:rsid w:val="00237AA8"/>
    <w:rsid w:val="00237AD2"/>
    <w:rsid w:val="00237B51"/>
    <w:rsid w:val="00237C58"/>
    <w:rsid w:val="00237CA9"/>
    <w:rsid w:val="00237CC5"/>
    <w:rsid w:val="00237E21"/>
    <w:rsid w:val="00237F77"/>
    <w:rsid w:val="00237FA0"/>
    <w:rsid w:val="00237FE0"/>
    <w:rsid w:val="00240196"/>
    <w:rsid w:val="0024026F"/>
    <w:rsid w:val="00240330"/>
    <w:rsid w:val="00240741"/>
    <w:rsid w:val="00240920"/>
    <w:rsid w:val="00240A67"/>
    <w:rsid w:val="00240B61"/>
    <w:rsid w:val="00240E89"/>
    <w:rsid w:val="00240F99"/>
    <w:rsid w:val="0024100E"/>
    <w:rsid w:val="00241250"/>
    <w:rsid w:val="0024143E"/>
    <w:rsid w:val="002414BE"/>
    <w:rsid w:val="002416B7"/>
    <w:rsid w:val="0024178A"/>
    <w:rsid w:val="00241B95"/>
    <w:rsid w:val="00241CC8"/>
    <w:rsid w:val="00242093"/>
    <w:rsid w:val="0024228D"/>
    <w:rsid w:val="00242420"/>
    <w:rsid w:val="0024273F"/>
    <w:rsid w:val="002427FF"/>
    <w:rsid w:val="00242846"/>
    <w:rsid w:val="00242919"/>
    <w:rsid w:val="00242937"/>
    <w:rsid w:val="00242B31"/>
    <w:rsid w:val="00242B58"/>
    <w:rsid w:val="00242B66"/>
    <w:rsid w:val="00242BDF"/>
    <w:rsid w:val="00242BE8"/>
    <w:rsid w:val="00242D84"/>
    <w:rsid w:val="00242DB0"/>
    <w:rsid w:val="00243041"/>
    <w:rsid w:val="002430A7"/>
    <w:rsid w:val="0024337A"/>
    <w:rsid w:val="002433B2"/>
    <w:rsid w:val="002433B7"/>
    <w:rsid w:val="002436B6"/>
    <w:rsid w:val="00243843"/>
    <w:rsid w:val="0024398E"/>
    <w:rsid w:val="00243997"/>
    <w:rsid w:val="002439B1"/>
    <w:rsid w:val="00243B56"/>
    <w:rsid w:val="00243C4B"/>
    <w:rsid w:val="00243F89"/>
    <w:rsid w:val="00243FBD"/>
    <w:rsid w:val="002440CA"/>
    <w:rsid w:val="00244155"/>
    <w:rsid w:val="00244301"/>
    <w:rsid w:val="0024431E"/>
    <w:rsid w:val="00244468"/>
    <w:rsid w:val="00244576"/>
    <w:rsid w:val="0024460F"/>
    <w:rsid w:val="00244984"/>
    <w:rsid w:val="00244A31"/>
    <w:rsid w:val="00244C49"/>
    <w:rsid w:val="00244C98"/>
    <w:rsid w:val="00245187"/>
    <w:rsid w:val="0024519B"/>
    <w:rsid w:val="002451CD"/>
    <w:rsid w:val="00245292"/>
    <w:rsid w:val="0024530F"/>
    <w:rsid w:val="00245376"/>
    <w:rsid w:val="002456DA"/>
    <w:rsid w:val="00245754"/>
    <w:rsid w:val="002459C1"/>
    <w:rsid w:val="00245F67"/>
    <w:rsid w:val="00245FA1"/>
    <w:rsid w:val="002461A7"/>
    <w:rsid w:val="00246229"/>
    <w:rsid w:val="0024629F"/>
    <w:rsid w:val="0024637A"/>
    <w:rsid w:val="0024666B"/>
    <w:rsid w:val="00246756"/>
    <w:rsid w:val="002468AC"/>
    <w:rsid w:val="0024694B"/>
    <w:rsid w:val="00246AA0"/>
    <w:rsid w:val="00246AA9"/>
    <w:rsid w:val="00246D27"/>
    <w:rsid w:val="00246EEF"/>
    <w:rsid w:val="00246FC2"/>
    <w:rsid w:val="0024737D"/>
    <w:rsid w:val="002473F4"/>
    <w:rsid w:val="00247680"/>
    <w:rsid w:val="002476CF"/>
    <w:rsid w:val="00247863"/>
    <w:rsid w:val="002478C4"/>
    <w:rsid w:val="00247BF9"/>
    <w:rsid w:val="00247C09"/>
    <w:rsid w:val="00247C70"/>
    <w:rsid w:val="00247E8A"/>
    <w:rsid w:val="00250167"/>
    <w:rsid w:val="002502B3"/>
    <w:rsid w:val="002502E3"/>
    <w:rsid w:val="00250730"/>
    <w:rsid w:val="002508D2"/>
    <w:rsid w:val="002508DA"/>
    <w:rsid w:val="00250923"/>
    <w:rsid w:val="00250C81"/>
    <w:rsid w:val="00250D61"/>
    <w:rsid w:val="00250E26"/>
    <w:rsid w:val="00250E6B"/>
    <w:rsid w:val="00250EA4"/>
    <w:rsid w:val="00250ED2"/>
    <w:rsid w:val="00250FC8"/>
    <w:rsid w:val="00251090"/>
    <w:rsid w:val="002511FB"/>
    <w:rsid w:val="00251333"/>
    <w:rsid w:val="00251567"/>
    <w:rsid w:val="002516D0"/>
    <w:rsid w:val="002517EB"/>
    <w:rsid w:val="002517FF"/>
    <w:rsid w:val="00251A3C"/>
    <w:rsid w:val="00251E14"/>
    <w:rsid w:val="00251EE7"/>
    <w:rsid w:val="00251F03"/>
    <w:rsid w:val="00251F5E"/>
    <w:rsid w:val="00251F6D"/>
    <w:rsid w:val="00251F8D"/>
    <w:rsid w:val="00252248"/>
    <w:rsid w:val="0025225F"/>
    <w:rsid w:val="0025237E"/>
    <w:rsid w:val="00252608"/>
    <w:rsid w:val="0025284A"/>
    <w:rsid w:val="00252A99"/>
    <w:rsid w:val="00252AEB"/>
    <w:rsid w:val="00252B13"/>
    <w:rsid w:val="00252C20"/>
    <w:rsid w:val="00252C84"/>
    <w:rsid w:val="00252CB7"/>
    <w:rsid w:val="00252F48"/>
    <w:rsid w:val="0025313B"/>
    <w:rsid w:val="002531BB"/>
    <w:rsid w:val="00253357"/>
    <w:rsid w:val="002533A3"/>
    <w:rsid w:val="002535EA"/>
    <w:rsid w:val="00253684"/>
    <w:rsid w:val="002536D7"/>
    <w:rsid w:val="0025382F"/>
    <w:rsid w:val="0025391E"/>
    <w:rsid w:val="00253A35"/>
    <w:rsid w:val="00253A71"/>
    <w:rsid w:val="00253C37"/>
    <w:rsid w:val="00253D08"/>
    <w:rsid w:val="00253D1C"/>
    <w:rsid w:val="00253F1B"/>
    <w:rsid w:val="00253F5E"/>
    <w:rsid w:val="00253FA3"/>
    <w:rsid w:val="00253FC7"/>
    <w:rsid w:val="002540FB"/>
    <w:rsid w:val="00254108"/>
    <w:rsid w:val="0025429D"/>
    <w:rsid w:val="002544B3"/>
    <w:rsid w:val="0025456B"/>
    <w:rsid w:val="00254735"/>
    <w:rsid w:val="0025473C"/>
    <w:rsid w:val="002547B2"/>
    <w:rsid w:val="002549B3"/>
    <w:rsid w:val="00254AF0"/>
    <w:rsid w:val="00254E5E"/>
    <w:rsid w:val="002551A8"/>
    <w:rsid w:val="00255218"/>
    <w:rsid w:val="0025532B"/>
    <w:rsid w:val="0025559B"/>
    <w:rsid w:val="002555D4"/>
    <w:rsid w:val="0025561A"/>
    <w:rsid w:val="002557DC"/>
    <w:rsid w:val="0025580E"/>
    <w:rsid w:val="00255A6B"/>
    <w:rsid w:val="00255AD7"/>
    <w:rsid w:val="00255E39"/>
    <w:rsid w:val="00255E88"/>
    <w:rsid w:val="00255F1A"/>
    <w:rsid w:val="0025629C"/>
    <w:rsid w:val="00256338"/>
    <w:rsid w:val="00256430"/>
    <w:rsid w:val="00256449"/>
    <w:rsid w:val="0025648E"/>
    <w:rsid w:val="00256581"/>
    <w:rsid w:val="002566B1"/>
    <w:rsid w:val="00256CF2"/>
    <w:rsid w:val="00256FBA"/>
    <w:rsid w:val="00256FE4"/>
    <w:rsid w:val="002571FF"/>
    <w:rsid w:val="002572DE"/>
    <w:rsid w:val="0025741D"/>
    <w:rsid w:val="002574E5"/>
    <w:rsid w:val="00257732"/>
    <w:rsid w:val="0025795F"/>
    <w:rsid w:val="00257A37"/>
    <w:rsid w:val="00257CB9"/>
    <w:rsid w:val="00257D46"/>
    <w:rsid w:val="00257D78"/>
    <w:rsid w:val="00257E20"/>
    <w:rsid w:val="00257EEF"/>
    <w:rsid w:val="00260013"/>
    <w:rsid w:val="00260195"/>
    <w:rsid w:val="00260305"/>
    <w:rsid w:val="002604CC"/>
    <w:rsid w:val="0026056F"/>
    <w:rsid w:val="00260641"/>
    <w:rsid w:val="002606F1"/>
    <w:rsid w:val="002607E2"/>
    <w:rsid w:val="002608ED"/>
    <w:rsid w:val="002609C6"/>
    <w:rsid w:val="00260E9C"/>
    <w:rsid w:val="00260EB4"/>
    <w:rsid w:val="00260F15"/>
    <w:rsid w:val="00260F5E"/>
    <w:rsid w:val="00260FC4"/>
    <w:rsid w:val="002613C3"/>
    <w:rsid w:val="00261501"/>
    <w:rsid w:val="0026154E"/>
    <w:rsid w:val="00261702"/>
    <w:rsid w:val="00261B54"/>
    <w:rsid w:val="00261C79"/>
    <w:rsid w:val="00261C83"/>
    <w:rsid w:val="00261F53"/>
    <w:rsid w:val="00261F7F"/>
    <w:rsid w:val="0026204E"/>
    <w:rsid w:val="00262224"/>
    <w:rsid w:val="00262420"/>
    <w:rsid w:val="002624A0"/>
    <w:rsid w:val="00262580"/>
    <w:rsid w:val="002629D4"/>
    <w:rsid w:val="00262B4D"/>
    <w:rsid w:val="00262B90"/>
    <w:rsid w:val="00262BBC"/>
    <w:rsid w:val="00262C2C"/>
    <w:rsid w:val="00262E1B"/>
    <w:rsid w:val="00262E1E"/>
    <w:rsid w:val="00262EA0"/>
    <w:rsid w:val="00262EFA"/>
    <w:rsid w:val="00262FBE"/>
    <w:rsid w:val="00262FE6"/>
    <w:rsid w:val="00262FF9"/>
    <w:rsid w:val="0026305A"/>
    <w:rsid w:val="002630F4"/>
    <w:rsid w:val="00263122"/>
    <w:rsid w:val="00263331"/>
    <w:rsid w:val="00263450"/>
    <w:rsid w:val="00263478"/>
    <w:rsid w:val="002636CE"/>
    <w:rsid w:val="00263730"/>
    <w:rsid w:val="0026375B"/>
    <w:rsid w:val="00263800"/>
    <w:rsid w:val="00263851"/>
    <w:rsid w:val="002639B4"/>
    <w:rsid w:val="00263A23"/>
    <w:rsid w:val="00263C8E"/>
    <w:rsid w:val="00263E7A"/>
    <w:rsid w:val="0026406A"/>
    <w:rsid w:val="0026417F"/>
    <w:rsid w:val="002641B5"/>
    <w:rsid w:val="002641E0"/>
    <w:rsid w:val="002642BC"/>
    <w:rsid w:val="00264385"/>
    <w:rsid w:val="0026447C"/>
    <w:rsid w:val="00264494"/>
    <w:rsid w:val="002644F2"/>
    <w:rsid w:val="002645FB"/>
    <w:rsid w:val="002648A6"/>
    <w:rsid w:val="002648FA"/>
    <w:rsid w:val="00264BF8"/>
    <w:rsid w:val="00264DD1"/>
    <w:rsid w:val="002650E0"/>
    <w:rsid w:val="00265188"/>
    <w:rsid w:val="00265255"/>
    <w:rsid w:val="00265349"/>
    <w:rsid w:val="002653D6"/>
    <w:rsid w:val="00265512"/>
    <w:rsid w:val="00265547"/>
    <w:rsid w:val="002656B6"/>
    <w:rsid w:val="002657B8"/>
    <w:rsid w:val="002657C0"/>
    <w:rsid w:val="0026588C"/>
    <w:rsid w:val="00265AE6"/>
    <w:rsid w:val="00265B06"/>
    <w:rsid w:val="00265B9B"/>
    <w:rsid w:val="00265D1D"/>
    <w:rsid w:val="00265E82"/>
    <w:rsid w:val="002660BC"/>
    <w:rsid w:val="002660FC"/>
    <w:rsid w:val="00266275"/>
    <w:rsid w:val="00266548"/>
    <w:rsid w:val="00266611"/>
    <w:rsid w:val="00266798"/>
    <w:rsid w:val="00266AF3"/>
    <w:rsid w:val="00266B9C"/>
    <w:rsid w:val="00266BD2"/>
    <w:rsid w:val="00266E7B"/>
    <w:rsid w:val="002671EE"/>
    <w:rsid w:val="002674CA"/>
    <w:rsid w:val="00267879"/>
    <w:rsid w:val="002678D8"/>
    <w:rsid w:val="00267BC1"/>
    <w:rsid w:val="00267CC7"/>
    <w:rsid w:val="00267E48"/>
    <w:rsid w:val="00267EC4"/>
    <w:rsid w:val="00267F86"/>
    <w:rsid w:val="00270197"/>
    <w:rsid w:val="0027027A"/>
    <w:rsid w:val="002702C8"/>
    <w:rsid w:val="0027033A"/>
    <w:rsid w:val="00270596"/>
    <w:rsid w:val="00270763"/>
    <w:rsid w:val="002708A8"/>
    <w:rsid w:val="00270D63"/>
    <w:rsid w:val="00270D71"/>
    <w:rsid w:val="00270FAF"/>
    <w:rsid w:val="00271033"/>
    <w:rsid w:val="00271134"/>
    <w:rsid w:val="0027114A"/>
    <w:rsid w:val="00271309"/>
    <w:rsid w:val="002713FE"/>
    <w:rsid w:val="00271658"/>
    <w:rsid w:val="00271795"/>
    <w:rsid w:val="0027181A"/>
    <w:rsid w:val="00271875"/>
    <w:rsid w:val="002719E9"/>
    <w:rsid w:val="00271A32"/>
    <w:rsid w:val="00272171"/>
    <w:rsid w:val="0027217A"/>
    <w:rsid w:val="002724A1"/>
    <w:rsid w:val="0027261C"/>
    <w:rsid w:val="002726DB"/>
    <w:rsid w:val="0027272C"/>
    <w:rsid w:val="00272889"/>
    <w:rsid w:val="00272927"/>
    <w:rsid w:val="00272A1D"/>
    <w:rsid w:val="00272AF3"/>
    <w:rsid w:val="00272C3A"/>
    <w:rsid w:val="00272CAB"/>
    <w:rsid w:val="00272CB8"/>
    <w:rsid w:val="00272DD5"/>
    <w:rsid w:val="00272E22"/>
    <w:rsid w:val="00272E7B"/>
    <w:rsid w:val="00272EEE"/>
    <w:rsid w:val="00272F8B"/>
    <w:rsid w:val="00272F92"/>
    <w:rsid w:val="002731A4"/>
    <w:rsid w:val="002731D9"/>
    <w:rsid w:val="002733AA"/>
    <w:rsid w:val="0027341E"/>
    <w:rsid w:val="002734B9"/>
    <w:rsid w:val="002734BB"/>
    <w:rsid w:val="002735B4"/>
    <w:rsid w:val="0027379B"/>
    <w:rsid w:val="00273806"/>
    <w:rsid w:val="00273929"/>
    <w:rsid w:val="002739AF"/>
    <w:rsid w:val="00273B1D"/>
    <w:rsid w:val="00273D46"/>
    <w:rsid w:val="00274180"/>
    <w:rsid w:val="0027439C"/>
    <w:rsid w:val="00274403"/>
    <w:rsid w:val="00274477"/>
    <w:rsid w:val="002744A5"/>
    <w:rsid w:val="002745E7"/>
    <w:rsid w:val="002746E5"/>
    <w:rsid w:val="00274BD5"/>
    <w:rsid w:val="00274BF6"/>
    <w:rsid w:val="00274C70"/>
    <w:rsid w:val="00274DA4"/>
    <w:rsid w:val="00274E7C"/>
    <w:rsid w:val="00274ED1"/>
    <w:rsid w:val="002750C1"/>
    <w:rsid w:val="0027510E"/>
    <w:rsid w:val="0027521B"/>
    <w:rsid w:val="00275326"/>
    <w:rsid w:val="00275462"/>
    <w:rsid w:val="0027554A"/>
    <w:rsid w:val="0027554F"/>
    <w:rsid w:val="002755DE"/>
    <w:rsid w:val="00275724"/>
    <w:rsid w:val="0027572A"/>
    <w:rsid w:val="002758E1"/>
    <w:rsid w:val="00275AB6"/>
    <w:rsid w:val="00275E53"/>
    <w:rsid w:val="00275FCF"/>
    <w:rsid w:val="00276106"/>
    <w:rsid w:val="002761AA"/>
    <w:rsid w:val="002761D3"/>
    <w:rsid w:val="00276310"/>
    <w:rsid w:val="0027654A"/>
    <w:rsid w:val="0027660A"/>
    <w:rsid w:val="0027674F"/>
    <w:rsid w:val="00276860"/>
    <w:rsid w:val="0027688A"/>
    <w:rsid w:val="00276979"/>
    <w:rsid w:val="00276B5E"/>
    <w:rsid w:val="00276EDE"/>
    <w:rsid w:val="00276F47"/>
    <w:rsid w:val="00276F7D"/>
    <w:rsid w:val="00277053"/>
    <w:rsid w:val="002771EE"/>
    <w:rsid w:val="00277200"/>
    <w:rsid w:val="002774C0"/>
    <w:rsid w:val="0027750C"/>
    <w:rsid w:val="0027756C"/>
    <w:rsid w:val="0027761D"/>
    <w:rsid w:val="00277638"/>
    <w:rsid w:val="00277855"/>
    <w:rsid w:val="00277AF7"/>
    <w:rsid w:val="00277C14"/>
    <w:rsid w:val="00277C5C"/>
    <w:rsid w:val="00277E5E"/>
    <w:rsid w:val="00277F97"/>
    <w:rsid w:val="00280013"/>
    <w:rsid w:val="00280145"/>
    <w:rsid w:val="002802FA"/>
    <w:rsid w:val="00280363"/>
    <w:rsid w:val="00280540"/>
    <w:rsid w:val="00280700"/>
    <w:rsid w:val="00280853"/>
    <w:rsid w:val="0028094F"/>
    <w:rsid w:val="002809B7"/>
    <w:rsid w:val="00280A7E"/>
    <w:rsid w:val="00280ACF"/>
    <w:rsid w:val="00280BAF"/>
    <w:rsid w:val="00280BC1"/>
    <w:rsid w:val="00280D4F"/>
    <w:rsid w:val="00280D78"/>
    <w:rsid w:val="00280E5D"/>
    <w:rsid w:val="0028115B"/>
    <w:rsid w:val="002811F7"/>
    <w:rsid w:val="00281252"/>
    <w:rsid w:val="002812E1"/>
    <w:rsid w:val="00281527"/>
    <w:rsid w:val="00281671"/>
    <w:rsid w:val="00281751"/>
    <w:rsid w:val="002817E0"/>
    <w:rsid w:val="00281AE1"/>
    <w:rsid w:val="00281AF1"/>
    <w:rsid w:val="00281B3E"/>
    <w:rsid w:val="00281ED3"/>
    <w:rsid w:val="00281F2C"/>
    <w:rsid w:val="00281F73"/>
    <w:rsid w:val="00282160"/>
    <w:rsid w:val="00282289"/>
    <w:rsid w:val="00282411"/>
    <w:rsid w:val="00282456"/>
    <w:rsid w:val="002825D2"/>
    <w:rsid w:val="0028277A"/>
    <w:rsid w:val="002827B8"/>
    <w:rsid w:val="002828ED"/>
    <w:rsid w:val="00282AD9"/>
    <w:rsid w:val="00282B29"/>
    <w:rsid w:val="00282E4E"/>
    <w:rsid w:val="00282F12"/>
    <w:rsid w:val="00282F22"/>
    <w:rsid w:val="0028302E"/>
    <w:rsid w:val="00283066"/>
    <w:rsid w:val="0028309D"/>
    <w:rsid w:val="0028322A"/>
    <w:rsid w:val="00283265"/>
    <w:rsid w:val="0028336F"/>
    <w:rsid w:val="00283832"/>
    <w:rsid w:val="00283A41"/>
    <w:rsid w:val="00283B42"/>
    <w:rsid w:val="00283BDA"/>
    <w:rsid w:val="00283C4A"/>
    <w:rsid w:val="00283C72"/>
    <w:rsid w:val="00283D44"/>
    <w:rsid w:val="002841EE"/>
    <w:rsid w:val="00284203"/>
    <w:rsid w:val="0028423A"/>
    <w:rsid w:val="00284347"/>
    <w:rsid w:val="00284369"/>
    <w:rsid w:val="00284625"/>
    <w:rsid w:val="0028480F"/>
    <w:rsid w:val="002849B9"/>
    <w:rsid w:val="002849F4"/>
    <w:rsid w:val="002850F0"/>
    <w:rsid w:val="00285145"/>
    <w:rsid w:val="0028521E"/>
    <w:rsid w:val="00285439"/>
    <w:rsid w:val="002855FD"/>
    <w:rsid w:val="00285977"/>
    <w:rsid w:val="00285A37"/>
    <w:rsid w:val="00285A54"/>
    <w:rsid w:val="00285AEF"/>
    <w:rsid w:val="00285B35"/>
    <w:rsid w:val="00285DE7"/>
    <w:rsid w:val="00285E1E"/>
    <w:rsid w:val="00285E6B"/>
    <w:rsid w:val="00285EE6"/>
    <w:rsid w:val="002860E6"/>
    <w:rsid w:val="00286167"/>
    <w:rsid w:val="002861E6"/>
    <w:rsid w:val="00286257"/>
    <w:rsid w:val="00286359"/>
    <w:rsid w:val="002865E6"/>
    <w:rsid w:val="00286BB6"/>
    <w:rsid w:val="00286C3C"/>
    <w:rsid w:val="00286DBD"/>
    <w:rsid w:val="00287065"/>
    <w:rsid w:val="00287117"/>
    <w:rsid w:val="002873E1"/>
    <w:rsid w:val="0028745D"/>
    <w:rsid w:val="002875B8"/>
    <w:rsid w:val="0028769E"/>
    <w:rsid w:val="00287AA0"/>
    <w:rsid w:val="00287C91"/>
    <w:rsid w:val="00287E17"/>
    <w:rsid w:val="00287E7E"/>
    <w:rsid w:val="00287F10"/>
    <w:rsid w:val="002901F5"/>
    <w:rsid w:val="0029033B"/>
    <w:rsid w:val="00290422"/>
    <w:rsid w:val="002905BA"/>
    <w:rsid w:val="002906EB"/>
    <w:rsid w:val="00290768"/>
    <w:rsid w:val="00290972"/>
    <w:rsid w:val="00290AC1"/>
    <w:rsid w:val="00290C2E"/>
    <w:rsid w:val="00290CBE"/>
    <w:rsid w:val="00290D2B"/>
    <w:rsid w:val="00290DF7"/>
    <w:rsid w:val="00290FCE"/>
    <w:rsid w:val="00291062"/>
    <w:rsid w:val="00291064"/>
    <w:rsid w:val="00291465"/>
    <w:rsid w:val="00291602"/>
    <w:rsid w:val="002917CB"/>
    <w:rsid w:val="00291947"/>
    <w:rsid w:val="002919E7"/>
    <w:rsid w:val="00291B9A"/>
    <w:rsid w:val="00291CAC"/>
    <w:rsid w:val="00291D75"/>
    <w:rsid w:val="00291D89"/>
    <w:rsid w:val="00291DC6"/>
    <w:rsid w:val="00291E40"/>
    <w:rsid w:val="00291E8F"/>
    <w:rsid w:val="00291EC1"/>
    <w:rsid w:val="00291F4E"/>
    <w:rsid w:val="00292280"/>
    <w:rsid w:val="002924F8"/>
    <w:rsid w:val="00292816"/>
    <w:rsid w:val="0029291E"/>
    <w:rsid w:val="00292921"/>
    <w:rsid w:val="00292A55"/>
    <w:rsid w:val="00292CA1"/>
    <w:rsid w:val="00292D0A"/>
    <w:rsid w:val="00292ECC"/>
    <w:rsid w:val="002930AE"/>
    <w:rsid w:val="0029312F"/>
    <w:rsid w:val="00293318"/>
    <w:rsid w:val="0029337C"/>
    <w:rsid w:val="0029338F"/>
    <w:rsid w:val="00293396"/>
    <w:rsid w:val="00293465"/>
    <w:rsid w:val="0029349B"/>
    <w:rsid w:val="00293520"/>
    <w:rsid w:val="00293608"/>
    <w:rsid w:val="0029391C"/>
    <w:rsid w:val="0029399F"/>
    <w:rsid w:val="00293A21"/>
    <w:rsid w:val="00293A47"/>
    <w:rsid w:val="00293B33"/>
    <w:rsid w:val="00293BCC"/>
    <w:rsid w:val="00293F3A"/>
    <w:rsid w:val="00294022"/>
    <w:rsid w:val="00294296"/>
    <w:rsid w:val="002942D1"/>
    <w:rsid w:val="00294423"/>
    <w:rsid w:val="0029447C"/>
    <w:rsid w:val="002945B6"/>
    <w:rsid w:val="0029463C"/>
    <w:rsid w:val="00294829"/>
    <w:rsid w:val="0029489A"/>
    <w:rsid w:val="002948C2"/>
    <w:rsid w:val="00294969"/>
    <w:rsid w:val="00294C90"/>
    <w:rsid w:val="00294CBA"/>
    <w:rsid w:val="00294DF0"/>
    <w:rsid w:val="00295192"/>
    <w:rsid w:val="00295299"/>
    <w:rsid w:val="0029567E"/>
    <w:rsid w:val="00295876"/>
    <w:rsid w:val="002959B8"/>
    <w:rsid w:val="00295A1B"/>
    <w:rsid w:val="00295B20"/>
    <w:rsid w:val="00295CAA"/>
    <w:rsid w:val="00295CBE"/>
    <w:rsid w:val="00295F28"/>
    <w:rsid w:val="002962F4"/>
    <w:rsid w:val="00296367"/>
    <w:rsid w:val="00296479"/>
    <w:rsid w:val="002964C5"/>
    <w:rsid w:val="002964D6"/>
    <w:rsid w:val="00296582"/>
    <w:rsid w:val="002965C5"/>
    <w:rsid w:val="0029667D"/>
    <w:rsid w:val="00296CE8"/>
    <w:rsid w:val="00296CF6"/>
    <w:rsid w:val="00296D1E"/>
    <w:rsid w:val="00296ECE"/>
    <w:rsid w:val="00296F3A"/>
    <w:rsid w:val="00296F58"/>
    <w:rsid w:val="002970FB"/>
    <w:rsid w:val="002971B1"/>
    <w:rsid w:val="002972E5"/>
    <w:rsid w:val="00297306"/>
    <w:rsid w:val="0029735D"/>
    <w:rsid w:val="00297524"/>
    <w:rsid w:val="00297A4A"/>
    <w:rsid w:val="00297BEC"/>
    <w:rsid w:val="00297E5E"/>
    <w:rsid w:val="002A0008"/>
    <w:rsid w:val="002A002C"/>
    <w:rsid w:val="002A0405"/>
    <w:rsid w:val="002A0533"/>
    <w:rsid w:val="002A0592"/>
    <w:rsid w:val="002A076B"/>
    <w:rsid w:val="002A076C"/>
    <w:rsid w:val="002A0AC0"/>
    <w:rsid w:val="002A0B60"/>
    <w:rsid w:val="002A0B8A"/>
    <w:rsid w:val="002A0CE7"/>
    <w:rsid w:val="002A0CEF"/>
    <w:rsid w:val="002A0EBB"/>
    <w:rsid w:val="002A0F2F"/>
    <w:rsid w:val="002A0F7A"/>
    <w:rsid w:val="002A118F"/>
    <w:rsid w:val="002A11FE"/>
    <w:rsid w:val="002A146C"/>
    <w:rsid w:val="002A1657"/>
    <w:rsid w:val="002A16FE"/>
    <w:rsid w:val="002A172E"/>
    <w:rsid w:val="002A17D1"/>
    <w:rsid w:val="002A17DE"/>
    <w:rsid w:val="002A1852"/>
    <w:rsid w:val="002A19EF"/>
    <w:rsid w:val="002A1D1B"/>
    <w:rsid w:val="002A1F68"/>
    <w:rsid w:val="002A212E"/>
    <w:rsid w:val="002A2138"/>
    <w:rsid w:val="002A22F4"/>
    <w:rsid w:val="002A2302"/>
    <w:rsid w:val="002A2377"/>
    <w:rsid w:val="002A239C"/>
    <w:rsid w:val="002A23EE"/>
    <w:rsid w:val="002A252B"/>
    <w:rsid w:val="002A2756"/>
    <w:rsid w:val="002A27FB"/>
    <w:rsid w:val="002A28D2"/>
    <w:rsid w:val="002A2D4D"/>
    <w:rsid w:val="002A2F1C"/>
    <w:rsid w:val="002A310C"/>
    <w:rsid w:val="002A3335"/>
    <w:rsid w:val="002A3367"/>
    <w:rsid w:val="002A36AB"/>
    <w:rsid w:val="002A3B05"/>
    <w:rsid w:val="002A3B54"/>
    <w:rsid w:val="002A3DDE"/>
    <w:rsid w:val="002A3E3E"/>
    <w:rsid w:val="002A423A"/>
    <w:rsid w:val="002A43D8"/>
    <w:rsid w:val="002A4517"/>
    <w:rsid w:val="002A4706"/>
    <w:rsid w:val="002A47EA"/>
    <w:rsid w:val="002A4973"/>
    <w:rsid w:val="002A4A0E"/>
    <w:rsid w:val="002A4A41"/>
    <w:rsid w:val="002A4A9C"/>
    <w:rsid w:val="002A4BA4"/>
    <w:rsid w:val="002A4BAD"/>
    <w:rsid w:val="002A4C1F"/>
    <w:rsid w:val="002A4C74"/>
    <w:rsid w:val="002A4E3D"/>
    <w:rsid w:val="002A4E76"/>
    <w:rsid w:val="002A4F16"/>
    <w:rsid w:val="002A5142"/>
    <w:rsid w:val="002A5268"/>
    <w:rsid w:val="002A52BD"/>
    <w:rsid w:val="002A548D"/>
    <w:rsid w:val="002A54A4"/>
    <w:rsid w:val="002A54FF"/>
    <w:rsid w:val="002A58CD"/>
    <w:rsid w:val="002A599C"/>
    <w:rsid w:val="002A5DDC"/>
    <w:rsid w:val="002A5DEE"/>
    <w:rsid w:val="002A5E53"/>
    <w:rsid w:val="002A5FA8"/>
    <w:rsid w:val="002A61A1"/>
    <w:rsid w:val="002A6256"/>
    <w:rsid w:val="002A62E1"/>
    <w:rsid w:val="002A6306"/>
    <w:rsid w:val="002A6317"/>
    <w:rsid w:val="002A64D6"/>
    <w:rsid w:val="002A66E5"/>
    <w:rsid w:val="002A674D"/>
    <w:rsid w:val="002A67E1"/>
    <w:rsid w:val="002A6816"/>
    <w:rsid w:val="002A699C"/>
    <w:rsid w:val="002A6BFF"/>
    <w:rsid w:val="002A6F7B"/>
    <w:rsid w:val="002A708A"/>
    <w:rsid w:val="002A709E"/>
    <w:rsid w:val="002A7106"/>
    <w:rsid w:val="002A73C9"/>
    <w:rsid w:val="002A759B"/>
    <w:rsid w:val="002A764F"/>
    <w:rsid w:val="002A77CD"/>
    <w:rsid w:val="002A7BF9"/>
    <w:rsid w:val="002B0242"/>
    <w:rsid w:val="002B0379"/>
    <w:rsid w:val="002B03E4"/>
    <w:rsid w:val="002B0D27"/>
    <w:rsid w:val="002B0D62"/>
    <w:rsid w:val="002B0D6C"/>
    <w:rsid w:val="002B0DBB"/>
    <w:rsid w:val="002B0FB4"/>
    <w:rsid w:val="002B0FF5"/>
    <w:rsid w:val="002B1005"/>
    <w:rsid w:val="002B11E9"/>
    <w:rsid w:val="002B1208"/>
    <w:rsid w:val="002B133D"/>
    <w:rsid w:val="002B135C"/>
    <w:rsid w:val="002B14E4"/>
    <w:rsid w:val="002B1683"/>
    <w:rsid w:val="002B1769"/>
    <w:rsid w:val="002B1828"/>
    <w:rsid w:val="002B1966"/>
    <w:rsid w:val="002B1A37"/>
    <w:rsid w:val="002B1B7F"/>
    <w:rsid w:val="002B1BA1"/>
    <w:rsid w:val="002B1BD3"/>
    <w:rsid w:val="002B1C14"/>
    <w:rsid w:val="002B1C26"/>
    <w:rsid w:val="002B1C5C"/>
    <w:rsid w:val="002B1E08"/>
    <w:rsid w:val="002B1EAD"/>
    <w:rsid w:val="002B1F68"/>
    <w:rsid w:val="002B20E5"/>
    <w:rsid w:val="002B21B1"/>
    <w:rsid w:val="002B248F"/>
    <w:rsid w:val="002B251B"/>
    <w:rsid w:val="002B2550"/>
    <w:rsid w:val="002B277C"/>
    <w:rsid w:val="002B29B9"/>
    <w:rsid w:val="002B2ABD"/>
    <w:rsid w:val="002B2B2A"/>
    <w:rsid w:val="002B2C00"/>
    <w:rsid w:val="002B2DEF"/>
    <w:rsid w:val="002B305E"/>
    <w:rsid w:val="002B31CE"/>
    <w:rsid w:val="002B3435"/>
    <w:rsid w:val="002B358F"/>
    <w:rsid w:val="002B37F7"/>
    <w:rsid w:val="002B3822"/>
    <w:rsid w:val="002B3982"/>
    <w:rsid w:val="002B39BF"/>
    <w:rsid w:val="002B39D5"/>
    <w:rsid w:val="002B3A3C"/>
    <w:rsid w:val="002B42D4"/>
    <w:rsid w:val="002B472A"/>
    <w:rsid w:val="002B48E8"/>
    <w:rsid w:val="002B491B"/>
    <w:rsid w:val="002B4950"/>
    <w:rsid w:val="002B4A09"/>
    <w:rsid w:val="002B4CAD"/>
    <w:rsid w:val="002B4CEC"/>
    <w:rsid w:val="002B4E47"/>
    <w:rsid w:val="002B4EE5"/>
    <w:rsid w:val="002B4FC5"/>
    <w:rsid w:val="002B4FD8"/>
    <w:rsid w:val="002B5257"/>
    <w:rsid w:val="002B527A"/>
    <w:rsid w:val="002B53C3"/>
    <w:rsid w:val="002B5418"/>
    <w:rsid w:val="002B54D1"/>
    <w:rsid w:val="002B561C"/>
    <w:rsid w:val="002B563C"/>
    <w:rsid w:val="002B566A"/>
    <w:rsid w:val="002B5747"/>
    <w:rsid w:val="002B59CE"/>
    <w:rsid w:val="002B5B87"/>
    <w:rsid w:val="002B5BD0"/>
    <w:rsid w:val="002B5DEF"/>
    <w:rsid w:val="002B5E04"/>
    <w:rsid w:val="002B5E0F"/>
    <w:rsid w:val="002B5E2B"/>
    <w:rsid w:val="002B62A3"/>
    <w:rsid w:val="002B62BB"/>
    <w:rsid w:val="002B6314"/>
    <w:rsid w:val="002B6382"/>
    <w:rsid w:val="002B6527"/>
    <w:rsid w:val="002B658B"/>
    <w:rsid w:val="002B6668"/>
    <w:rsid w:val="002B6772"/>
    <w:rsid w:val="002B67C8"/>
    <w:rsid w:val="002B68E2"/>
    <w:rsid w:val="002B6A98"/>
    <w:rsid w:val="002B6C0D"/>
    <w:rsid w:val="002B6C59"/>
    <w:rsid w:val="002B6DAF"/>
    <w:rsid w:val="002B6DD6"/>
    <w:rsid w:val="002B6EB3"/>
    <w:rsid w:val="002B6EC4"/>
    <w:rsid w:val="002B6EE1"/>
    <w:rsid w:val="002B6F37"/>
    <w:rsid w:val="002B6F54"/>
    <w:rsid w:val="002B6FD2"/>
    <w:rsid w:val="002B703A"/>
    <w:rsid w:val="002B7051"/>
    <w:rsid w:val="002B7059"/>
    <w:rsid w:val="002B70B9"/>
    <w:rsid w:val="002B74AB"/>
    <w:rsid w:val="002B7599"/>
    <w:rsid w:val="002B76E0"/>
    <w:rsid w:val="002B7802"/>
    <w:rsid w:val="002B793A"/>
    <w:rsid w:val="002B7A5F"/>
    <w:rsid w:val="002B7A65"/>
    <w:rsid w:val="002B7AEB"/>
    <w:rsid w:val="002B7E5A"/>
    <w:rsid w:val="002C0010"/>
    <w:rsid w:val="002C0116"/>
    <w:rsid w:val="002C024F"/>
    <w:rsid w:val="002C03BF"/>
    <w:rsid w:val="002C03C6"/>
    <w:rsid w:val="002C0431"/>
    <w:rsid w:val="002C0672"/>
    <w:rsid w:val="002C06A5"/>
    <w:rsid w:val="002C06B2"/>
    <w:rsid w:val="002C0966"/>
    <w:rsid w:val="002C0A64"/>
    <w:rsid w:val="002C0FB0"/>
    <w:rsid w:val="002C1046"/>
    <w:rsid w:val="002C11A8"/>
    <w:rsid w:val="002C17D2"/>
    <w:rsid w:val="002C1960"/>
    <w:rsid w:val="002C199F"/>
    <w:rsid w:val="002C1C25"/>
    <w:rsid w:val="002C1D6B"/>
    <w:rsid w:val="002C1D74"/>
    <w:rsid w:val="002C1F78"/>
    <w:rsid w:val="002C222C"/>
    <w:rsid w:val="002C2269"/>
    <w:rsid w:val="002C25BD"/>
    <w:rsid w:val="002C293D"/>
    <w:rsid w:val="002C2CD3"/>
    <w:rsid w:val="002C2EBB"/>
    <w:rsid w:val="002C302F"/>
    <w:rsid w:val="002C31D4"/>
    <w:rsid w:val="002C33DF"/>
    <w:rsid w:val="002C3525"/>
    <w:rsid w:val="002C35EF"/>
    <w:rsid w:val="002C36DA"/>
    <w:rsid w:val="002C375F"/>
    <w:rsid w:val="002C3958"/>
    <w:rsid w:val="002C3A3B"/>
    <w:rsid w:val="002C3A48"/>
    <w:rsid w:val="002C3B01"/>
    <w:rsid w:val="002C3D65"/>
    <w:rsid w:val="002C3D9B"/>
    <w:rsid w:val="002C4223"/>
    <w:rsid w:val="002C435C"/>
    <w:rsid w:val="002C440E"/>
    <w:rsid w:val="002C44E3"/>
    <w:rsid w:val="002C45D1"/>
    <w:rsid w:val="002C4609"/>
    <w:rsid w:val="002C472E"/>
    <w:rsid w:val="002C4C63"/>
    <w:rsid w:val="002C4D1D"/>
    <w:rsid w:val="002C4D21"/>
    <w:rsid w:val="002C4DEC"/>
    <w:rsid w:val="002C522A"/>
    <w:rsid w:val="002C55D8"/>
    <w:rsid w:val="002C5670"/>
    <w:rsid w:val="002C5820"/>
    <w:rsid w:val="002C582E"/>
    <w:rsid w:val="002C5AC7"/>
    <w:rsid w:val="002C5C7A"/>
    <w:rsid w:val="002C5CFC"/>
    <w:rsid w:val="002C5D03"/>
    <w:rsid w:val="002C5D57"/>
    <w:rsid w:val="002C5E6B"/>
    <w:rsid w:val="002C5E92"/>
    <w:rsid w:val="002C5EB7"/>
    <w:rsid w:val="002C61AF"/>
    <w:rsid w:val="002C6444"/>
    <w:rsid w:val="002C64A2"/>
    <w:rsid w:val="002C64EB"/>
    <w:rsid w:val="002C651D"/>
    <w:rsid w:val="002C6677"/>
    <w:rsid w:val="002C671B"/>
    <w:rsid w:val="002C699E"/>
    <w:rsid w:val="002C69EB"/>
    <w:rsid w:val="002C69EF"/>
    <w:rsid w:val="002C6AA1"/>
    <w:rsid w:val="002C6E49"/>
    <w:rsid w:val="002C6E69"/>
    <w:rsid w:val="002C6EBC"/>
    <w:rsid w:val="002C6EEB"/>
    <w:rsid w:val="002C6FBA"/>
    <w:rsid w:val="002C6FC1"/>
    <w:rsid w:val="002C7095"/>
    <w:rsid w:val="002C70D7"/>
    <w:rsid w:val="002C7160"/>
    <w:rsid w:val="002C71F3"/>
    <w:rsid w:val="002C7227"/>
    <w:rsid w:val="002C7393"/>
    <w:rsid w:val="002C73A8"/>
    <w:rsid w:val="002C74FF"/>
    <w:rsid w:val="002C7534"/>
    <w:rsid w:val="002C77BC"/>
    <w:rsid w:val="002C77F6"/>
    <w:rsid w:val="002C7B71"/>
    <w:rsid w:val="002C7C0D"/>
    <w:rsid w:val="002C7D78"/>
    <w:rsid w:val="002C7DBE"/>
    <w:rsid w:val="002C7EC0"/>
    <w:rsid w:val="002D0070"/>
    <w:rsid w:val="002D01DE"/>
    <w:rsid w:val="002D0495"/>
    <w:rsid w:val="002D052D"/>
    <w:rsid w:val="002D052E"/>
    <w:rsid w:val="002D06E9"/>
    <w:rsid w:val="002D0768"/>
    <w:rsid w:val="002D07D6"/>
    <w:rsid w:val="002D08F1"/>
    <w:rsid w:val="002D0BEB"/>
    <w:rsid w:val="002D0ED5"/>
    <w:rsid w:val="002D0FC5"/>
    <w:rsid w:val="002D0FED"/>
    <w:rsid w:val="002D1060"/>
    <w:rsid w:val="002D10EE"/>
    <w:rsid w:val="002D1103"/>
    <w:rsid w:val="002D110A"/>
    <w:rsid w:val="002D13A6"/>
    <w:rsid w:val="002D13D3"/>
    <w:rsid w:val="002D15D5"/>
    <w:rsid w:val="002D177A"/>
    <w:rsid w:val="002D17D5"/>
    <w:rsid w:val="002D1BAB"/>
    <w:rsid w:val="002D1C6B"/>
    <w:rsid w:val="002D1D0F"/>
    <w:rsid w:val="002D1F60"/>
    <w:rsid w:val="002D2096"/>
    <w:rsid w:val="002D222A"/>
    <w:rsid w:val="002D2295"/>
    <w:rsid w:val="002D241B"/>
    <w:rsid w:val="002D25B6"/>
    <w:rsid w:val="002D287A"/>
    <w:rsid w:val="002D295A"/>
    <w:rsid w:val="002D29C3"/>
    <w:rsid w:val="002D2D18"/>
    <w:rsid w:val="002D2D9F"/>
    <w:rsid w:val="002D2E0B"/>
    <w:rsid w:val="002D2E93"/>
    <w:rsid w:val="002D2F93"/>
    <w:rsid w:val="002D3079"/>
    <w:rsid w:val="002D30E0"/>
    <w:rsid w:val="002D323A"/>
    <w:rsid w:val="002D3304"/>
    <w:rsid w:val="002D3366"/>
    <w:rsid w:val="002D346E"/>
    <w:rsid w:val="002D3480"/>
    <w:rsid w:val="002D35C9"/>
    <w:rsid w:val="002D35E7"/>
    <w:rsid w:val="002D36E6"/>
    <w:rsid w:val="002D36FE"/>
    <w:rsid w:val="002D3745"/>
    <w:rsid w:val="002D37EB"/>
    <w:rsid w:val="002D3B77"/>
    <w:rsid w:val="002D3B78"/>
    <w:rsid w:val="002D3BC0"/>
    <w:rsid w:val="002D3C59"/>
    <w:rsid w:val="002D3EAC"/>
    <w:rsid w:val="002D41A9"/>
    <w:rsid w:val="002D45C7"/>
    <w:rsid w:val="002D478B"/>
    <w:rsid w:val="002D4925"/>
    <w:rsid w:val="002D4B7E"/>
    <w:rsid w:val="002D4D0E"/>
    <w:rsid w:val="002D4D8B"/>
    <w:rsid w:val="002D4D8F"/>
    <w:rsid w:val="002D4E76"/>
    <w:rsid w:val="002D4EB7"/>
    <w:rsid w:val="002D4FF7"/>
    <w:rsid w:val="002D500B"/>
    <w:rsid w:val="002D50FA"/>
    <w:rsid w:val="002D51FA"/>
    <w:rsid w:val="002D53BB"/>
    <w:rsid w:val="002D5450"/>
    <w:rsid w:val="002D54AC"/>
    <w:rsid w:val="002D54AE"/>
    <w:rsid w:val="002D5664"/>
    <w:rsid w:val="002D597B"/>
    <w:rsid w:val="002D599D"/>
    <w:rsid w:val="002D5C65"/>
    <w:rsid w:val="002D5D12"/>
    <w:rsid w:val="002D5EBC"/>
    <w:rsid w:val="002D5F67"/>
    <w:rsid w:val="002D606D"/>
    <w:rsid w:val="002D611D"/>
    <w:rsid w:val="002D6146"/>
    <w:rsid w:val="002D6466"/>
    <w:rsid w:val="002D664C"/>
    <w:rsid w:val="002D66BA"/>
    <w:rsid w:val="002D66C7"/>
    <w:rsid w:val="002D682D"/>
    <w:rsid w:val="002D6880"/>
    <w:rsid w:val="002D6904"/>
    <w:rsid w:val="002D69E8"/>
    <w:rsid w:val="002D6A3D"/>
    <w:rsid w:val="002D6A53"/>
    <w:rsid w:val="002D6B01"/>
    <w:rsid w:val="002D6B2F"/>
    <w:rsid w:val="002D6B32"/>
    <w:rsid w:val="002D6D7A"/>
    <w:rsid w:val="002D6E28"/>
    <w:rsid w:val="002D6F3F"/>
    <w:rsid w:val="002D7090"/>
    <w:rsid w:val="002D7387"/>
    <w:rsid w:val="002D75A7"/>
    <w:rsid w:val="002D75C1"/>
    <w:rsid w:val="002D7718"/>
    <w:rsid w:val="002D7913"/>
    <w:rsid w:val="002D7921"/>
    <w:rsid w:val="002D79E5"/>
    <w:rsid w:val="002D7A77"/>
    <w:rsid w:val="002D7BCB"/>
    <w:rsid w:val="002D7D09"/>
    <w:rsid w:val="002D7D0A"/>
    <w:rsid w:val="002D7D14"/>
    <w:rsid w:val="002D7D5D"/>
    <w:rsid w:val="002E023E"/>
    <w:rsid w:val="002E031F"/>
    <w:rsid w:val="002E0494"/>
    <w:rsid w:val="002E06FC"/>
    <w:rsid w:val="002E0701"/>
    <w:rsid w:val="002E0766"/>
    <w:rsid w:val="002E087B"/>
    <w:rsid w:val="002E0994"/>
    <w:rsid w:val="002E0B7A"/>
    <w:rsid w:val="002E0F02"/>
    <w:rsid w:val="002E0F1E"/>
    <w:rsid w:val="002E0FAC"/>
    <w:rsid w:val="002E0FC0"/>
    <w:rsid w:val="002E1247"/>
    <w:rsid w:val="002E147D"/>
    <w:rsid w:val="002E14B5"/>
    <w:rsid w:val="002E15F8"/>
    <w:rsid w:val="002E1817"/>
    <w:rsid w:val="002E1833"/>
    <w:rsid w:val="002E192D"/>
    <w:rsid w:val="002E1A10"/>
    <w:rsid w:val="002E1A50"/>
    <w:rsid w:val="002E1B55"/>
    <w:rsid w:val="002E1B96"/>
    <w:rsid w:val="002E1BFE"/>
    <w:rsid w:val="002E1CAC"/>
    <w:rsid w:val="002E1F50"/>
    <w:rsid w:val="002E201D"/>
    <w:rsid w:val="002E21CB"/>
    <w:rsid w:val="002E21DF"/>
    <w:rsid w:val="002E2326"/>
    <w:rsid w:val="002E23A1"/>
    <w:rsid w:val="002E23FB"/>
    <w:rsid w:val="002E2485"/>
    <w:rsid w:val="002E25F0"/>
    <w:rsid w:val="002E27E8"/>
    <w:rsid w:val="002E28F3"/>
    <w:rsid w:val="002E2A78"/>
    <w:rsid w:val="002E2B24"/>
    <w:rsid w:val="002E2B5B"/>
    <w:rsid w:val="002E2EBB"/>
    <w:rsid w:val="002E3088"/>
    <w:rsid w:val="002E30FA"/>
    <w:rsid w:val="002E32B3"/>
    <w:rsid w:val="002E3511"/>
    <w:rsid w:val="002E36B4"/>
    <w:rsid w:val="002E37B1"/>
    <w:rsid w:val="002E37EB"/>
    <w:rsid w:val="002E3962"/>
    <w:rsid w:val="002E3990"/>
    <w:rsid w:val="002E3ACD"/>
    <w:rsid w:val="002E3B75"/>
    <w:rsid w:val="002E3C01"/>
    <w:rsid w:val="002E3C51"/>
    <w:rsid w:val="002E4013"/>
    <w:rsid w:val="002E406D"/>
    <w:rsid w:val="002E4092"/>
    <w:rsid w:val="002E41F6"/>
    <w:rsid w:val="002E4272"/>
    <w:rsid w:val="002E449F"/>
    <w:rsid w:val="002E44E3"/>
    <w:rsid w:val="002E4579"/>
    <w:rsid w:val="002E45E3"/>
    <w:rsid w:val="002E462B"/>
    <w:rsid w:val="002E4708"/>
    <w:rsid w:val="002E490D"/>
    <w:rsid w:val="002E4C38"/>
    <w:rsid w:val="002E4F63"/>
    <w:rsid w:val="002E504F"/>
    <w:rsid w:val="002E50CB"/>
    <w:rsid w:val="002E521E"/>
    <w:rsid w:val="002E5338"/>
    <w:rsid w:val="002E5456"/>
    <w:rsid w:val="002E5466"/>
    <w:rsid w:val="002E5476"/>
    <w:rsid w:val="002E5564"/>
    <w:rsid w:val="002E557C"/>
    <w:rsid w:val="002E55C2"/>
    <w:rsid w:val="002E565D"/>
    <w:rsid w:val="002E56BA"/>
    <w:rsid w:val="002E583B"/>
    <w:rsid w:val="002E588D"/>
    <w:rsid w:val="002E5970"/>
    <w:rsid w:val="002E5A56"/>
    <w:rsid w:val="002E5D97"/>
    <w:rsid w:val="002E5E60"/>
    <w:rsid w:val="002E5FDC"/>
    <w:rsid w:val="002E600A"/>
    <w:rsid w:val="002E6033"/>
    <w:rsid w:val="002E613C"/>
    <w:rsid w:val="002E62B7"/>
    <w:rsid w:val="002E6331"/>
    <w:rsid w:val="002E63D2"/>
    <w:rsid w:val="002E6401"/>
    <w:rsid w:val="002E6478"/>
    <w:rsid w:val="002E6499"/>
    <w:rsid w:val="002E64A0"/>
    <w:rsid w:val="002E6640"/>
    <w:rsid w:val="002E66D4"/>
    <w:rsid w:val="002E6814"/>
    <w:rsid w:val="002E6870"/>
    <w:rsid w:val="002E6938"/>
    <w:rsid w:val="002E69DE"/>
    <w:rsid w:val="002E6C3F"/>
    <w:rsid w:val="002E6E07"/>
    <w:rsid w:val="002E6FCA"/>
    <w:rsid w:val="002E7110"/>
    <w:rsid w:val="002E737C"/>
    <w:rsid w:val="002E7446"/>
    <w:rsid w:val="002E744C"/>
    <w:rsid w:val="002E7459"/>
    <w:rsid w:val="002E745E"/>
    <w:rsid w:val="002E746C"/>
    <w:rsid w:val="002E74C6"/>
    <w:rsid w:val="002E764E"/>
    <w:rsid w:val="002E779F"/>
    <w:rsid w:val="002E79FB"/>
    <w:rsid w:val="002E7A7C"/>
    <w:rsid w:val="002E7C64"/>
    <w:rsid w:val="002E7D12"/>
    <w:rsid w:val="002E7E3D"/>
    <w:rsid w:val="002F0109"/>
    <w:rsid w:val="002F01A1"/>
    <w:rsid w:val="002F01B1"/>
    <w:rsid w:val="002F028D"/>
    <w:rsid w:val="002F03B5"/>
    <w:rsid w:val="002F04F2"/>
    <w:rsid w:val="002F0507"/>
    <w:rsid w:val="002F064F"/>
    <w:rsid w:val="002F08FF"/>
    <w:rsid w:val="002F09D6"/>
    <w:rsid w:val="002F0BF4"/>
    <w:rsid w:val="002F0C0F"/>
    <w:rsid w:val="002F0D94"/>
    <w:rsid w:val="002F0ED3"/>
    <w:rsid w:val="002F0FBC"/>
    <w:rsid w:val="002F108A"/>
    <w:rsid w:val="002F108C"/>
    <w:rsid w:val="002F1392"/>
    <w:rsid w:val="002F143D"/>
    <w:rsid w:val="002F154C"/>
    <w:rsid w:val="002F16BF"/>
    <w:rsid w:val="002F189D"/>
    <w:rsid w:val="002F199A"/>
    <w:rsid w:val="002F19E9"/>
    <w:rsid w:val="002F1A56"/>
    <w:rsid w:val="002F1C95"/>
    <w:rsid w:val="002F1C9D"/>
    <w:rsid w:val="002F1CFC"/>
    <w:rsid w:val="002F1F2E"/>
    <w:rsid w:val="002F1FD7"/>
    <w:rsid w:val="002F2165"/>
    <w:rsid w:val="002F2261"/>
    <w:rsid w:val="002F22D7"/>
    <w:rsid w:val="002F2512"/>
    <w:rsid w:val="002F2625"/>
    <w:rsid w:val="002F26E2"/>
    <w:rsid w:val="002F2B5B"/>
    <w:rsid w:val="002F2B5F"/>
    <w:rsid w:val="002F2B7B"/>
    <w:rsid w:val="002F2B84"/>
    <w:rsid w:val="002F2C15"/>
    <w:rsid w:val="002F2F86"/>
    <w:rsid w:val="002F2FF4"/>
    <w:rsid w:val="002F3017"/>
    <w:rsid w:val="002F30AD"/>
    <w:rsid w:val="002F30BA"/>
    <w:rsid w:val="002F3286"/>
    <w:rsid w:val="002F3404"/>
    <w:rsid w:val="002F344A"/>
    <w:rsid w:val="002F35E9"/>
    <w:rsid w:val="002F369C"/>
    <w:rsid w:val="002F3832"/>
    <w:rsid w:val="002F38AB"/>
    <w:rsid w:val="002F38BC"/>
    <w:rsid w:val="002F38C5"/>
    <w:rsid w:val="002F3A3A"/>
    <w:rsid w:val="002F3B21"/>
    <w:rsid w:val="002F3B3F"/>
    <w:rsid w:val="002F3C43"/>
    <w:rsid w:val="002F3CCB"/>
    <w:rsid w:val="002F3FB3"/>
    <w:rsid w:val="002F42DE"/>
    <w:rsid w:val="002F469C"/>
    <w:rsid w:val="002F473D"/>
    <w:rsid w:val="002F49E3"/>
    <w:rsid w:val="002F49F4"/>
    <w:rsid w:val="002F4A9D"/>
    <w:rsid w:val="002F4AB4"/>
    <w:rsid w:val="002F4B60"/>
    <w:rsid w:val="002F4B8C"/>
    <w:rsid w:val="002F4BBC"/>
    <w:rsid w:val="002F4CD4"/>
    <w:rsid w:val="002F4D01"/>
    <w:rsid w:val="002F4D65"/>
    <w:rsid w:val="002F4EB1"/>
    <w:rsid w:val="002F4F39"/>
    <w:rsid w:val="002F4FFD"/>
    <w:rsid w:val="002F5241"/>
    <w:rsid w:val="002F52AE"/>
    <w:rsid w:val="002F535E"/>
    <w:rsid w:val="002F55BD"/>
    <w:rsid w:val="002F5633"/>
    <w:rsid w:val="002F56B9"/>
    <w:rsid w:val="002F59B6"/>
    <w:rsid w:val="002F5B5D"/>
    <w:rsid w:val="002F5BD6"/>
    <w:rsid w:val="002F5C37"/>
    <w:rsid w:val="002F5C68"/>
    <w:rsid w:val="002F620E"/>
    <w:rsid w:val="002F623E"/>
    <w:rsid w:val="002F62FA"/>
    <w:rsid w:val="002F6883"/>
    <w:rsid w:val="002F689A"/>
    <w:rsid w:val="002F6903"/>
    <w:rsid w:val="002F6A50"/>
    <w:rsid w:val="002F6B1C"/>
    <w:rsid w:val="002F6F10"/>
    <w:rsid w:val="002F7358"/>
    <w:rsid w:val="002F74F7"/>
    <w:rsid w:val="002F7A90"/>
    <w:rsid w:val="002F7C9F"/>
    <w:rsid w:val="002F7CB0"/>
    <w:rsid w:val="002F7DBD"/>
    <w:rsid w:val="0030000B"/>
    <w:rsid w:val="003000C9"/>
    <w:rsid w:val="003001FB"/>
    <w:rsid w:val="0030050F"/>
    <w:rsid w:val="003005AA"/>
    <w:rsid w:val="00300790"/>
    <w:rsid w:val="003008A9"/>
    <w:rsid w:val="00300B14"/>
    <w:rsid w:val="00300B24"/>
    <w:rsid w:val="00300BA1"/>
    <w:rsid w:val="00300BA4"/>
    <w:rsid w:val="00300D53"/>
    <w:rsid w:val="00300E09"/>
    <w:rsid w:val="00300ECC"/>
    <w:rsid w:val="00300F0C"/>
    <w:rsid w:val="00300FFF"/>
    <w:rsid w:val="00301062"/>
    <w:rsid w:val="003010A0"/>
    <w:rsid w:val="0030131F"/>
    <w:rsid w:val="003013F4"/>
    <w:rsid w:val="00301436"/>
    <w:rsid w:val="003014AE"/>
    <w:rsid w:val="0030168C"/>
    <w:rsid w:val="003016AA"/>
    <w:rsid w:val="003016D0"/>
    <w:rsid w:val="00301817"/>
    <w:rsid w:val="0030188E"/>
    <w:rsid w:val="0030192D"/>
    <w:rsid w:val="00301B45"/>
    <w:rsid w:val="00301C6D"/>
    <w:rsid w:val="00301D4E"/>
    <w:rsid w:val="00301E16"/>
    <w:rsid w:val="00301E63"/>
    <w:rsid w:val="00302216"/>
    <w:rsid w:val="003022B9"/>
    <w:rsid w:val="0030244C"/>
    <w:rsid w:val="0030249F"/>
    <w:rsid w:val="003025BA"/>
    <w:rsid w:val="00302B78"/>
    <w:rsid w:val="00302BE7"/>
    <w:rsid w:val="00302FC7"/>
    <w:rsid w:val="00303149"/>
    <w:rsid w:val="003036F9"/>
    <w:rsid w:val="003037C0"/>
    <w:rsid w:val="0030385A"/>
    <w:rsid w:val="00303892"/>
    <w:rsid w:val="003039ED"/>
    <w:rsid w:val="00303C09"/>
    <w:rsid w:val="00303CCD"/>
    <w:rsid w:val="00303E63"/>
    <w:rsid w:val="00303F70"/>
    <w:rsid w:val="003040BE"/>
    <w:rsid w:val="003040E5"/>
    <w:rsid w:val="0030411B"/>
    <w:rsid w:val="00304258"/>
    <w:rsid w:val="003045A7"/>
    <w:rsid w:val="003045C0"/>
    <w:rsid w:val="003047E1"/>
    <w:rsid w:val="0030490E"/>
    <w:rsid w:val="003049AF"/>
    <w:rsid w:val="00304B12"/>
    <w:rsid w:val="00304CD6"/>
    <w:rsid w:val="00304D19"/>
    <w:rsid w:val="00304D5B"/>
    <w:rsid w:val="00304D82"/>
    <w:rsid w:val="00304F62"/>
    <w:rsid w:val="00305030"/>
    <w:rsid w:val="0030506A"/>
    <w:rsid w:val="00305252"/>
    <w:rsid w:val="003054F5"/>
    <w:rsid w:val="0030566D"/>
    <w:rsid w:val="00305675"/>
    <w:rsid w:val="0030575B"/>
    <w:rsid w:val="00305779"/>
    <w:rsid w:val="003057AB"/>
    <w:rsid w:val="00305852"/>
    <w:rsid w:val="003058AD"/>
    <w:rsid w:val="00305917"/>
    <w:rsid w:val="003059E9"/>
    <w:rsid w:val="00305BF6"/>
    <w:rsid w:val="00305C35"/>
    <w:rsid w:val="00305CFD"/>
    <w:rsid w:val="00305D35"/>
    <w:rsid w:val="00305EB0"/>
    <w:rsid w:val="00305ED4"/>
    <w:rsid w:val="00306073"/>
    <w:rsid w:val="00306169"/>
    <w:rsid w:val="00306325"/>
    <w:rsid w:val="00306378"/>
    <w:rsid w:val="0030655D"/>
    <w:rsid w:val="0030665C"/>
    <w:rsid w:val="00306C23"/>
    <w:rsid w:val="00306E15"/>
    <w:rsid w:val="00306EFE"/>
    <w:rsid w:val="00306FDC"/>
    <w:rsid w:val="0030714E"/>
    <w:rsid w:val="0030728D"/>
    <w:rsid w:val="0030756F"/>
    <w:rsid w:val="00307580"/>
    <w:rsid w:val="00307655"/>
    <w:rsid w:val="0030774E"/>
    <w:rsid w:val="003077B0"/>
    <w:rsid w:val="00307A1A"/>
    <w:rsid w:val="00307A57"/>
    <w:rsid w:val="00307AA3"/>
    <w:rsid w:val="00307C25"/>
    <w:rsid w:val="00307D3B"/>
    <w:rsid w:val="00307D8A"/>
    <w:rsid w:val="00307FC5"/>
    <w:rsid w:val="0031016E"/>
    <w:rsid w:val="003101AE"/>
    <w:rsid w:val="003104E0"/>
    <w:rsid w:val="00310536"/>
    <w:rsid w:val="0031067D"/>
    <w:rsid w:val="00310724"/>
    <w:rsid w:val="00310D53"/>
    <w:rsid w:val="00310D93"/>
    <w:rsid w:val="00310DA9"/>
    <w:rsid w:val="00310EC7"/>
    <w:rsid w:val="00310FBD"/>
    <w:rsid w:val="00310FBF"/>
    <w:rsid w:val="003110BE"/>
    <w:rsid w:val="003111E3"/>
    <w:rsid w:val="0031127C"/>
    <w:rsid w:val="003112E3"/>
    <w:rsid w:val="003112EC"/>
    <w:rsid w:val="003115CB"/>
    <w:rsid w:val="00311658"/>
    <w:rsid w:val="00311696"/>
    <w:rsid w:val="00311727"/>
    <w:rsid w:val="00311746"/>
    <w:rsid w:val="00311842"/>
    <w:rsid w:val="00311A8C"/>
    <w:rsid w:val="00311C18"/>
    <w:rsid w:val="00311D97"/>
    <w:rsid w:val="00311E05"/>
    <w:rsid w:val="00311F28"/>
    <w:rsid w:val="003120EA"/>
    <w:rsid w:val="00312396"/>
    <w:rsid w:val="0031243B"/>
    <w:rsid w:val="003126E2"/>
    <w:rsid w:val="003126F7"/>
    <w:rsid w:val="00312824"/>
    <w:rsid w:val="003129B7"/>
    <w:rsid w:val="00312F75"/>
    <w:rsid w:val="003130DA"/>
    <w:rsid w:val="003132D1"/>
    <w:rsid w:val="0031346E"/>
    <w:rsid w:val="0031353B"/>
    <w:rsid w:val="0031358E"/>
    <w:rsid w:val="003136CB"/>
    <w:rsid w:val="00313718"/>
    <w:rsid w:val="00313913"/>
    <w:rsid w:val="0031395C"/>
    <w:rsid w:val="003139B5"/>
    <w:rsid w:val="00313AF4"/>
    <w:rsid w:val="00313B53"/>
    <w:rsid w:val="00313C6B"/>
    <w:rsid w:val="00313CCE"/>
    <w:rsid w:val="00313E4B"/>
    <w:rsid w:val="00313FAA"/>
    <w:rsid w:val="00314272"/>
    <w:rsid w:val="003143D1"/>
    <w:rsid w:val="003143F4"/>
    <w:rsid w:val="003148F8"/>
    <w:rsid w:val="00314A17"/>
    <w:rsid w:val="00314B0A"/>
    <w:rsid w:val="00314B7E"/>
    <w:rsid w:val="00314CAA"/>
    <w:rsid w:val="00314CDF"/>
    <w:rsid w:val="00314CFE"/>
    <w:rsid w:val="00314D3C"/>
    <w:rsid w:val="00314DD3"/>
    <w:rsid w:val="00314FF8"/>
    <w:rsid w:val="0031517A"/>
    <w:rsid w:val="0031567E"/>
    <w:rsid w:val="00315681"/>
    <w:rsid w:val="00315752"/>
    <w:rsid w:val="00315782"/>
    <w:rsid w:val="003157EC"/>
    <w:rsid w:val="00315879"/>
    <w:rsid w:val="00315949"/>
    <w:rsid w:val="003159D0"/>
    <w:rsid w:val="00315A29"/>
    <w:rsid w:val="00315F5B"/>
    <w:rsid w:val="00315FC6"/>
    <w:rsid w:val="003160B9"/>
    <w:rsid w:val="0031627D"/>
    <w:rsid w:val="003162EB"/>
    <w:rsid w:val="0031636D"/>
    <w:rsid w:val="0031637B"/>
    <w:rsid w:val="00316397"/>
    <w:rsid w:val="00316443"/>
    <w:rsid w:val="0031660E"/>
    <w:rsid w:val="003166F0"/>
    <w:rsid w:val="00316755"/>
    <w:rsid w:val="0031678E"/>
    <w:rsid w:val="00316816"/>
    <w:rsid w:val="00316C62"/>
    <w:rsid w:val="00316D3A"/>
    <w:rsid w:val="00316E30"/>
    <w:rsid w:val="00316EC9"/>
    <w:rsid w:val="00316F58"/>
    <w:rsid w:val="00316FE2"/>
    <w:rsid w:val="003172EB"/>
    <w:rsid w:val="00317348"/>
    <w:rsid w:val="003173E3"/>
    <w:rsid w:val="00317453"/>
    <w:rsid w:val="00317503"/>
    <w:rsid w:val="0031755E"/>
    <w:rsid w:val="0031757F"/>
    <w:rsid w:val="00317730"/>
    <w:rsid w:val="003179B0"/>
    <w:rsid w:val="003179E8"/>
    <w:rsid w:val="00317B09"/>
    <w:rsid w:val="00317CCE"/>
    <w:rsid w:val="00317D88"/>
    <w:rsid w:val="00317E0E"/>
    <w:rsid w:val="00317FAF"/>
    <w:rsid w:val="00320040"/>
    <w:rsid w:val="0032010A"/>
    <w:rsid w:val="00320261"/>
    <w:rsid w:val="0032046B"/>
    <w:rsid w:val="003204A8"/>
    <w:rsid w:val="003205E2"/>
    <w:rsid w:val="00320832"/>
    <w:rsid w:val="003209C0"/>
    <w:rsid w:val="00320A55"/>
    <w:rsid w:val="00320B46"/>
    <w:rsid w:val="00320B53"/>
    <w:rsid w:val="00320C05"/>
    <w:rsid w:val="00320CE3"/>
    <w:rsid w:val="00320DB6"/>
    <w:rsid w:val="00320FB3"/>
    <w:rsid w:val="0032109C"/>
    <w:rsid w:val="00321312"/>
    <w:rsid w:val="00321501"/>
    <w:rsid w:val="0032153F"/>
    <w:rsid w:val="003215E4"/>
    <w:rsid w:val="00321669"/>
    <w:rsid w:val="003216EF"/>
    <w:rsid w:val="003217E8"/>
    <w:rsid w:val="00321B4D"/>
    <w:rsid w:val="00321D10"/>
    <w:rsid w:val="003220EC"/>
    <w:rsid w:val="003222C8"/>
    <w:rsid w:val="00322314"/>
    <w:rsid w:val="00322377"/>
    <w:rsid w:val="00322457"/>
    <w:rsid w:val="003225C7"/>
    <w:rsid w:val="00322792"/>
    <w:rsid w:val="00322847"/>
    <w:rsid w:val="0032290B"/>
    <w:rsid w:val="00322A4E"/>
    <w:rsid w:val="00322AE4"/>
    <w:rsid w:val="00322AF8"/>
    <w:rsid w:val="00322B17"/>
    <w:rsid w:val="00322CE5"/>
    <w:rsid w:val="00322EB5"/>
    <w:rsid w:val="003231A8"/>
    <w:rsid w:val="00323215"/>
    <w:rsid w:val="0032323C"/>
    <w:rsid w:val="00323319"/>
    <w:rsid w:val="003233F5"/>
    <w:rsid w:val="0032344E"/>
    <w:rsid w:val="003234FD"/>
    <w:rsid w:val="0032395A"/>
    <w:rsid w:val="003239CC"/>
    <w:rsid w:val="00323A12"/>
    <w:rsid w:val="00323D63"/>
    <w:rsid w:val="00323EDD"/>
    <w:rsid w:val="00323EF9"/>
    <w:rsid w:val="003241C3"/>
    <w:rsid w:val="003241D9"/>
    <w:rsid w:val="00324296"/>
    <w:rsid w:val="003242AA"/>
    <w:rsid w:val="003242F8"/>
    <w:rsid w:val="00324472"/>
    <w:rsid w:val="0032449C"/>
    <w:rsid w:val="00324562"/>
    <w:rsid w:val="00324585"/>
    <w:rsid w:val="0032459D"/>
    <w:rsid w:val="0032479D"/>
    <w:rsid w:val="003247A8"/>
    <w:rsid w:val="00324901"/>
    <w:rsid w:val="00324987"/>
    <w:rsid w:val="003249D4"/>
    <w:rsid w:val="00324D5B"/>
    <w:rsid w:val="00324D87"/>
    <w:rsid w:val="00324DBB"/>
    <w:rsid w:val="00324E7A"/>
    <w:rsid w:val="00324FB1"/>
    <w:rsid w:val="00324FF6"/>
    <w:rsid w:val="00325082"/>
    <w:rsid w:val="00325141"/>
    <w:rsid w:val="003251CA"/>
    <w:rsid w:val="00325244"/>
    <w:rsid w:val="003252F5"/>
    <w:rsid w:val="00325423"/>
    <w:rsid w:val="00325857"/>
    <w:rsid w:val="00325DA7"/>
    <w:rsid w:val="00325E59"/>
    <w:rsid w:val="00325EE3"/>
    <w:rsid w:val="00326065"/>
    <w:rsid w:val="00326095"/>
    <w:rsid w:val="0032609E"/>
    <w:rsid w:val="00326163"/>
    <w:rsid w:val="003261F3"/>
    <w:rsid w:val="00326256"/>
    <w:rsid w:val="0032628D"/>
    <w:rsid w:val="00326335"/>
    <w:rsid w:val="00326395"/>
    <w:rsid w:val="00326537"/>
    <w:rsid w:val="0032693B"/>
    <w:rsid w:val="003269FF"/>
    <w:rsid w:val="00326AD4"/>
    <w:rsid w:val="00326B8D"/>
    <w:rsid w:val="00326CEF"/>
    <w:rsid w:val="00326DE7"/>
    <w:rsid w:val="00326E83"/>
    <w:rsid w:val="00327246"/>
    <w:rsid w:val="003273A5"/>
    <w:rsid w:val="003275E4"/>
    <w:rsid w:val="00327841"/>
    <w:rsid w:val="0032788C"/>
    <w:rsid w:val="003278F1"/>
    <w:rsid w:val="00327B03"/>
    <w:rsid w:val="00327B88"/>
    <w:rsid w:val="00327BA4"/>
    <w:rsid w:val="00327BF4"/>
    <w:rsid w:val="00327CB1"/>
    <w:rsid w:val="00327F38"/>
    <w:rsid w:val="00327F56"/>
    <w:rsid w:val="00327F7D"/>
    <w:rsid w:val="00330135"/>
    <w:rsid w:val="00330139"/>
    <w:rsid w:val="0033017F"/>
    <w:rsid w:val="00330200"/>
    <w:rsid w:val="0033029E"/>
    <w:rsid w:val="00330325"/>
    <w:rsid w:val="0033035E"/>
    <w:rsid w:val="00330454"/>
    <w:rsid w:val="0033058F"/>
    <w:rsid w:val="0033068E"/>
    <w:rsid w:val="003306FF"/>
    <w:rsid w:val="00330772"/>
    <w:rsid w:val="00330949"/>
    <w:rsid w:val="00330B9D"/>
    <w:rsid w:val="00330DC1"/>
    <w:rsid w:val="00330FCD"/>
    <w:rsid w:val="00331098"/>
    <w:rsid w:val="00331514"/>
    <w:rsid w:val="0033164E"/>
    <w:rsid w:val="003316B4"/>
    <w:rsid w:val="0033177A"/>
    <w:rsid w:val="00331999"/>
    <w:rsid w:val="003319A4"/>
    <w:rsid w:val="00331ABA"/>
    <w:rsid w:val="00331CEB"/>
    <w:rsid w:val="00331DED"/>
    <w:rsid w:val="00331E54"/>
    <w:rsid w:val="0033212C"/>
    <w:rsid w:val="0033233F"/>
    <w:rsid w:val="003323DF"/>
    <w:rsid w:val="00332562"/>
    <w:rsid w:val="00332685"/>
    <w:rsid w:val="0033285D"/>
    <w:rsid w:val="00332914"/>
    <w:rsid w:val="003329B3"/>
    <w:rsid w:val="00332A42"/>
    <w:rsid w:val="00332A8A"/>
    <w:rsid w:val="00332AED"/>
    <w:rsid w:val="00332B1C"/>
    <w:rsid w:val="00332D2A"/>
    <w:rsid w:val="00332D80"/>
    <w:rsid w:val="00332E13"/>
    <w:rsid w:val="00332EDC"/>
    <w:rsid w:val="00332FEE"/>
    <w:rsid w:val="00333052"/>
    <w:rsid w:val="003330D5"/>
    <w:rsid w:val="003330D9"/>
    <w:rsid w:val="003330DE"/>
    <w:rsid w:val="003331B0"/>
    <w:rsid w:val="003331EF"/>
    <w:rsid w:val="003332E3"/>
    <w:rsid w:val="003336F5"/>
    <w:rsid w:val="003337D1"/>
    <w:rsid w:val="00333AC7"/>
    <w:rsid w:val="00333B3A"/>
    <w:rsid w:val="00333BEE"/>
    <w:rsid w:val="00333C69"/>
    <w:rsid w:val="00333D1C"/>
    <w:rsid w:val="00333E15"/>
    <w:rsid w:val="00333FF0"/>
    <w:rsid w:val="0033412F"/>
    <w:rsid w:val="00334430"/>
    <w:rsid w:val="00334454"/>
    <w:rsid w:val="003344A3"/>
    <w:rsid w:val="0033450E"/>
    <w:rsid w:val="0033456D"/>
    <w:rsid w:val="00334A02"/>
    <w:rsid w:val="00334ABD"/>
    <w:rsid w:val="00334C29"/>
    <w:rsid w:val="00334C99"/>
    <w:rsid w:val="00334E85"/>
    <w:rsid w:val="003352E3"/>
    <w:rsid w:val="00335405"/>
    <w:rsid w:val="00335500"/>
    <w:rsid w:val="00335715"/>
    <w:rsid w:val="0033578F"/>
    <w:rsid w:val="00335B29"/>
    <w:rsid w:val="00335C52"/>
    <w:rsid w:val="00335D07"/>
    <w:rsid w:val="00335D56"/>
    <w:rsid w:val="00335F26"/>
    <w:rsid w:val="00336008"/>
    <w:rsid w:val="00336075"/>
    <w:rsid w:val="003361A8"/>
    <w:rsid w:val="003362BD"/>
    <w:rsid w:val="003364DA"/>
    <w:rsid w:val="0033680B"/>
    <w:rsid w:val="00336AE3"/>
    <w:rsid w:val="00336AF3"/>
    <w:rsid w:val="00336CAD"/>
    <w:rsid w:val="00336E85"/>
    <w:rsid w:val="00336E97"/>
    <w:rsid w:val="00337000"/>
    <w:rsid w:val="003370B4"/>
    <w:rsid w:val="00337111"/>
    <w:rsid w:val="003373CA"/>
    <w:rsid w:val="00337628"/>
    <w:rsid w:val="00337667"/>
    <w:rsid w:val="003377B0"/>
    <w:rsid w:val="003379D4"/>
    <w:rsid w:val="00337B65"/>
    <w:rsid w:val="00337B7B"/>
    <w:rsid w:val="00337DFF"/>
    <w:rsid w:val="00337E59"/>
    <w:rsid w:val="00337FDE"/>
    <w:rsid w:val="0034046F"/>
    <w:rsid w:val="003406A9"/>
    <w:rsid w:val="003406D6"/>
    <w:rsid w:val="0034094A"/>
    <w:rsid w:val="00340964"/>
    <w:rsid w:val="00340968"/>
    <w:rsid w:val="00340975"/>
    <w:rsid w:val="003409E9"/>
    <w:rsid w:val="00340A17"/>
    <w:rsid w:val="00340BF8"/>
    <w:rsid w:val="00340E07"/>
    <w:rsid w:val="00340E14"/>
    <w:rsid w:val="00341021"/>
    <w:rsid w:val="0034121D"/>
    <w:rsid w:val="0034123C"/>
    <w:rsid w:val="0034127B"/>
    <w:rsid w:val="00341384"/>
    <w:rsid w:val="003413B1"/>
    <w:rsid w:val="003413C0"/>
    <w:rsid w:val="00341458"/>
    <w:rsid w:val="00341558"/>
    <w:rsid w:val="003418EC"/>
    <w:rsid w:val="00341A2A"/>
    <w:rsid w:val="00341A36"/>
    <w:rsid w:val="00341A89"/>
    <w:rsid w:val="00341C76"/>
    <w:rsid w:val="00341D3D"/>
    <w:rsid w:val="00341EB1"/>
    <w:rsid w:val="00341FD7"/>
    <w:rsid w:val="00342277"/>
    <w:rsid w:val="003422C7"/>
    <w:rsid w:val="003423B9"/>
    <w:rsid w:val="0034262B"/>
    <w:rsid w:val="0034262E"/>
    <w:rsid w:val="003426A1"/>
    <w:rsid w:val="00342761"/>
    <w:rsid w:val="00342901"/>
    <w:rsid w:val="00342A51"/>
    <w:rsid w:val="00342AA5"/>
    <w:rsid w:val="00342BC9"/>
    <w:rsid w:val="00342FBF"/>
    <w:rsid w:val="003430CE"/>
    <w:rsid w:val="003430D3"/>
    <w:rsid w:val="00343255"/>
    <w:rsid w:val="0034333E"/>
    <w:rsid w:val="0034341D"/>
    <w:rsid w:val="00343459"/>
    <w:rsid w:val="0034361C"/>
    <w:rsid w:val="003436F2"/>
    <w:rsid w:val="003437B8"/>
    <w:rsid w:val="00343927"/>
    <w:rsid w:val="00343A35"/>
    <w:rsid w:val="00343A60"/>
    <w:rsid w:val="00343BA0"/>
    <w:rsid w:val="00343D39"/>
    <w:rsid w:val="00343E4B"/>
    <w:rsid w:val="00343F56"/>
    <w:rsid w:val="003440D8"/>
    <w:rsid w:val="00344196"/>
    <w:rsid w:val="00344205"/>
    <w:rsid w:val="0034421D"/>
    <w:rsid w:val="003442DE"/>
    <w:rsid w:val="003442EC"/>
    <w:rsid w:val="003443EA"/>
    <w:rsid w:val="00344435"/>
    <w:rsid w:val="0034456D"/>
    <w:rsid w:val="003446BB"/>
    <w:rsid w:val="00344713"/>
    <w:rsid w:val="0034477B"/>
    <w:rsid w:val="00344AAF"/>
    <w:rsid w:val="00344AEE"/>
    <w:rsid w:val="00344B80"/>
    <w:rsid w:val="00344BCD"/>
    <w:rsid w:val="00344E4F"/>
    <w:rsid w:val="0034504A"/>
    <w:rsid w:val="0034515F"/>
    <w:rsid w:val="003453A4"/>
    <w:rsid w:val="00345604"/>
    <w:rsid w:val="003456AB"/>
    <w:rsid w:val="00345714"/>
    <w:rsid w:val="00345769"/>
    <w:rsid w:val="003458C9"/>
    <w:rsid w:val="00345BA6"/>
    <w:rsid w:val="00345CCB"/>
    <w:rsid w:val="00345D94"/>
    <w:rsid w:val="00345DED"/>
    <w:rsid w:val="00345E99"/>
    <w:rsid w:val="00345EE8"/>
    <w:rsid w:val="00345FA4"/>
    <w:rsid w:val="00346420"/>
    <w:rsid w:val="003464B7"/>
    <w:rsid w:val="003465BB"/>
    <w:rsid w:val="00346953"/>
    <w:rsid w:val="00346A27"/>
    <w:rsid w:val="00346B3A"/>
    <w:rsid w:val="00346C84"/>
    <w:rsid w:val="00346D20"/>
    <w:rsid w:val="00346D99"/>
    <w:rsid w:val="00346FAD"/>
    <w:rsid w:val="00346FD8"/>
    <w:rsid w:val="0034747A"/>
    <w:rsid w:val="00347567"/>
    <w:rsid w:val="0034767A"/>
    <w:rsid w:val="00347797"/>
    <w:rsid w:val="00347904"/>
    <w:rsid w:val="00347C11"/>
    <w:rsid w:val="0035014F"/>
    <w:rsid w:val="0035020D"/>
    <w:rsid w:val="003502CE"/>
    <w:rsid w:val="0035034D"/>
    <w:rsid w:val="003504EA"/>
    <w:rsid w:val="003504FF"/>
    <w:rsid w:val="00350AFF"/>
    <w:rsid w:val="00350BD9"/>
    <w:rsid w:val="00351011"/>
    <w:rsid w:val="00351015"/>
    <w:rsid w:val="003510C7"/>
    <w:rsid w:val="0035127C"/>
    <w:rsid w:val="003512B0"/>
    <w:rsid w:val="00351668"/>
    <w:rsid w:val="00351887"/>
    <w:rsid w:val="003518FE"/>
    <w:rsid w:val="003519B7"/>
    <w:rsid w:val="00351AFC"/>
    <w:rsid w:val="00351B26"/>
    <w:rsid w:val="00351C4B"/>
    <w:rsid w:val="00351CB3"/>
    <w:rsid w:val="00351FCF"/>
    <w:rsid w:val="00352089"/>
    <w:rsid w:val="003520B5"/>
    <w:rsid w:val="00352500"/>
    <w:rsid w:val="003527D4"/>
    <w:rsid w:val="00352842"/>
    <w:rsid w:val="00352A31"/>
    <w:rsid w:val="00352C5B"/>
    <w:rsid w:val="00352C7D"/>
    <w:rsid w:val="00352CEB"/>
    <w:rsid w:val="00352E01"/>
    <w:rsid w:val="00352E85"/>
    <w:rsid w:val="00352EA3"/>
    <w:rsid w:val="00352F91"/>
    <w:rsid w:val="00353077"/>
    <w:rsid w:val="003530ED"/>
    <w:rsid w:val="0035313C"/>
    <w:rsid w:val="00353170"/>
    <w:rsid w:val="00353222"/>
    <w:rsid w:val="003532B6"/>
    <w:rsid w:val="003533F8"/>
    <w:rsid w:val="0035342B"/>
    <w:rsid w:val="0035353B"/>
    <w:rsid w:val="0035365C"/>
    <w:rsid w:val="0035381E"/>
    <w:rsid w:val="00353867"/>
    <w:rsid w:val="00353928"/>
    <w:rsid w:val="00353CE7"/>
    <w:rsid w:val="00353DA2"/>
    <w:rsid w:val="00353ECB"/>
    <w:rsid w:val="00353F0C"/>
    <w:rsid w:val="003540BC"/>
    <w:rsid w:val="0035416C"/>
    <w:rsid w:val="0035416D"/>
    <w:rsid w:val="003544D3"/>
    <w:rsid w:val="003545B3"/>
    <w:rsid w:val="00354787"/>
    <w:rsid w:val="00354A5B"/>
    <w:rsid w:val="00354AAC"/>
    <w:rsid w:val="00354AAD"/>
    <w:rsid w:val="00354AB0"/>
    <w:rsid w:val="00354C6F"/>
    <w:rsid w:val="00354D4B"/>
    <w:rsid w:val="00354EA2"/>
    <w:rsid w:val="00354F79"/>
    <w:rsid w:val="003550B4"/>
    <w:rsid w:val="00355201"/>
    <w:rsid w:val="0035528D"/>
    <w:rsid w:val="003554DC"/>
    <w:rsid w:val="00355518"/>
    <w:rsid w:val="00355572"/>
    <w:rsid w:val="00355838"/>
    <w:rsid w:val="00355938"/>
    <w:rsid w:val="00355B7F"/>
    <w:rsid w:val="00355C9D"/>
    <w:rsid w:val="00355D3C"/>
    <w:rsid w:val="00355E54"/>
    <w:rsid w:val="00356063"/>
    <w:rsid w:val="00356090"/>
    <w:rsid w:val="003562F1"/>
    <w:rsid w:val="00356531"/>
    <w:rsid w:val="00356591"/>
    <w:rsid w:val="003565E5"/>
    <w:rsid w:val="0035683E"/>
    <w:rsid w:val="00356AF3"/>
    <w:rsid w:val="00356E3F"/>
    <w:rsid w:val="00356F75"/>
    <w:rsid w:val="0035704B"/>
    <w:rsid w:val="003570D9"/>
    <w:rsid w:val="00357322"/>
    <w:rsid w:val="00357366"/>
    <w:rsid w:val="00357430"/>
    <w:rsid w:val="00357504"/>
    <w:rsid w:val="00357624"/>
    <w:rsid w:val="00357716"/>
    <w:rsid w:val="00357B18"/>
    <w:rsid w:val="00357B61"/>
    <w:rsid w:val="00357C5D"/>
    <w:rsid w:val="00357FEE"/>
    <w:rsid w:val="00360214"/>
    <w:rsid w:val="0036035E"/>
    <w:rsid w:val="00360463"/>
    <w:rsid w:val="00360493"/>
    <w:rsid w:val="00360735"/>
    <w:rsid w:val="00360739"/>
    <w:rsid w:val="00360844"/>
    <w:rsid w:val="00360865"/>
    <w:rsid w:val="003609CF"/>
    <w:rsid w:val="003609D9"/>
    <w:rsid w:val="003609E9"/>
    <w:rsid w:val="00360A0F"/>
    <w:rsid w:val="00360A7A"/>
    <w:rsid w:val="00360ABD"/>
    <w:rsid w:val="00360AC0"/>
    <w:rsid w:val="00360D07"/>
    <w:rsid w:val="00361054"/>
    <w:rsid w:val="0036137C"/>
    <w:rsid w:val="00361595"/>
    <w:rsid w:val="00361661"/>
    <w:rsid w:val="003616AC"/>
    <w:rsid w:val="003616F4"/>
    <w:rsid w:val="00361908"/>
    <w:rsid w:val="00361A5C"/>
    <w:rsid w:val="00361BC7"/>
    <w:rsid w:val="00361D89"/>
    <w:rsid w:val="00361DD0"/>
    <w:rsid w:val="0036201D"/>
    <w:rsid w:val="0036213C"/>
    <w:rsid w:val="0036255C"/>
    <w:rsid w:val="0036260C"/>
    <w:rsid w:val="0036264A"/>
    <w:rsid w:val="00362716"/>
    <w:rsid w:val="003627F9"/>
    <w:rsid w:val="00362BA3"/>
    <w:rsid w:val="00362BB2"/>
    <w:rsid w:val="003630C4"/>
    <w:rsid w:val="0036332F"/>
    <w:rsid w:val="0036338C"/>
    <w:rsid w:val="003633A0"/>
    <w:rsid w:val="003633D6"/>
    <w:rsid w:val="0036344F"/>
    <w:rsid w:val="00363554"/>
    <w:rsid w:val="0036378C"/>
    <w:rsid w:val="003637B0"/>
    <w:rsid w:val="003638AA"/>
    <w:rsid w:val="00363944"/>
    <w:rsid w:val="00363A86"/>
    <w:rsid w:val="00363AB2"/>
    <w:rsid w:val="00363C11"/>
    <w:rsid w:val="003640B7"/>
    <w:rsid w:val="00364119"/>
    <w:rsid w:val="003641CD"/>
    <w:rsid w:val="003642AA"/>
    <w:rsid w:val="0036433E"/>
    <w:rsid w:val="003643B4"/>
    <w:rsid w:val="00364523"/>
    <w:rsid w:val="0036472D"/>
    <w:rsid w:val="003648BA"/>
    <w:rsid w:val="003649A0"/>
    <w:rsid w:val="003649E0"/>
    <w:rsid w:val="003649EE"/>
    <w:rsid w:val="00364BBE"/>
    <w:rsid w:val="00364BDB"/>
    <w:rsid w:val="00364C73"/>
    <w:rsid w:val="00364D61"/>
    <w:rsid w:val="00364D70"/>
    <w:rsid w:val="00364E3A"/>
    <w:rsid w:val="00364E3F"/>
    <w:rsid w:val="0036506C"/>
    <w:rsid w:val="00365245"/>
    <w:rsid w:val="0036524D"/>
    <w:rsid w:val="0036527D"/>
    <w:rsid w:val="0036547A"/>
    <w:rsid w:val="00365583"/>
    <w:rsid w:val="003657C6"/>
    <w:rsid w:val="00365CC5"/>
    <w:rsid w:val="00365DB7"/>
    <w:rsid w:val="00365E3F"/>
    <w:rsid w:val="00365E50"/>
    <w:rsid w:val="00366003"/>
    <w:rsid w:val="00366189"/>
    <w:rsid w:val="003661F6"/>
    <w:rsid w:val="00366256"/>
    <w:rsid w:val="00366363"/>
    <w:rsid w:val="0036657C"/>
    <w:rsid w:val="00366626"/>
    <w:rsid w:val="0036674E"/>
    <w:rsid w:val="003667F8"/>
    <w:rsid w:val="0036694D"/>
    <w:rsid w:val="00366F1C"/>
    <w:rsid w:val="003670CD"/>
    <w:rsid w:val="003671A0"/>
    <w:rsid w:val="0036739F"/>
    <w:rsid w:val="00367905"/>
    <w:rsid w:val="00367978"/>
    <w:rsid w:val="00367C6F"/>
    <w:rsid w:val="00367CA7"/>
    <w:rsid w:val="00367DFF"/>
    <w:rsid w:val="00367E65"/>
    <w:rsid w:val="00367FE6"/>
    <w:rsid w:val="00370028"/>
    <w:rsid w:val="003701B9"/>
    <w:rsid w:val="0037029F"/>
    <w:rsid w:val="00370646"/>
    <w:rsid w:val="00370702"/>
    <w:rsid w:val="003708C5"/>
    <w:rsid w:val="00370A68"/>
    <w:rsid w:val="00370BC5"/>
    <w:rsid w:val="00370C0B"/>
    <w:rsid w:val="00370CC4"/>
    <w:rsid w:val="00370E99"/>
    <w:rsid w:val="00370EBE"/>
    <w:rsid w:val="00370F75"/>
    <w:rsid w:val="00370FC3"/>
    <w:rsid w:val="003710E4"/>
    <w:rsid w:val="0037111D"/>
    <w:rsid w:val="003711F9"/>
    <w:rsid w:val="003712C3"/>
    <w:rsid w:val="003712D0"/>
    <w:rsid w:val="003715B1"/>
    <w:rsid w:val="003715F1"/>
    <w:rsid w:val="0037169E"/>
    <w:rsid w:val="0037182E"/>
    <w:rsid w:val="00371891"/>
    <w:rsid w:val="00371BB2"/>
    <w:rsid w:val="00371ED5"/>
    <w:rsid w:val="00371EEC"/>
    <w:rsid w:val="00371FB7"/>
    <w:rsid w:val="00372108"/>
    <w:rsid w:val="00372195"/>
    <w:rsid w:val="003722D1"/>
    <w:rsid w:val="00372480"/>
    <w:rsid w:val="00372610"/>
    <w:rsid w:val="003727A8"/>
    <w:rsid w:val="00372962"/>
    <w:rsid w:val="00372977"/>
    <w:rsid w:val="00372A18"/>
    <w:rsid w:val="00372CA7"/>
    <w:rsid w:val="00372D35"/>
    <w:rsid w:val="00372ED7"/>
    <w:rsid w:val="00372FF5"/>
    <w:rsid w:val="00373487"/>
    <w:rsid w:val="003735F9"/>
    <w:rsid w:val="003738A0"/>
    <w:rsid w:val="003738AC"/>
    <w:rsid w:val="00373989"/>
    <w:rsid w:val="00373B4B"/>
    <w:rsid w:val="00373BEC"/>
    <w:rsid w:val="0037422F"/>
    <w:rsid w:val="00374868"/>
    <w:rsid w:val="003749BD"/>
    <w:rsid w:val="00374A20"/>
    <w:rsid w:val="00374A40"/>
    <w:rsid w:val="00374B12"/>
    <w:rsid w:val="00374CDF"/>
    <w:rsid w:val="00374D51"/>
    <w:rsid w:val="00374D5C"/>
    <w:rsid w:val="00374EA6"/>
    <w:rsid w:val="00374F2B"/>
    <w:rsid w:val="00374FB9"/>
    <w:rsid w:val="00375025"/>
    <w:rsid w:val="00375246"/>
    <w:rsid w:val="00375472"/>
    <w:rsid w:val="0037566F"/>
    <w:rsid w:val="00375741"/>
    <w:rsid w:val="00375742"/>
    <w:rsid w:val="0037577F"/>
    <w:rsid w:val="003757BF"/>
    <w:rsid w:val="00375825"/>
    <w:rsid w:val="00375835"/>
    <w:rsid w:val="003758E2"/>
    <w:rsid w:val="00375D5C"/>
    <w:rsid w:val="00376170"/>
    <w:rsid w:val="0037620D"/>
    <w:rsid w:val="003762CB"/>
    <w:rsid w:val="00376383"/>
    <w:rsid w:val="0037639A"/>
    <w:rsid w:val="00376442"/>
    <w:rsid w:val="00376501"/>
    <w:rsid w:val="003765C5"/>
    <w:rsid w:val="00376681"/>
    <w:rsid w:val="00376760"/>
    <w:rsid w:val="003769B3"/>
    <w:rsid w:val="003769FA"/>
    <w:rsid w:val="00376BE3"/>
    <w:rsid w:val="00376C96"/>
    <w:rsid w:val="00376D27"/>
    <w:rsid w:val="00376EA1"/>
    <w:rsid w:val="003771D4"/>
    <w:rsid w:val="003772E3"/>
    <w:rsid w:val="003773E4"/>
    <w:rsid w:val="00377444"/>
    <w:rsid w:val="003775F8"/>
    <w:rsid w:val="00377641"/>
    <w:rsid w:val="00377941"/>
    <w:rsid w:val="00377A34"/>
    <w:rsid w:val="00377AEF"/>
    <w:rsid w:val="00377C1C"/>
    <w:rsid w:val="00377C9F"/>
    <w:rsid w:val="00377FB3"/>
    <w:rsid w:val="00377FE8"/>
    <w:rsid w:val="003800A5"/>
    <w:rsid w:val="00380141"/>
    <w:rsid w:val="003801D5"/>
    <w:rsid w:val="00380259"/>
    <w:rsid w:val="00380268"/>
    <w:rsid w:val="0038066C"/>
    <w:rsid w:val="0038067F"/>
    <w:rsid w:val="00380800"/>
    <w:rsid w:val="00380975"/>
    <w:rsid w:val="003809E6"/>
    <w:rsid w:val="00380CE3"/>
    <w:rsid w:val="00380E89"/>
    <w:rsid w:val="00380F58"/>
    <w:rsid w:val="00380F7A"/>
    <w:rsid w:val="0038101B"/>
    <w:rsid w:val="003810E8"/>
    <w:rsid w:val="003810FF"/>
    <w:rsid w:val="003811EA"/>
    <w:rsid w:val="00381247"/>
    <w:rsid w:val="0038137A"/>
    <w:rsid w:val="0038139E"/>
    <w:rsid w:val="00381471"/>
    <w:rsid w:val="003815A5"/>
    <w:rsid w:val="003817AC"/>
    <w:rsid w:val="003817DD"/>
    <w:rsid w:val="00381B5A"/>
    <w:rsid w:val="00381C85"/>
    <w:rsid w:val="00381D14"/>
    <w:rsid w:val="00381F8C"/>
    <w:rsid w:val="00382024"/>
    <w:rsid w:val="0038234C"/>
    <w:rsid w:val="00382447"/>
    <w:rsid w:val="00382512"/>
    <w:rsid w:val="0038268C"/>
    <w:rsid w:val="003827D2"/>
    <w:rsid w:val="00382B8E"/>
    <w:rsid w:val="00382C1E"/>
    <w:rsid w:val="00383020"/>
    <w:rsid w:val="003830E9"/>
    <w:rsid w:val="00383124"/>
    <w:rsid w:val="003833C1"/>
    <w:rsid w:val="003835A1"/>
    <w:rsid w:val="00383B98"/>
    <w:rsid w:val="00383C13"/>
    <w:rsid w:val="00383DC7"/>
    <w:rsid w:val="00383E5D"/>
    <w:rsid w:val="00383FC5"/>
    <w:rsid w:val="00384006"/>
    <w:rsid w:val="00384157"/>
    <w:rsid w:val="00384390"/>
    <w:rsid w:val="0038444F"/>
    <w:rsid w:val="00384633"/>
    <w:rsid w:val="0038483E"/>
    <w:rsid w:val="00384971"/>
    <w:rsid w:val="00384A03"/>
    <w:rsid w:val="00384CF3"/>
    <w:rsid w:val="00384D11"/>
    <w:rsid w:val="00384D60"/>
    <w:rsid w:val="00384E23"/>
    <w:rsid w:val="00384E5A"/>
    <w:rsid w:val="00384EE6"/>
    <w:rsid w:val="00384F7D"/>
    <w:rsid w:val="00385070"/>
    <w:rsid w:val="003850FF"/>
    <w:rsid w:val="00385199"/>
    <w:rsid w:val="003851D4"/>
    <w:rsid w:val="00385299"/>
    <w:rsid w:val="003852A0"/>
    <w:rsid w:val="0038541F"/>
    <w:rsid w:val="003856C9"/>
    <w:rsid w:val="00385816"/>
    <w:rsid w:val="003859D4"/>
    <w:rsid w:val="00385DA5"/>
    <w:rsid w:val="00385EDE"/>
    <w:rsid w:val="0038611A"/>
    <w:rsid w:val="00386240"/>
    <w:rsid w:val="003863EB"/>
    <w:rsid w:val="003864E4"/>
    <w:rsid w:val="0038658A"/>
    <w:rsid w:val="003865DF"/>
    <w:rsid w:val="003867FB"/>
    <w:rsid w:val="003868AD"/>
    <w:rsid w:val="003868D4"/>
    <w:rsid w:val="00386936"/>
    <w:rsid w:val="00386985"/>
    <w:rsid w:val="00386BB8"/>
    <w:rsid w:val="00386ECC"/>
    <w:rsid w:val="00386ED4"/>
    <w:rsid w:val="00387078"/>
    <w:rsid w:val="003870DB"/>
    <w:rsid w:val="0038713B"/>
    <w:rsid w:val="00387161"/>
    <w:rsid w:val="003872DF"/>
    <w:rsid w:val="0038736C"/>
    <w:rsid w:val="00387414"/>
    <w:rsid w:val="00387541"/>
    <w:rsid w:val="003875DB"/>
    <w:rsid w:val="003878BB"/>
    <w:rsid w:val="00387DBA"/>
    <w:rsid w:val="00387DC8"/>
    <w:rsid w:val="00387FC8"/>
    <w:rsid w:val="00390218"/>
    <w:rsid w:val="00390307"/>
    <w:rsid w:val="003904F7"/>
    <w:rsid w:val="00390615"/>
    <w:rsid w:val="0039073D"/>
    <w:rsid w:val="00390AAE"/>
    <w:rsid w:val="00390F11"/>
    <w:rsid w:val="00390FB6"/>
    <w:rsid w:val="0039103B"/>
    <w:rsid w:val="00391228"/>
    <w:rsid w:val="00391326"/>
    <w:rsid w:val="00391446"/>
    <w:rsid w:val="0039145E"/>
    <w:rsid w:val="00391511"/>
    <w:rsid w:val="003915F3"/>
    <w:rsid w:val="0039168D"/>
    <w:rsid w:val="00391731"/>
    <w:rsid w:val="003918E7"/>
    <w:rsid w:val="003919C1"/>
    <w:rsid w:val="003919C9"/>
    <w:rsid w:val="00391A57"/>
    <w:rsid w:val="00391CA3"/>
    <w:rsid w:val="00391D58"/>
    <w:rsid w:val="00391DED"/>
    <w:rsid w:val="003921D0"/>
    <w:rsid w:val="0039269A"/>
    <w:rsid w:val="00392894"/>
    <w:rsid w:val="003929EF"/>
    <w:rsid w:val="00392AB9"/>
    <w:rsid w:val="00392B86"/>
    <w:rsid w:val="00392BA0"/>
    <w:rsid w:val="00392BBF"/>
    <w:rsid w:val="00392F30"/>
    <w:rsid w:val="0039332D"/>
    <w:rsid w:val="00393341"/>
    <w:rsid w:val="003933C9"/>
    <w:rsid w:val="00393462"/>
    <w:rsid w:val="003936B0"/>
    <w:rsid w:val="0039385E"/>
    <w:rsid w:val="003939F8"/>
    <w:rsid w:val="00393CBE"/>
    <w:rsid w:val="00393D89"/>
    <w:rsid w:val="00393DBF"/>
    <w:rsid w:val="0039411A"/>
    <w:rsid w:val="0039411C"/>
    <w:rsid w:val="00394313"/>
    <w:rsid w:val="00394409"/>
    <w:rsid w:val="00394423"/>
    <w:rsid w:val="00394515"/>
    <w:rsid w:val="003946EA"/>
    <w:rsid w:val="003946EF"/>
    <w:rsid w:val="003947B5"/>
    <w:rsid w:val="0039481B"/>
    <w:rsid w:val="0039488A"/>
    <w:rsid w:val="00394A46"/>
    <w:rsid w:val="00394B93"/>
    <w:rsid w:val="00394BBB"/>
    <w:rsid w:val="00394D89"/>
    <w:rsid w:val="00394E00"/>
    <w:rsid w:val="003950BC"/>
    <w:rsid w:val="003950D9"/>
    <w:rsid w:val="00395553"/>
    <w:rsid w:val="00395714"/>
    <w:rsid w:val="003957B4"/>
    <w:rsid w:val="00395AB2"/>
    <w:rsid w:val="00395BCB"/>
    <w:rsid w:val="00395D66"/>
    <w:rsid w:val="00395D9F"/>
    <w:rsid w:val="00395EAE"/>
    <w:rsid w:val="00395FB7"/>
    <w:rsid w:val="003961BA"/>
    <w:rsid w:val="003962D3"/>
    <w:rsid w:val="00396388"/>
    <w:rsid w:val="003963A9"/>
    <w:rsid w:val="003963D7"/>
    <w:rsid w:val="003966E4"/>
    <w:rsid w:val="00396825"/>
    <w:rsid w:val="0039692A"/>
    <w:rsid w:val="00396960"/>
    <w:rsid w:val="0039696D"/>
    <w:rsid w:val="00396BA2"/>
    <w:rsid w:val="00396E28"/>
    <w:rsid w:val="00396E6D"/>
    <w:rsid w:val="00397012"/>
    <w:rsid w:val="00397478"/>
    <w:rsid w:val="0039758B"/>
    <w:rsid w:val="00397921"/>
    <w:rsid w:val="0039793F"/>
    <w:rsid w:val="0039796F"/>
    <w:rsid w:val="00397A34"/>
    <w:rsid w:val="00397CD7"/>
    <w:rsid w:val="00397FDC"/>
    <w:rsid w:val="003A0057"/>
    <w:rsid w:val="003A0439"/>
    <w:rsid w:val="003A0594"/>
    <w:rsid w:val="003A08F4"/>
    <w:rsid w:val="003A0917"/>
    <w:rsid w:val="003A093E"/>
    <w:rsid w:val="003A0B38"/>
    <w:rsid w:val="003A0DD6"/>
    <w:rsid w:val="003A0EAF"/>
    <w:rsid w:val="003A124B"/>
    <w:rsid w:val="003A152C"/>
    <w:rsid w:val="003A1575"/>
    <w:rsid w:val="003A16BB"/>
    <w:rsid w:val="003A16F1"/>
    <w:rsid w:val="003A1705"/>
    <w:rsid w:val="003A1800"/>
    <w:rsid w:val="003A1884"/>
    <w:rsid w:val="003A1895"/>
    <w:rsid w:val="003A1923"/>
    <w:rsid w:val="003A194E"/>
    <w:rsid w:val="003A1A73"/>
    <w:rsid w:val="003A1DB3"/>
    <w:rsid w:val="003A2169"/>
    <w:rsid w:val="003A25B1"/>
    <w:rsid w:val="003A29CF"/>
    <w:rsid w:val="003A2A21"/>
    <w:rsid w:val="003A2B13"/>
    <w:rsid w:val="003A2C01"/>
    <w:rsid w:val="003A2C9E"/>
    <w:rsid w:val="003A2ECD"/>
    <w:rsid w:val="003A2EEA"/>
    <w:rsid w:val="003A2F7E"/>
    <w:rsid w:val="003A3146"/>
    <w:rsid w:val="003A31D3"/>
    <w:rsid w:val="003A31E6"/>
    <w:rsid w:val="003A3285"/>
    <w:rsid w:val="003A34B9"/>
    <w:rsid w:val="003A356C"/>
    <w:rsid w:val="003A3631"/>
    <w:rsid w:val="003A3637"/>
    <w:rsid w:val="003A3727"/>
    <w:rsid w:val="003A373B"/>
    <w:rsid w:val="003A3799"/>
    <w:rsid w:val="003A3828"/>
    <w:rsid w:val="003A382B"/>
    <w:rsid w:val="003A39C9"/>
    <w:rsid w:val="003A3A4F"/>
    <w:rsid w:val="003A3BDC"/>
    <w:rsid w:val="003A3CB4"/>
    <w:rsid w:val="003A3D04"/>
    <w:rsid w:val="003A3F0D"/>
    <w:rsid w:val="003A3F1E"/>
    <w:rsid w:val="003A40CA"/>
    <w:rsid w:val="003A421A"/>
    <w:rsid w:val="003A432B"/>
    <w:rsid w:val="003A43A7"/>
    <w:rsid w:val="003A4412"/>
    <w:rsid w:val="003A4438"/>
    <w:rsid w:val="003A44C7"/>
    <w:rsid w:val="003A469F"/>
    <w:rsid w:val="003A49CB"/>
    <w:rsid w:val="003A4B09"/>
    <w:rsid w:val="003A4C07"/>
    <w:rsid w:val="003A4C9B"/>
    <w:rsid w:val="003A4CB4"/>
    <w:rsid w:val="003A4E0A"/>
    <w:rsid w:val="003A4F4F"/>
    <w:rsid w:val="003A4F8F"/>
    <w:rsid w:val="003A5015"/>
    <w:rsid w:val="003A50B3"/>
    <w:rsid w:val="003A520D"/>
    <w:rsid w:val="003A542F"/>
    <w:rsid w:val="003A5541"/>
    <w:rsid w:val="003A5631"/>
    <w:rsid w:val="003A591B"/>
    <w:rsid w:val="003A5992"/>
    <w:rsid w:val="003A59A5"/>
    <w:rsid w:val="003A5A70"/>
    <w:rsid w:val="003A5A8E"/>
    <w:rsid w:val="003A5C81"/>
    <w:rsid w:val="003A6000"/>
    <w:rsid w:val="003A6036"/>
    <w:rsid w:val="003A6058"/>
    <w:rsid w:val="003A6343"/>
    <w:rsid w:val="003A6425"/>
    <w:rsid w:val="003A64F5"/>
    <w:rsid w:val="003A655B"/>
    <w:rsid w:val="003A65A6"/>
    <w:rsid w:val="003A660A"/>
    <w:rsid w:val="003A6754"/>
    <w:rsid w:val="003A67BD"/>
    <w:rsid w:val="003A68E5"/>
    <w:rsid w:val="003A694D"/>
    <w:rsid w:val="003A6B99"/>
    <w:rsid w:val="003A6CB4"/>
    <w:rsid w:val="003A6F1C"/>
    <w:rsid w:val="003A7204"/>
    <w:rsid w:val="003A72B2"/>
    <w:rsid w:val="003A7311"/>
    <w:rsid w:val="003A745D"/>
    <w:rsid w:val="003A7478"/>
    <w:rsid w:val="003A747D"/>
    <w:rsid w:val="003A7657"/>
    <w:rsid w:val="003A7A77"/>
    <w:rsid w:val="003A7AD5"/>
    <w:rsid w:val="003A7AD7"/>
    <w:rsid w:val="003A7BE2"/>
    <w:rsid w:val="003A7E60"/>
    <w:rsid w:val="003A7E6C"/>
    <w:rsid w:val="003A7F40"/>
    <w:rsid w:val="003A7F74"/>
    <w:rsid w:val="003B0094"/>
    <w:rsid w:val="003B024C"/>
    <w:rsid w:val="003B029A"/>
    <w:rsid w:val="003B0393"/>
    <w:rsid w:val="003B03A2"/>
    <w:rsid w:val="003B05E9"/>
    <w:rsid w:val="003B05F9"/>
    <w:rsid w:val="003B077B"/>
    <w:rsid w:val="003B0930"/>
    <w:rsid w:val="003B0A43"/>
    <w:rsid w:val="003B0D13"/>
    <w:rsid w:val="003B0D19"/>
    <w:rsid w:val="003B0D3A"/>
    <w:rsid w:val="003B0EC2"/>
    <w:rsid w:val="003B0F2A"/>
    <w:rsid w:val="003B0F8A"/>
    <w:rsid w:val="003B0FFE"/>
    <w:rsid w:val="003B11BF"/>
    <w:rsid w:val="003B16B9"/>
    <w:rsid w:val="003B181A"/>
    <w:rsid w:val="003B181C"/>
    <w:rsid w:val="003B193A"/>
    <w:rsid w:val="003B1A76"/>
    <w:rsid w:val="003B1AF9"/>
    <w:rsid w:val="003B1AFA"/>
    <w:rsid w:val="003B1CC8"/>
    <w:rsid w:val="003B1D7B"/>
    <w:rsid w:val="003B1DDA"/>
    <w:rsid w:val="003B2250"/>
    <w:rsid w:val="003B23A3"/>
    <w:rsid w:val="003B23CE"/>
    <w:rsid w:val="003B24F7"/>
    <w:rsid w:val="003B2634"/>
    <w:rsid w:val="003B26EF"/>
    <w:rsid w:val="003B2793"/>
    <w:rsid w:val="003B28F2"/>
    <w:rsid w:val="003B2914"/>
    <w:rsid w:val="003B291A"/>
    <w:rsid w:val="003B2ACE"/>
    <w:rsid w:val="003B2B3A"/>
    <w:rsid w:val="003B2C16"/>
    <w:rsid w:val="003B2C63"/>
    <w:rsid w:val="003B2D59"/>
    <w:rsid w:val="003B2DFE"/>
    <w:rsid w:val="003B2E20"/>
    <w:rsid w:val="003B2E5F"/>
    <w:rsid w:val="003B2E92"/>
    <w:rsid w:val="003B2FAE"/>
    <w:rsid w:val="003B30C0"/>
    <w:rsid w:val="003B31B0"/>
    <w:rsid w:val="003B3373"/>
    <w:rsid w:val="003B33EA"/>
    <w:rsid w:val="003B3405"/>
    <w:rsid w:val="003B3440"/>
    <w:rsid w:val="003B380A"/>
    <w:rsid w:val="003B3819"/>
    <w:rsid w:val="003B384B"/>
    <w:rsid w:val="003B3968"/>
    <w:rsid w:val="003B3A46"/>
    <w:rsid w:val="003B3B6E"/>
    <w:rsid w:val="003B3BD3"/>
    <w:rsid w:val="003B3C9E"/>
    <w:rsid w:val="003B3DCC"/>
    <w:rsid w:val="003B3FCB"/>
    <w:rsid w:val="003B442C"/>
    <w:rsid w:val="003B4B55"/>
    <w:rsid w:val="003B4BE2"/>
    <w:rsid w:val="003B4F93"/>
    <w:rsid w:val="003B527A"/>
    <w:rsid w:val="003B5307"/>
    <w:rsid w:val="003B540B"/>
    <w:rsid w:val="003B5592"/>
    <w:rsid w:val="003B55BB"/>
    <w:rsid w:val="003B5755"/>
    <w:rsid w:val="003B5821"/>
    <w:rsid w:val="003B5875"/>
    <w:rsid w:val="003B5A61"/>
    <w:rsid w:val="003B5ABF"/>
    <w:rsid w:val="003B5C8E"/>
    <w:rsid w:val="003B5C8F"/>
    <w:rsid w:val="003B5D47"/>
    <w:rsid w:val="003B5E1C"/>
    <w:rsid w:val="003B5E25"/>
    <w:rsid w:val="003B60A7"/>
    <w:rsid w:val="003B6120"/>
    <w:rsid w:val="003B6175"/>
    <w:rsid w:val="003B6256"/>
    <w:rsid w:val="003B6566"/>
    <w:rsid w:val="003B660C"/>
    <w:rsid w:val="003B664F"/>
    <w:rsid w:val="003B66B7"/>
    <w:rsid w:val="003B66DD"/>
    <w:rsid w:val="003B67EF"/>
    <w:rsid w:val="003B69F5"/>
    <w:rsid w:val="003B6A40"/>
    <w:rsid w:val="003B6ADB"/>
    <w:rsid w:val="003B6B4E"/>
    <w:rsid w:val="003B6BCA"/>
    <w:rsid w:val="003B6D45"/>
    <w:rsid w:val="003B6E2C"/>
    <w:rsid w:val="003B700D"/>
    <w:rsid w:val="003B7081"/>
    <w:rsid w:val="003B7197"/>
    <w:rsid w:val="003B73DB"/>
    <w:rsid w:val="003B74AE"/>
    <w:rsid w:val="003B751D"/>
    <w:rsid w:val="003B7568"/>
    <w:rsid w:val="003B7737"/>
    <w:rsid w:val="003B7993"/>
    <w:rsid w:val="003B7B6F"/>
    <w:rsid w:val="003B7C6D"/>
    <w:rsid w:val="003B7CD8"/>
    <w:rsid w:val="003B7E59"/>
    <w:rsid w:val="003B7F53"/>
    <w:rsid w:val="003C0027"/>
    <w:rsid w:val="003C002E"/>
    <w:rsid w:val="003C004E"/>
    <w:rsid w:val="003C031F"/>
    <w:rsid w:val="003C04AD"/>
    <w:rsid w:val="003C05FA"/>
    <w:rsid w:val="003C0642"/>
    <w:rsid w:val="003C0660"/>
    <w:rsid w:val="003C074C"/>
    <w:rsid w:val="003C0862"/>
    <w:rsid w:val="003C08E8"/>
    <w:rsid w:val="003C090A"/>
    <w:rsid w:val="003C0977"/>
    <w:rsid w:val="003C0BE6"/>
    <w:rsid w:val="003C0D3A"/>
    <w:rsid w:val="003C0FFA"/>
    <w:rsid w:val="003C148E"/>
    <w:rsid w:val="003C1496"/>
    <w:rsid w:val="003C14BD"/>
    <w:rsid w:val="003C1592"/>
    <w:rsid w:val="003C15D2"/>
    <w:rsid w:val="003C169B"/>
    <w:rsid w:val="003C1924"/>
    <w:rsid w:val="003C1940"/>
    <w:rsid w:val="003C19D9"/>
    <w:rsid w:val="003C1E83"/>
    <w:rsid w:val="003C1EC1"/>
    <w:rsid w:val="003C1F43"/>
    <w:rsid w:val="003C2151"/>
    <w:rsid w:val="003C2275"/>
    <w:rsid w:val="003C22BD"/>
    <w:rsid w:val="003C250B"/>
    <w:rsid w:val="003C2510"/>
    <w:rsid w:val="003C2710"/>
    <w:rsid w:val="003C2766"/>
    <w:rsid w:val="003C27E7"/>
    <w:rsid w:val="003C295A"/>
    <w:rsid w:val="003C2A62"/>
    <w:rsid w:val="003C2B61"/>
    <w:rsid w:val="003C2C30"/>
    <w:rsid w:val="003C2C46"/>
    <w:rsid w:val="003C2D07"/>
    <w:rsid w:val="003C3159"/>
    <w:rsid w:val="003C31AC"/>
    <w:rsid w:val="003C3475"/>
    <w:rsid w:val="003C365C"/>
    <w:rsid w:val="003C367A"/>
    <w:rsid w:val="003C367D"/>
    <w:rsid w:val="003C3690"/>
    <w:rsid w:val="003C37EE"/>
    <w:rsid w:val="003C39E4"/>
    <w:rsid w:val="003C3D4F"/>
    <w:rsid w:val="003C3F27"/>
    <w:rsid w:val="003C415F"/>
    <w:rsid w:val="003C4191"/>
    <w:rsid w:val="003C4206"/>
    <w:rsid w:val="003C42B7"/>
    <w:rsid w:val="003C43F8"/>
    <w:rsid w:val="003C43FA"/>
    <w:rsid w:val="003C440F"/>
    <w:rsid w:val="003C4577"/>
    <w:rsid w:val="003C45B8"/>
    <w:rsid w:val="003C45D9"/>
    <w:rsid w:val="003C45DE"/>
    <w:rsid w:val="003C46A4"/>
    <w:rsid w:val="003C46DE"/>
    <w:rsid w:val="003C4736"/>
    <w:rsid w:val="003C49D1"/>
    <w:rsid w:val="003C49DC"/>
    <w:rsid w:val="003C49E1"/>
    <w:rsid w:val="003C4AA8"/>
    <w:rsid w:val="003C4CC3"/>
    <w:rsid w:val="003C4EB4"/>
    <w:rsid w:val="003C5101"/>
    <w:rsid w:val="003C52FA"/>
    <w:rsid w:val="003C530E"/>
    <w:rsid w:val="003C571E"/>
    <w:rsid w:val="003C5A11"/>
    <w:rsid w:val="003C5BA5"/>
    <w:rsid w:val="003C5D83"/>
    <w:rsid w:val="003C5E24"/>
    <w:rsid w:val="003C5F8F"/>
    <w:rsid w:val="003C633D"/>
    <w:rsid w:val="003C6402"/>
    <w:rsid w:val="003C65BD"/>
    <w:rsid w:val="003C65D8"/>
    <w:rsid w:val="003C6610"/>
    <w:rsid w:val="003C68C7"/>
    <w:rsid w:val="003C6D57"/>
    <w:rsid w:val="003C6D7A"/>
    <w:rsid w:val="003C6DD8"/>
    <w:rsid w:val="003C6E6A"/>
    <w:rsid w:val="003C6EAA"/>
    <w:rsid w:val="003C6F7D"/>
    <w:rsid w:val="003C6FA9"/>
    <w:rsid w:val="003C7092"/>
    <w:rsid w:val="003C736F"/>
    <w:rsid w:val="003C7410"/>
    <w:rsid w:val="003C7506"/>
    <w:rsid w:val="003C7569"/>
    <w:rsid w:val="003C7594"/>
    <w:rsid w:val="003C75BB"/>
    <w:rsid w:val="003C79DF"/>
    <w:rsid w:val="003C7B6D"/>
    <w:rsid w:val="003C7BEA"/>
    <w:rsid w:val="003C7FAF"/>
    <w:rsid w:val="003C7FDD"/>
    <w:rsid w:val="003C7FF2"/>
    <w:rsid w:val="003D003D"/>
    <w:rsid w:val="003D0094"/>
    <w:rsid w:val="003D009D"/>
    <w:rsid w:val="003D02B1"/>
    <w:rsid w:val="003D04D3"/>
    <w:rsid w:val="003D05BD"/>
    <w:rsid w:val="003D087E"/>
    <w:rsid w:val="003D089C"/>
    <w:rsid w:val="003D0992"/>
    <w:rsid w:val="003D0B3F"/>
    <w:rsid w:val="003D0E29"/>
    <w:rsid w:val="003D0EAA"/>
    <w:rsid w:val="003D12DF"/>
    <w:rsid w:val="003D140D"/>
    <w:rsid w:val="003D14BD"/>
    <w:rsid w:val="003D17DB"/>
    <w:rsid w:val="003D1843"/>
    <w:rsid w:val="003D18CC"/>
    <w:rsid w:val="003D18D9"/>
    <w:rsid w:val="003D193D"/>
    <w:rsid w:val="003D1988"/>
    <w:rsid w:val="003D1A5A"/>
    <w:rsid w:val="003D1CB8"/>
    <w:rsid w:val="003D1E11"/>
    <w:rsid w:val="003D1F5A"/>
    <w:rsid w:val="003D2036"/>
    <w:rsid w:val="003D223D"/>
    <w:rsid w:val="003D2333"/>
    <w:rsid w:val="003D25DE"/>
    <w:rsid w:val="003D2828"/>
    <w:rsid w:val="003D28CF"/>
    <w:rsid w:val="003D2956"/>
    <w:rsid w:val="003D29D5"/>
    <w:rsid w:val="003D2A31"/>
    <w:rsid w:val="003D2A45"/>
    <w:rsid w:val="003D2C54"/>
    <w:rsid w:val="003D2C61"/>
    <w:rsid w:val="003D2DF0"/>
    <w:rsid w:val="003D2F10"/>
    <w:rsid w:val="003D2FAD"/>
    <w:rsid w:val="003D35BB"/>
    <w:rsid w:val="003D362B"/>
    <w:rsid w:val="003D374F"/>
    <w:rsid w:val="003D376B"/>
    <w:rsid w:val="003D37BA"/>
    <w:rsid w:val="003D3ADA"/>
    <w:rsid w:val="003D3C4E"/>
    <w:rsid w:val="003D3D06"/>
    <w:rsid w:val="003D3E12"/>
    <w:rsid w:val="003D3E9F"/>
    <w:rsid w:val="003D3F0F"/>
    <w:rsid w:val="003D40DC"/>
    <w:rsid w:val="003D4160"/>
    <w:rsid w:val="003D4190"/>
    <w:rsid w:val="003D43A7"/>
    <w:rsid w:val="003D4819"/>
    <w:rsid w:val="003D483C"/>
    <w:rsid w:val="003D4938"/>
    <w:rsid w:val="003D4997"/>
    <w:rsid w:val="003D49EC"/>
    <w:rsid w:val="003D4A66"/>
    <w:rsid w:val="003D4B19"/>
    <w:rsid w:val="003D4B40"/>
    <w:rsid w:val="003D4B6E"/>
    <w:rsid w:val="003D4C88"/>
    <w:rsid w:val="003D4DF1"/>
    <w:rsid w:val="003D4E49"/>
    <w:rsid w:val="003D4EEC"/>
    <w:rsid w:val="003D4FE5"/>
    <w:rsid w:val="003D5023"/>
    <w:rsid w:val="003D50C0"/>
    <w:rsid w:val="003D50E4"/>
    <w:rsid w:val="003D53DA"/>
    <w:rsid w:val="003D5411"/>
    <w:rsid w:val="003D5416"/>
    <w:rsid w:val="003D541C"/>
    <w:rsid w:val="003D549E"/>
    <w:rsid w:val="003D555D"/>
    <w:rsid w:val="003D5743"/>
    <w:rsid w:val="003D5BBE"/>
    <w:rsid w:val="003D5C1B"/>
    <w:rsid w:val="003D5CE1"/>
    <w:rsid w:val="003D5CEA"/>
    <w:rsid w:val="003D5D2D"/>
    <w:rsid w:val="003D5F46"/>
    <w:rsid w:val="003D600A"/>
    <w:rsid w:val="003D609A"/>
    <w:rsid w:val="003D609E"/>
    <w:rsid w:val="003D61E8"/>
    <w:rsid w:val="003D63E5"/>
    <w:rsid w:val="003D64CC"/>
    <w:rsid w:val="003D6750"/>
    <w:rsid w:val="003D68CC"/>
    <w:rsid w:val="003D6B85"/>
    <w:rsid w:val="003D6C6D"/>
    <w:rsid w:val="003D6D1C"/>
    <w:rsid w:val="003D6ED6"/>
    <w:rsid w:val="003D6FE0"/>
    <w:rsid w:val="003D7053"/>
    <w:rsid w:val="003D7214"/>
    <w:rsid w:val="003D7221"/>
    <w:rsid w:val="003D726B"/>
    <w:rsid w:val="003D7317"/>
    <w:rsid w:val="003D7372"/>
    <w:rsid w:val="003D767F"/>
    <w:rsid w:val="003D7709"/>
    <w:rsid w:val="003D77F7"/>
    <w:rsid w:val="003D7A5A"/>
    <w:rsid w:val="003D7AB5"/>
    <w:rsid w:val="003D7ACC"/>
    <w:rsid w:val="003D7B3D"/>
    <w:rsid w:val="003D7E00"/>
    <w:rsid w:val="003E00EF"/>
    <w:rsid w:val="003E024F"/>
    <w:rsid w:val="003E027E"/>
    <w:rsid w:val="003E050F"/>
    <w:rsid w:val="003E054C"/>
    <w:rsid w:val="003E05E1"/>
    <w:rsid w:val="003E0634"/>
    <w:rsid w:val="003E06E5"/>
    <w:rsid w:val="003E0718"/>
    <w:rsid w:val="003E080E"/>
    <w:rsid w:val="003E0839"/>
    <w:rsid w:val="003E087C"/>
    <w:rsid w:val="003E099A"/>
    <w:rsid w:val="003E0A8B"/>
    <w:rsid w:val="003E0A94"/>
    <w:rsid w:val="003E0B95"/>
    <w:rsid w:val="003E0C6C"/>
    <w:rsid w:val="003E0CA0"/>
    <w:rsid w:val="003E0CB5"/>
    <w:rsid w:val="003E0DB5"/>
    <w:rsid w:val="003E0DF1"/>
    <w:rsid w:val="003E0F2B"/>
    <w:rsid w:val="003E101F"/>
    <w:rsid w:val="003E12D3"/>
    <w:rsid w:val="003E131C"/>
    <w:rsid w:val="003E143C"/>
    <w:rsid w:val="003E153B"/>
    <w:rsid w:val="003E1702"/>
    <w:rsid w:val="003E17BD"/>
    <w:rsid w:val="003E1902"/>
    <w:rsid w:val="003E1A19"/>
    <w:rsid w:val="003E1AAC"/>
    <w:rsid w:val="003E1B28"/>
    <w:rsid w:val="003E1BC9"/>
    <w:rsid w:val="003E1C65"/>
    <w:rsid w:val="003E1C69"/>
    <w:rsid w:val="003E1EFD"/>
    <w:rsid w:val="003E2060"/>
    <w:rsid w:val="003E2089"/>
    <w:rsid w:val="003E222E"/>
    <w:rsid w:val="003E224C"/>
    <w:rsid w:val="003E2548"/>
    <w:rsid w:val="003E2735"/>
    <w:rsid w:val="003E274D"/>
    <w:rsid w:val="003E2AC8"/>
    <w:rsid w:val="003E2D10"/>
    <w:rsid w:val="003E2E12"/>
    <w:rsid w:val="003E2F70"/>
    <w:rsid w:val="003E2FB6"/>
    <w:rsid w:val="003E30C5"/>
    <w:rsid w:val="003E3105"/>
    <w:rsid w:val="003E32A8"/>
    <w:rsid w:val="003E3784"/>
    <w:rsid w:val="003E3786"/>
    <w:rsid w:val="003E395E"/>
    <w:rsid w:val="003E3970"/>
    <w:rsid w:val="003E3A7F"/>
    <w:rsid w:val="003E3C4B"/>
    <w:rsid w:val="003E3E83"/>
    <w:rsid w:val="003E3EBF"/>
    <w:rsid w:val="003E3F52"/>
    <w:rsid w:val="003E40F9"/>
    <w:rsid w:val="003E4383"/>
    <w:rsid w:val="003E4534"/>
    <w:rsid w:val="003E48CF"/>
    <w:rsid w:val="003E49F4"/>
    <w:rsid w:val="003E4A7B"/>
    <w:rsid w:val="003E4ABF"/>
    <w:rsid w:val="003E4C32"/>
    <w:rsid w:val="003E4C54"/>
    <w:rsid w:val="003E4D9E"/>
    <w:rsid w:val="003E4E37"/>
    <w:rsid w:val="003E4E61"/>
    <w:rsid w:val="003E5433"/>
    <w:rsid w:val="003E551B"/>
    <w:rsid w:val="003E5549"/>
    <w:rsid w:val="003E5646"/>
    <w:rsid w:val="003E579A"/>
    <w:rsid w:val="003E5B02"/>
    <w:rsid w:val="003E6046"/>
    <w:rsid w:val="003E605E"/>
    <w:rsid w:val="003E611D"/>
    <w:rsid w:val="003E61E3"/>
    <w:rsid w:val="003E6515"/>
    <w:rsid w:val="003E65A0"/>
    <w:rsid w:val="003E6679"/>
    <w:rsid w:val="003E670C"/>
    <w:rsid w:val="003E6797"/>
    <w:rsid w:val="003E6997"/>
    <w:rsid w:val="003E6A43"/>
    <w:rsid w:val="003E6A63"/>
    <w:rsid w:val="003E6F71"/>
    <w:rsid w:val="003E70DB"/>
    <w:rsid w:val="003E711A"/>
    <w:rsid w:val="003E7293"/>
    <w:rsid w:val="003E73A2"/>
    <w:rsid w:val="003E7488"/>
    <w:rsid w:val="003E757E"/>
    <w:rsid w:val="003E76E9"/>
    <w:rsid w:val="003E7928"/>
    <w:rsid w:val="003E7A5C"/>
    <w:rsid w:val="003E7C88"/>
    <w:rsid w:val="003E7C91"/>
    <w:rsid w:val="003E7D55"/>
    <w:rsid w:val="003E7F70"/>
    <w:rsid w:val="003F0052"/>
    <w:rsid w:val="003F03FE"/>
    <w:rsid w:val="003F055C"/>
    <w:rsid w:val="003F058D"/>
    <w:rsid w:val="003F05F3"/>
    <w:rsid w:val="003F0776"/>
    <w:rsid w:val="003F07A4"/>
    <w:rsid w:val="003F08AC"/>
    <w:rsid w:val="003F0A38"/>
    <w:rsid w:val="003F0DDC"/>
    <w:rsid w:val="003F0EA0"/>
    <w:rsid w:val="003F0ECA"/>
    <w:rsid w:val="003F0F2B"/>
    <w:rsid w:val="003F0F58"/>
    <w:rsid w:val="003F0F8D"/>
    <w:rsid w:val="003F10D9"/>
    <w:rsid w:val="003F1102"/>
    <w:rsid w:val="003F11B2"/>
    <w:rsid w:val="003F11D4"/>
    <w:rsid w:val="003F11DF"/>
    <w:rsid w:val="003F13A3"/>
    <w:rsid w:val="003F14AA"/>
    <w:rsid w:val="003F1932"/>
    <w:rsid w:val="003F197E"/>
    <w:rsid w:val="003F1A3C"/>
    <w:rsid w:val="003F1A54"/>
    <w:rsid w:val="003F1AEF"/>
    <w:rsid w:val="003F1B50"/>
    <w:rsid w:val="003F1BCF"/>
    <w:rsid w:val="003F1EAD"/>
    <w:rsid w:val="003F1EC6"/>
    <w:rsid w:val="003F2072"/>
    <w:rsid w:val="003F21BA"/>
    <w:rsid w:val="003F22B0"/>
    <w:rsid w:val="003F25A2"/>
    <w:rsid w:val="003F261F"/>
    <w:rsid w:val="003F26B7"/>
    <w:rsid w:val="003F2736"/>
    <w:rsid w:val="003F287E"/>
    <w:rsid w:val="003F291E"/>
    <w:rsid w:val="003F29A7"/>
    <w:rsid w:val="003F2AB2"/>
    <w:rsid w:val="003F2BBB"/>
    <w:rsid w:val="003F2C74"/>
    <w:rsid w:val="003F2CE4"/>
    <w:rsid w:val="003F2D2C"/>
    <w:rsid w:val="003F2DCF"/>
    <w:rsid w:val="003F2E5C"/>
    <w:rsid w:val="003F2ED3"/>
    <w:rsid w:val="003F2F41"/>
    <w:rsid w:val="003F2F47"/>
    <w:rsid w:val="003F2FA5"/>
    <w:rsid w:val="003F30BE"/>
    <w:rsid w:val="003F3242"/>
    <w:rsid w:val="003F3259"/>
    <w:rsid w:val="003F343A"/>
    <w:rsid w:val="003F34FC"/>
    <w:rsid w:val="003F3667"/>
    <w:rsid w:val="003F36A3"/>
    <w:rsid w:val="003F36D9"/>
    <w:rsid w:val="003F3897"/>
    <w:rsid w:val="003F3C2C"/>
    <w:rsid w:val="003F3C50"/>
    <w:rsid w:val="003F3C8C"/>
    <w:rsid w:val="003F3CB6"/>
    <w:rsid w:val="003F3EFA"/>
    <w:rsid w:val="003F4266"/>
    <w:rsid w:val="003F438D"/>
    <w:rsid w:val="003F45D6"/>
    <w:rsid w:val="003F4636"/>
    <w:rsid w:val="003F4925"/>
    <w:rsid w:val="003F4AC5"/>
    <w:rsid w:val="003F4BDE"/>
    <w:rsid w:val="003F4EA9"/>
    <w:rsid w:val="003F5105"/>
    <w:rsid w:val="003F5243"/>
    <w:rsid w:val="003F5321"/>
    <w:rsid w:val="003F534C"/>
    <w:rsid w:val="003F5395"/>
    <w:rsid w:val="003F5396"/>
    <w:rsid w:val="003F54F9"/>
    <w:rsid w:val="003F562B"/>
    <w:rsid w:val="003F5674"/>
    <w:rsid w:val="003F56E3"/>
    <w:rsid w:val="003F57BD"/>
    <w:rsid w:val="003F5889"/>
    <w:rsid w:val="003F589A"/>
    <w:rsid w:val="003F5B09"/>
    <w:rsid w:val="003F5D48"/>
    <w:rsid w:val="003F5D80"/>
    <w:rsid w:val="003F5FC3"/>
    <w:rsid w:val="003F60A5"/>
    <w:rsid w:val="003F60DC"/>
    <w:rsid w:val="003F64E4"/>
    <w:rsid w:val="003F65A9"/>
    <w:rsid w:val="003F673E"/>
    <w:rsid w:val="003F6769"/>
    <w:rsid w:val="003F68F0"/>
    <w:rsid w:val="003F69A2"/>
    <w:rsid w:val="003F6B7B"/>
    <w:rsid w:val="003F6BD0"/>
    <w:rsid w:val="003F6BDF"/>
    <w:rsid w:val="003F6CAC"/>
    <w:rsid w:val="003F6DA1"/>
    <w:rsid w:val="003F6DA8"/>
    <w:rsid w:val="003F6EAF"/>
    <w:rsid w:val="003F6F88"/>
    <w:rsid w:val="003F7024"/>
    <w:rsid w:val="003F70B3"/>
    <w:rsid w:val="003F7184"/>
    <w:rsid w:val="003F73A7"/>
    <w:rsid w:val="003F75E9"/>
    <w:rsid w:val="003F77A0"/>
    <w:rsid w:val="003F785F"/>
    <w:rsid w:val="003F79C5"/>
    <w:rsid w:val="003F7A93"/>
    <w:rsid w:val="003F7AEA"/>
    <w:rsid w:val="003F7B3A"/>
    <w:rsid w:val="003F7BD2"/>
    <w:rsid w:val="003F7C46"/>
    <w:rsid w:val="003F7FC5"/>
    <w:rsid w:val="00400485"/>
    <w:rsid w:val="00400544"/>
    <w:rsid w:val="00400771"/>
    <w:rsid w:val="004009CB"/>
    <w:rsid w:val="00400A96"/>
    <w:rsid w:val="00400B85"/>
    <w:rsid w:val="00400D09"/>
    <w:rsid w:val="00400E0B"/>
    <w:rsid w:val="0040102D"/>
    <w:rsid w:val="00401136"/>
    <w:rsid w:val="004012F4"/>
    <w:rsid w:val="0040173A"/>
    <w:rsid w:val="004017AD"/>
    <w:rsid w:val="00401929"/>
    <w:rsid w:val="004019E4"/>
    <w:rsid w:val="00401AA6"/>
    <w:rsid w:val="00401C11"/>
    <w:rsid w:val="00401D1D"/>
    <w:rsid w:val="00401F5B"/>
    <w:rsid w:val="00402385"/>
    <w:rsid w:val="004026A5"/>
    <w:rsid w:val="00402860"/>
    <w:rsid w:val="004028E9"/>
    <w:rsid w:val="0040290A"/>
    <w:rsid w:val="0040297E"/>
    <w:rsid w:val="004029D4"/>
    <w:rsid w:val="00402A21"/>
    <w:rsid w:val="00402A52"/>
    <w:rsid w:val="004030BD"/>
    <w:rsid w:val="004030F5"/>
    <w:rsid w:val="004031FA"/>
    <w:rsid w:val="0040327A"/>
    <w:rsid w:val="00403507"/>
    <w:rsid w:val="00403538"/>
    <w:rsid w:val="00403648"/>
    <w:rsid w:val="004036AB"/>
    <w:rsid w:val="004037B4"/>
    <w:rsid w:val="00403878"/>
    <w:rsid w:val="004039B1"/>
    <w:rsid w:val="00403B1E"/>
    <w:rsid w:val="00403DD2"/>
    <w:rsid w:val="004041CE"/>
    <w:rsid w:val="00404356"/>
    <w:rsid w:val="00404590"/>
    <w:rsid w:val="00404620"/>
    <w:rsid w:val="0040466A"/>
    <w:rsid w:val="004046F2"/>
    <w:rsid w:val="004049F7"/>
    <w:rsid w:val="00404A20"/>
    <w:rsid w:val="00404AE1"/>
    <w:rsid w:val="00404F54"/>
    <w:rsid w:val="00404F88"/>
    <w:rsid w:val="00404FDE"/>
    <w:rsid w:val="0040500B"/>
    <w:rsid w:val="004050BE"/>
    <w:rsid w:val="004050D5"/>
    <w:rsid w:val="00405261"/>
    <w:rsid w:val="004052AA"/>
    <w:rsid w:val="00405338"/>
    <w:rsid w:val="0040537E"/>
    <w:rsid w:val="004055BF"/>
    <w:rsid w:val="004056FF"/>
    <w:rsid w:val="0040574E"/>
    <w:rsid w:val="00405931"/>
    <w:rsid w:val="0040594D"/>
    <w:rsid w:val="00405C1F"/>
    <w:rsid w:val="00405F65"/>
    <w:rsid w:val="00406094"/>
    <w:rsid w:val="00406196"/>
    <w:rsid w:val="00406481"/>
    <w:rsid w:val="0040666B"/>
    <w:rsid w:val="004066AF"/>
    <w:rsid w:val="0040680B"/>
    <w:rsid w:val="00406866"/>
    <w:rsid w:val="00406900"/>
    <w:rsid w:val="00406922"/>
    <w:rsid w:val="00406A11"/>
    <w:rsid w:val="00406B81"/>
    <w:rsid w:val="00406E13"/>
    <w:rsid w:val="00406E45"/>
    <w:rsid w:val="00406EAF"/>
    <w:rsid w:val="00406ED3"/>
    <w:rsid w:val="00406FD5"/>
    <w:rsid w:val="0040726C"/>
    <w:rsid w:val="00407288"/>
    <w:rsid w:val="004072A5"/>
    <w:rsid w:val="004072FF"/>
    <w:rsid w:val="004073C8"/>
    <w:rsid w:val="004074AE"/>
    <w:rsid w:val="004074B3"/>
    <w:rsid w:val="00407512"/>
    <w:rsid w:val="00407B35"/>
    <w:rsid w:val="00407C63"/>
    <w:rsid w:val="00407D5A"/>
    <w:rsid w:val="00410005"/>
    <w:rsid w:val="00410109"/>
    <w:rsid w:val="004101C7"/>
    <w:rsid w:val="00410576"/>
    <w:rsid w:val="004106DB"/>
    <w:rsid w:val="00410897"/>
    <w:rsid w:val="004108DC"/>
    <w:rsid w:val="00410999"/>
    <w:rsid w:val="00410A5F"/>
    <w:rsid w:val="00410B05"/>
    <w:rsid w:val="00410B4F"/>
    <w:rsid w:val="00410B68"/>
    <w:rsid w:val="0041100A"/>
    <w:rsid w:val="00411126"/>
    <w:rsid w:val="004113CB"/>
    <w:rsid w:val="004114AD"/>
    <w:rsid w:val="00411555"/>
    <w:rsid w:val="0041157D"/>
    <w:rsid w:val="004115F8"/>
    <w:rsid w:val="004116F2"/>
    <w:rsid w:val="00411C9D"/>
    <w:rsid w:val="00411D1C"/>
    <w:rsid w:val="00411DD8"/>
    <w:rsid w:val="00412072"/>
    <w:rsid w:val="00412096"/>
    <w:rsid w:val="00412108"/>
    <w:rsid w:val="00412280"/>
    <w:rsid w:val="0041242C"/>
    <w:rsid w:val="00412468"/>
    <w:rsid w:val="0041256D"/>
    <w:rsid w:val="004125DF"/>
    <w:rsid w:val="00412855"/>
    <w:rsid w:val="00412AB2"/>
    <w:rsid w:val="00412AC0"/>
    <w:rsid w:val="00412BC1"/>
    <w:rsid w:val="00412BF8"/>
    <w:rsid w:val="00412E18"/>
    <w:rsid w:val="00412E1F"/>
    <w:rsid w:val="00412EC8"/>
    <w:rsid w:val="00413216"/>
    <w:rsid w:val="004133F5"/>
    <w:rsid w:val="00413477"/>
    <w:rsid w:val="0041370B"/>
    <w:rsid w:val="0041372E"/>
    <w:rsid w:val="004139EB"/>
    <w:rsid w:val="00413B84"/>
    <w:rsid w:val="00413D6B"/>
    <w:rsid w:val="00413F92"/>
    <w:rsid w:val="004143A2"/>
    <w:rsid w:val="004145A6"/>
    <w:rsid w:val="004148BE"/>
    <w:rsid w:val="004148DB"/>
    <w:rsid w:val="004149B8"/>
    <w:rsid w:val="00414A35"/>
    <w:rsid w:val="00414A66"/>
    <w:rsid w:val="00414A7B"/>
    <w:rsid w:val="00414B19"/>
    <w:rsid w:val="00414D1A"/>
    <w:rsid w:val="00414D72"/>
    <w:rsid w:val="00414D99"/>
    <w:rsid w:val="00414EC1"/>
    <w:rsid w:val="00414FD5"/>
    <w:rsid w:val="00414FFC"/>
    <w:rsid w:val="00415079"/>
    <w:rsid w:val="004150BB"/>
    <w:rsid w:val="0041512F"/>
    <w:rsid w:val="00415444"/>
    <w:rsid w:val="0041556E"/>
    <w:rsid w:val="00415763"/>
    <w:rsid w:val="004158DF"/>
    <w:rsid w:val="00415B13"/>
    <w:rsid w:val="00415B82"/>
    <w:rsid w:val="00415DD0"/>
    <w:rsid w:val="00415E1E"/>
    <w:rsid w:val="00415E2D"/>
    <w:rsid w:val="0041618C"/>
    <w:rsid w:val="0041653E"/>
    <w:rsid w:val="00416598"/>
    <w:rsid w:val="004165AA"/>
    <w:rsid w:val="0041668B"/>
    <w:rsid w:val="00416817"/>
    <w:rsid w:val="00416884"/>
    <w:rsid w:val="00416920"/>
    <w:rsid w:val="0041692B"/>
    <w:rsid w:val="004169D2"/>
    <w:rsid w:val="00416C29"/>
    <w:rsid w:val="00416EED"/>
    <w:rsid w:val="00416F43"/>
    <w:rsid w:val="00417147"/>
    <w:rsid w:val="004172AB"/>
    <w:rsid w:val="00417356"/>
    <w:rsid w:val="00417441"/>
    <w:rsid w:val="00417646"/>
    <w:rsid w:val="00417672"/>
    <w:rsid w:val="0041768E"/>
    <w:rsid w:val="00417851"/>
    <w:rsid w:val="004178AD"/>
    <w:rsid w:val="004178F2"/>
    <w:rsid w:val="00417D28"/>
    <w:rsid w:val="00417F9C"/>
    <w:rsid w:val="00417F9D"/>
    <w:rsid w:val="0042020F"/>
    <w:rsid w:val="00420369"/>
    <w:rsid w:val="00420437"/>
    <w:rsid w:val="004205EA"/>
    <w:rsid w:val="00420756"/>
    <w:rsid w:val="004208F6"/>
    <w:rsid w:val="00420953"/>
    <w:rsid w:val="004209B5"/>
    <w:rsid w:val="00420A4D"/>
    <w:rsid w:val="00420BC7"/>
    <w:rsid w:val="00420CEC"/>
    <w:rsid w:val="00420DF0"/>
    <w:rsid w:val="00421112"/>
    <w:rsid w:val="0042116E"/>
    <w:rsid w:val="004211DC"/>
    <w:rsid w:val="004213E2"/>
    <w:rsid w:val="00421830"/>
    <w:rsid w:val="00421F18"/>
    <w:rsid w:val="0042222A"/>
    <w:rsid w:val="004224E7"/>
    <w:rsid w:val="0042278A"/>
    <w:rsid w:val="004227F2"/>
    <w:rsid w:val="00422806"/>
    <w:rsid w:val="004229A7"/>
    <w:rsid w:val="00422BC3"/>
    <w:rsid w:val="00422BD1"/>
    <w:rsid w:val="00422D50"/>
    <w:rsid w:val="00422E16"/>
    <w:rsid w:val="00422F97"/>
    <w:rsid w:val="00423241"/>
    <w:rsid w:val="00423258"/>
    <w:rsid w:val="0042343A"/>
    <w:rsid w:val="0042368D"/>
    <w:rsid w:val="004237E6"/>
    <w:rsid w:val="00423C69"/>
    <w:rsid w:val="00423D5A"/>
    <w:rsid w:val="00423E50"/>
    <w:rsid w:val="0042410A"/>
    <w:rsid w:val="0042412D"/>
    <w:rsid w:val="0042456A"/>
    <w:rsid w:val="00424627"/>
    <w:rsid w:val="0042488B"/>
    <w:rsid w:val="004248C2"/>
    <w:rsid w:val="0042498C"/>
    <w:rsid w:val="004249BB"/>
    <w:rsid w:val="00424A70"/>
    <w:rsid w:val="0042530D"/>
    <w:rsid w:val="0042565E"/>
    <w:rsid w:val="0042571A"/>
    <w:rsid w:val="00425936"/>
    <w:rsid w:val="00425BF9"/>
    <w:rsid w:val="00425C5C"/>
    <w:rsid w:val="00425E20"/>
    <w:rsid w:val="00425EE4"/>
    <w:rsid w:val="00425EF5"/>
    <w:rsid w:val="00425FC3"/>
    <w:rsid w:val="00425FF7"/>
    <w:rsid w:val="004263C4"/>
    <w:rsid w:val="00426576"/>
    <w:rsid w:val="0042664E"/>
    <w:rsid w:val="004266B1"/>
    <w:rsid w:val="004266D4"/>
    <w:rsid w:val="00426800"/>
    <w:rsid w:val="00426F2C"/>
    <w:rsid w:val="00426F57"/>
    <w:rsid w:val="00426F96"/>
    <w:rsid w:val="00427120"/>
    <w:rsid w:val="00427353"/>
    <w:rsid w:val="00427381"/>
    <w:rsid w:val="0042755F"/>
    <w:rsid w:val="0042768C"/>
    <w:rsid w:val="004276B6"/>
    <w:rsid w:val="0042782F"/>
    <w:rsid w:val="0042786A"/>
    <w:rsid w:val="0042788A"/>
    <w:rsid w:val="004279AE"/>
    <w:rsid w:val="00427A67"/>
    <w:rsid w:val="00427ADB"/>
    <w:rsid w:val="00427CA1"/>
    <w:rsid w:val="00427E0C"/>
    <w:rsid w:val="00427EB7"/>
    <w:rsid w:val="00427F0B"/>
    <w:rsid w:val="00427FB1"/>
    <w:rsid w:val="0043002A"/>
    <w:rsid w:val="004301A0"/>
    <w:rsid w:val="004303D8"/>
    <w:rsid w:val="0043042D"/>
    <w:rsid w:val="0043064D"/>
    <w:rsid w:val="0043073C"/>
    <w:rsid w:val="0043081D"/>
    <w:rsid w:val="0043089A"/>
    <w:rsid w:val="00430975"/>
    <w:rsid w:val="00430A34"/>
    <w:rsid w:val="00430A49"/>
    <w:rsid w:val="00430A69"/>
    <w:rsid w:val="00430ADB"/>
    <w:rsid w:val="00430D00"/>
    <w:rsid w:val="00430D2A"/>
    <w:rsid w:val="00430E64"/>
    <w:rsid w:val="004310D4"/>
    <w:rsid w:val="004310F2"/>
    <w:rsid w:val="004311EF"/>
    <w:rsid w:val="00431217"/>
    <w:rsid w:val="00431291"/>
    <w:rsid w:val="00431299"/>
    <w:rsid w:val="004312A2"/>
    <w:rsid w:val="004315AF"/>
    <w:rsid w:val="00431629"/>
    <w:rsid w:val="004318AE"/>
    <w:rsid w:val="00431952"/>
    <w:rsid w:val="00431978"/>
    <w:rsid w:val="00431C42"/>
    <w:rsid w:val="00431D78"/>
    <w:rsid w:val="004320AB"/>
    <w:rsid w:val="0043242E"/>
    <w:rsid w:val="0043247B"/>
    <w:rsid w:val="00432513"/>
    <w:rsid w:val="00432668"/>
    <w:rsid w:val="00432864"/>
    <w:rsid w:val="004329BA"/>
    <w:rsid w:val="004329CA"/>
    <w:rsid w:val="00433044"/>
    <w:rsid w:val="00433165"/>
    <w:rsid w:val="00433352"/>
    <w:rsid w:val="0043339A"/>
    <w:rsid w:val="004337B2"/>
    <w:rsid w:val="00433801"/>
    <w:rsid w:val="0043393E"/>
    <w:rsid w:val="00433984"/>
    <w:rsid w:val="004339C8"/>
    <w:rsid w:val="00433A15"/>
    <w:rsid w:val="00433B2B"/>
    <w:rsid w:val="00433D29"/>
    <w:rsid w:val="00433D3F"/>
    <w:rsid w:val="00433DEC"/>
    <w:rsid w:val="00433EB8"/>
    <w:rsid w:val="00434263"/>
    <w:rsid w:val="0043439E"/>
    <w:rsid w:val="004343D0"/>
    <w:rsid w:val="00434672"/>
    <w:rsid w:val="0043468F"/>
    <w:rsid w:val="004347AA"/>
    <w:rsid w:val="004347E2"/>
    <w:rsid w:val="004347E8"/>
    <w:rsid w:val="004347FF"/>
    <w:rsid w:val="00434961"/>
    <w:rsid w:val="00434A53"/>
    <w:rsid w:val="00434A81"/>
    <w:rsid w:val="00434A9D"/>
    <w:rsid w:val="00434C75"/>
    <w:rsid w:val="00434D6B"/>
    <w:rsid w:val="00434DB2"/>
    <w:rsid w:val="00434E91"/>
    <w:rsid w:val="00434F18"/>
    <w:rsid w:val="00434F88"/>
    <w:rsid w:val="00434FB3"/>
    <w:rsid w:val="00434FF5"/>
    <w:rsid w:val="00435040"/>
    <w:rsid w:val="0043505F"/>
    <w:rsid w:val="004351AD"/>
    <w:rsid w:val="0043529C"/>
    <w:rsid w:val="004353B5"/>
    <w:rsid w:val="00435431"/>
    <w:rsid w:val="00435592"/>
    <w:rsid w:val="00435719"/>
    <w:rsid w:val="0043584D"/>
    <w:rsid w:val="0043597E"/>
    <w:rsid w:val="0043598C"/>
    <w:rsid w:val="00435AB2"/>
    <w:rsid w:val="00435C1A"/>
    <w:rsid w:val="00435C27"/>
    <w:rsid w:val="00435E6F"/>
    <w:rsid w:val="00435F76"/>
    <w:rsid w:val="00436566"/>
    <w:rsid w:val="00436576"/>
    <w:rsid w:val="004365C9"/>
    <w:rsid w:val="00436635"/>
    <w:rsid w:val="00436652"/>
    <w:rsid w:val="00436730"/>
    <w:rsid w:val="0043682B"/>
    <w:rsid w:val="00436859"/>
    <w:rsid w:val="004368BC"/>
    <w:rsid w:val="0043697E"/>
    <w:rsid w:val="00436A5D"/>
    <w:rsid w:val="00436A9D"/>
    <w:rsid w:val="00436C99"/>
    <w:rsid w:val="00436CBE"/>
    <w:rsid w:val="00436EA5"/>
    <w:rsid w:val="0043729D"/>
    <w:rsid w:val="004373DA"/>
    <w:rsid w:val="00437494"/>
    <w:rsid w:val="004376CD"/>
    <w:rsid w:val="00437795"/>
    <w:rsid w:val="004377E6"/>
    <w:rsid w:val="004378D9"/>
    <w:rsid w:val="00437997"/>
    <w:rsid w:val="00437BCB"/>
    <w:rsid w:val="00437FA9"/>
    <w:rsid w:val="0044000E"/>
    <w:rsid w:val="00440118"/>
    <w:rsid w:val="00440151"/>
    <w:rsid w:val="004401A8"/>
    <w:rsid w:val="0044070F"/>
    <w:rsid w:val="00440766"/>
    <w:rsid w:val="004409E8"/>
    <w:rsid w:val="00440A58"/>
    <w:rsid w:val="00440D37"/>
    <w:rsid w:val="00440E07"/>
    <w:rsid w:val="004412AA"/>
    <w:rsid w:val="00441364"/>
    <w:rsid w:val="0044159E"/>
    <w:rsid w:val="004416C5"/>
    <w:rsid w:val="004418AF"/>
    <w:rsid w:val="004419ED"/>
    <w:rsid w:val="00441B0B"/>
    <w:rsid w:val="00441BB0"/>
    <w:rsid w:val="00441EFE"/>
    <w:rsid w:val="00442001"/>
    <w:rsid w:val="0044211F"/>
    <w:rsid w:val="00442167"/>
    <w:rsid w:val="0044218B"/>
    <w:rsid w:val="0044238D"/>
    <w:rsid w:val="0044246C"/>
    <w:rsid w:val="0044247E"/>
    <w:rsid w:val="00442595"/>
    <w:rsid w:val="00442630"/>
    <w:rsid w:val="00442802"/>
    <w:rsid w:val="00442A03"/>
    <w:rsid w:val="00442AEF"/>
    <w:rsid w:val="00442B6F"/>
    <w:rsid w:val="00442BE3"/>
    <w:rsid w:val="00442F32"/>
    <w:rsid w:val="004433FA"/>
    <w:rsid w:val="004433FF"/>
    <w:rsid w:val="00443485"/>
    <w:rsid w:val="004435FD"/>
    <w:rsid w:val="00443747"/>
    <w:rsid w:val="00443855"/>
    <w:rsid w:val="004438A4"/>
    <w:rsid w:val="00443958"/>
    <w:rsid w:val="00443A9D"/>
    <w:rsid w:val="00443C23"/>
    <w:rsid w:val="00443CC0"/>
    <w:rsid w:val="00443CD9"/>
    <w:rsid w:val="00443D68"/>
    <w:rsid w:val="00443D7F"/>
    <w:rsid w:val="00443FF4"/>
    <w:rsid w:val="004441AE"/>
    <w:rsid w:val="004444F1"/>
    <w:rsid w:val="004445F6"/>
    <w:rsid w:val="0044477F"/>
    <w:rsid w:val="00444884"/>
    <w:rsid w:val="00444907"/>
    <w:rsid w:val="004449E8"/>
    <w:rsid w:val="00444A48"/>
    <w:rsid w:val="00444B1D"/>
    <w:rsid w:val="00444B52"/>
    <w:rsid w:val="00444C20"/>
    <w:rsid w:val="00444C41"/>
    <w:rsid w:val="00444DDE"/>
    <w:rsid w:val="00444E5D"/>
    <w:rsid w:val="00444FD6"/>
    <w:rsid w:val="00445103"/>
    <w:rsid w:val="00445173"/>
    <w:rsid w:val="0044527A"/>
    <w:rsid w:val="004452AC"/>
    <w:rsid w:val="004455D0"/>
    <w:rsid w:val="0044576D"/>
    <w:rsid w:val="0044597E"/>
    <w:rsid w:val="00445B06"/>
    <w:rsid w:val="00445F07"/>
    <w:rsid w:val="0044621B"/>
    <w:rsid w:val="004464A9"/>
    <w:rsid w:val="004468D5"/>
    <w:rsid w:val="004469AB"/>
    <w:rsid w:val="00446A90"/>
    <w:rsid w:val="00446C98"/>
    <w:rsid w:val="00446CD3"/>
    <w:rsid w:val="00447015"/>
    <w:rsid w:val="004471CF"/>
    <w:rsid w:val="00447306"/>
    <w:rsid w:val="00447589"/>
    <w:rsid w:val="00447628"/>
    <w:rsid w:val="00447695"/>
    <w:rsid w:val="0044780A"/>
    <w:rsid w:val="0044787D"/>
    <w:rsid w:val="00447B00"/>
    <w:rsid w:val="00447B41"/>
    <w:rsid w:val="00447CC4"/>
    <w:rsid w:val="00447ECF"/>
    <w:rsid w:val="00447F9A"/>
    <w:rsid w:val="00447FF7"/>
    <w:rsid w:val="0045043A"/>
    <w:rsid w:val="00450717"/>
    <w:rsid w:val="0045074B"/>
    <w:rsid w:val="00450762"/>
    <w:rsid w:val="004508F0"/>
    <w:rsid w:val="00450DDD"/>
    <w:rsid w:val="00450ED0"/>
    <w:rsid w:val="00450FF3"/>
    <w:rsid w:val="00451136"/>
    <w:rsid w:val="00451256"/>
    <w:rsid w:val="004514B0"/>
    <w:rsid w:val="00451587"/>
    <w:rsid w:val="004515ED"/>
    <w:rsid w:val="004518AD"/>
    <w:rsid w:val="004518E1"/>
    <w:rsid w:val="00451AE6"/>
    <w:rsid w:val="00451EF9"/>
    <w:rsid w:val="00452045"/>
    <w:rsid w:val="00452114"/>
    <w:rsid w:val="00452383"/>
    <w:rsid w:val="004523C1"/>
    <w:rsid w:val="004523E7"/>
    <w:rsid w:val="004524AD"/>
    <w:rsid w:val="00452645"/>
    <w:rsid w:val="004526D5"/>
    <w:rsid w:val="0045291D"/>
    <w:rsid w:val="004529D6"/>
    <w:rsid w:val="00452B53"/>
    <w:rsid w:val="00452C2E"/>
    <w:rsid w:val="00452D0D"/>
    <w:rsid w:val="00452D11"/>
    <w:rsid w:val="00452D16"/>
    <w:rsid w:val="00452E8D"/>
    <w:rsid w:val="00452FC7"/>
    <w:rsid w:val="004530EE"/>
    <w:rsid w:val="004530FB"/>
    <w:rsid w:val="0045310B"/>
    <w:rsid w:val="0045329D"/>
    <w:rsid w:val="004533B7"/>
    <w:rsid w:val="004536FC"/>
    <w:rsid w:val="00453848"/>
    <w:rsid w:val="0045396F"/>
    <w:rsid w:val="00453BB9"/>
    <w:rsid w:val="00453BBE"/>
    <w:rsid w:val="00453C69"/>
    <w:rsid w:val="00453EA3"/>
    <w:rsid w:val="0045403B"/>
    <w:rsid w:val="004543C1"/>
    <w:rsid w:val="00454419"/>
    <w:rsid w:val="0045449C"/>
    <w:rsid w:val="0045455B"/>
    <w:rsid w:val="004546E1"/>
    <w:rsid w:val="00454736"/>
    <w:rsid w:val="004547BF"/>
    <w:rsid w:val="004548B6"/>
    <w:rsid w:val="004548C8"/>
    <w:rsid w:val="004548CF"/>
    <w:rsid w:val="00454B08"/>
    <w:rsid w:val="00454B0A"/>
    <w:rsid w:val="00454BA0"/>
    <w:rsid w:val="00454BFD"/>
    <w:rsid w:val="00454D07"/>
    <w:rsid w:val="00454D6D"/>
    <w:rsid w:val="00454DAA"/>
    <w:rsid w:val="00454E4F"/>
    <w:rsid w:val="00454F2F"/>
    <w:rsid w:val="0045528D"/>
    <w:rsid w:val="00455354"/>
    <w:rsid w:val="00455617"/>
    <w:rsid w:val="0045562C"/>
    <w:rsid w:val="00455652"/>
    <w:rsid w:val="004559FC"/>
    <w:rsid w:val="00455C02"/>
    <w:rsid w:val="00455C3A"/>
    <w:rsid w:val="00455C58"/>
    <w:rsid w:val="00455DA7"/>
    <w:rsid w:val="00455E81"/>
    <w:rsid w:val="00456077"/>
    <w:rsid w:val="0045607C"/>
    <w:rsid w:val="00456095"/>
    <w:rsid w:val="00456168"/>
    <w:rsid w:val="004563A3"/>
    <w:rsid w:val="004563AD"/>
    <w:rsid w:val="004564D3"/>
    <w:rsid w:val="00456567"/>
    <w:rsid w:val="004565BA"/>
    <w:rsid w:val="00456676"/>
    <w:rsid w:val="004566A2"/>
    <w:rsid w:val="0045678D"/>
    <w:rsid w:val="00456849"/>
    <w:rsid w:val="00456A01"/>
    <w:rsid w:val="00456A7E"/>
    <w:rsid w:val="00456AAF"/>
    <w:rsid w:val="00456AB9"/>
    <w:rsid w:val="00456B32"/>
    <w:rsid w:val="00456BC1"/>
    <w:rsid w:val="00456CCF"/>
    <w:rsid w:val="00456F49"/>
    <w:rsid w:val="00457317"/>
    <w:rsid w:val="0045740F"/>
    <w:rsid w:val="004574DE"/>
    <w:rsid w:val="00457555"/>
    <w:rsid w:val="00457718"/>
    <w:rsid w:val="0045797B"/>
    <w:rsid w:val="00457AFF"/>
    <w:rsid w:val="00457B51"/>
    <w:rsid w:val="00457CA3"/>
    <w:rsid w:val="00457D21"/>
    <w:rsid w:val="00457E0A"/>
    <w:rsid w:val="00457F78"/>
    <w:rsid w:val="00457FF3"/>
    <w:rsid w:val="00460067"/>
    <w:rsid w:val="004601AC"/>
    <w:rsid w:val="004601AF"/>
    <w:rsid w:val="00460402"/>
    <w:rsid w:val="0046053F"/>
    <w:rsid w:val="00460597"/>
    <w:rsid w:val="004605A8"/>
    <w:rsid w:val="00460646"/>
    <w:rsid w:val="004606A3"/>
    <w:rsid w:val="004607D2"/>
    <w:rsid w:val="00460840"/>
    <w:rsid w:val="00460AD7"/>
    <w:rsid w:val="00460AED"/>
    <w:rsid w:val="00460C38"/>
    <w:rsid w:val="00460C63"/>
    <w:rsid w:val="00460D33"/>
    <w:rsid w:val="0046108A"/>
    <w:rsid w:val="00461113"/>
    <w:rsid w:val="00461443"/>
    <w:rsid w:val="004614D4"/>
    <w:rsid w:val="00461517"/>
    <w:rsid w:val="004615C2"/>
    <w:rsid w:val="00461633"/>
    <w:rsid w:val="004616B6"/>
    <w:rsid w:val="004616F1"/>
    <w:rsid w:val="00461767"/>
    <w:rsid w:val="00461923"/>
    <w:rsid w:val="00461944"/>
    <w:rsid w:val="0046197E"/>
    <w:rsid w:val="00461AF3"/>
    <w:rsid w:val="00461B6A"/>
    <w:rsid w:val="00461B6F"/>
    <w:rsid w:val="00461CD8"/>
    <w:rsid w:val="00461D64"/>
    <w:rsid w:val="00461DDA"/>
    <w:rsid w:val="0046239A"/>
    <w:rsid w:val="00462791"/>
    <w:rsid w:val="00462814"/>
    <w:rsid w:val="004628AE"/>
    <w:rsid w:val="004628FA"/>
    <w:rsid w:val="00462911"/>
    <w:rsid w:val="00462A5C"/>
    <w:rsid w:val="00462D48"/>
    <w:rsid w:val="00462F66"/>
    <w:rsid w:val="00462FA1"/>
    <w:rsid w:val="00463128"/>
    <w:rsid w:val="004632C9"/>
    <w:rsid w:val="00463545"/>
    <w:rsid w:val="004635FC"/>
    <w:rsid w:val="00463898"/>
    <w:rsid w:val="004639D0"/>
    <w:rsid w:val="00463A9D"/>
    <w:rsid w:val="00463C99"/>
    <w:rsid w:val="00463E86"/>
    <w:rsid w:val="00463EE2"/>
    <w:rsid w:val="004640E6"/>
    <w:rsid w:val="00464132"/>
    <w:rsid w:val="0046427A"/>
    <w:rsid w:val="0046427D"/>
    <w:rsid w:val="004644A3"/>
    <w:rsid w:val="00464504"/>
    <w:rsid w:val="004646C1"/>
    <w:rsid w:val="00464807"/>
    <w:rsid w:val="0046490D"/>
    <w:rsid w:val="00464945"/>
    <w:rsid w:val="00464995"/>
    <w:rsid w:val="00464A6B"/>
    <w:rsid w:val="00464A93"/>
    <w:rsid w:val="00464B64"/>
    <w:rsid w:val="00464B71"/>
    <w:rsid w:val="00464B80"/>
    <w:rsid w:val="00464C9C"/>
    <w:rsid w:val="00464D05"/>
    <w:rsid w:val="00464D23"/>
    <w:rsid w:val="00464E02"/>
    <w:rsid w:val="00464F7C"/>
    <w:rsid w:val="00464FF8"/>
    <w:rsid w:val="0046500A"/>
    <w:rsid w:val="00465142"/>
    <w:rsid w:val="004652CE"/>
    <w:rsid w:val="00465489"/>
    <w:rsid w:val="0046572F"/>
    <w:rsid w:val="004657E4"/>
    <w:rsid w:val="00465828"/>
    <w:rsid w:val="0046584E"/>
    <w:rsid w:val="00465898"/>
    <w:rsid w:val="004658C4"/>
    <w:rsid w:val="004658E7"/>
    <w:rsid w:val="00465998"/>
    <w:rsid w:val="00465B3E"/>
    <w:rsid w:val="00465BAB"/>
    <w:rsid w:val="00465C3A"/>
    <w:rsid w:val="00465C51"/>
    <w:rsid w:val="00465DB4"/>
    <w:rsid w:val="00465E17"/>
    <w:rsid w:val="00465F9F"/>
    <w:rsid w:val="00466077"/>
    <w:rsid w:val="00466137"/>
    <w:rsid w:val="0046623D"/>
    <w:rsid w:val="00466271"/>
    <w:rsid w:val="004663D5"/>
    <w:rsid w:val="0046641E"/>
    <w:rsid w:val="004669FB"/>
    <w:rsid w:val="00466B17"/>
    <w:rsid w:val="00466FE4"/>
    <w:rsid w:val="00467267"/>
    <w:rsid w:val="004674C2"/>
    <w:rsid w:val="0046760E"/>
    <w:rsid w:val="0046778D"/>
    <w:rsid w:val="0046789C"/>
    <w:rsid w:val="00467B1C"/>
    <w:rsid w:val="00467B84"/>
    <w:rsid w:val="00467DF4"/>
    <w:rsid w:val="00467E32"/>
    <w:rsid w:val="00467F11"/>
    <w:rsid w:val="004700D9"/>
    <w:rsid w:val="004704B8"/>
    <w:rsid w:val="004705A0"/>
    <w:rsid w:val="004705C2"/>
    <w:rsid w:val="0047069F"/>
    <w:rsid w:val="004706C7"/>
    <w:rsid w:val="00470829"/>
    <w:rsid w:val="00470951"/>
    <w:rsid w:val="00470A41"/>
    <w:rsid w:val="00470DBA"/>
    <w:rsid w:val="00470DFB"/>
    <w:rsid w:val="00470EE8"/>
    <w:rsid w:val="00471053"/>
    <w:rsid w:val="0047116A"/>
    <w:rsid w:val="004711FB"/>
    <w:rsid w:val="0047120E"/>
    <w:rsid w:val="0047129C"/>
    <w:rsid w:val="004713C1"/>
    <w:rsid w:val="0047152F"/>
    <w:rsid w:val="004716BE"/>
    <w:rsid w:val="00471822"/>
    <w:rsid w:val="004719C0"/>
    <w:rsid w:val="00471CC2"/>
    <w:rsid w:val="00471D4F"/>
    <w:rsid w:val="00471E4F"/>
    <w:rsid w:val="00471EA2"/>
    <w:rsid w:val="00472086"/>
    <w:rsid w:val="00472168"/>
    <w:rsid w:val="0047218D"/>
    <w:rsid w:val="004721FC"/>
    <w:rsid w:val="00472268"/>
    <w:rsid w:val="0047227E"/>
    <w:rsid w:val="00472388"/>
    <w:rsid w:val="00472569"/>
    <w:rsid w:val="00472622"/>
    <w:rsid w:val="004727AE"/>
    <w:rsid w:val="00472C56"/>
    <w:rsid w:val="00472CB4"/>
    <w:rsid w:val="00472E42"/>
    <w:rsid w:val="00472E99"/>
    <w:rsid w:val="004730B9"/>
    <w:rsid w:val="00473117"/>
    <w:rsid w:val="00473146"/>
    <w:rsid w:val="00473293"/>
    <w:rsid w:val="004732E4"/>
    <w:rsid w:val="00473538"/>
    <w:rsid w:val="00473608"/>
    <w:rsid w:val="004736D2"/>
    <w:rsid w:val="004737F5"/>
    <w:rsid w:val="00473811"/>
    <w:rsid w:val="00473823"/>
    <w:rsid w:val="00473A30"/>
    <w:rsid w:val="00473B94"/>
    <w:rsid w:val="00473D2F"/>
    <w:rsid w:val="004740B5"/>
    <w:rsid w:val="00474110"/>
    <w:rsid w:val="004742EE"/>
    <w:rsid w:val="0047440F"/>
    <w:rsid w:val="004744D3"/>
    <w:rsid w:val="00474520"/>
    <w:rsid w:val="0047458D"/>
    <w:rsid w:val="00474B4C"/>
    <w:rsid w:val="00474E81"/>
    <w:rsid w:val="00474EAD"/>
    <w:rsid w:val="00474ED7"/>
    <w:rsid w:val="00475112"/>
    <w:rsid w:val="00475403"/>
    <w:rsid w:val="0047547D"/>
    <w:rsid w:val="004754D1"/>
    <w:rsid w:val="00475538"/>
    <w:rsid w:val="0047566A"/>
    <w:rsid w:val="0047587E"/>
    <w:rsid w:val="004759D4"/>
    <w:rsid w:val="00475A1E"/>
    <w:rsid w:val="00475CD1"/>
    <w:rsid w:val="00476095"/>
    <w:rsid w:val="004763D2"/>
    <w:rsid w:val="004764DD"/>
    <w:rsid w:val="0047664A"/>
    <w:rsid w:val="004766C7"/>
    <w:rsid w:val="00476775"/>
    <w:rsid w:val="0047683C"/>
    <w:rsid w:val="004769DB"/>
    <w:rsid w:val="004769E8"/>
    <w:rsid w:val="00476A47"/>
    <w:rsid w:val="00476A96"/>
    <w:rsid w:val="00476BC9"/>
    <w:rsid w:val="00476E61"/>
    <w:rsid w:val="00476EBA"/>
    <w:rsid w:val="0047710F"/>
    <w:rsid w:val="00477142"/>
    <w:rsid w:val="00477184"/>
    <w:rsid w:val="004771D7"/>
    <w:rsid w:val="004771FE"/>
    <w:rsid w:val="00477263"/>
    <w:rsid w:val="004773AE"/>
    <w:rsid w:val="00477474"/>
    <w:rsid w:val="00477497"/>
    <w:rsid w:val="004775D4"/>
    <w:rsid w:val="0047774F"/>
    <w:rsid w:val="0047781D"/>
    <w:rsid w:val="00477853"/>
    <w:rsid w:val="00477865"/>
    <w:rsid w:val="004779B3"/>
    <w:rsid w:val="00477AA0"/>
    <w:rsid w:val="00477ACD"/>
    <w:rsid w:val="00477BAD"/>
    <w:rsid w:val="00477CF3"/>
    <w:rsid w:val="00477E4C"/>
    <w:rsid w:val="00477EEA"/>
    <w:rsid w:val="00477F25"/>
    <w:rsid w:val="00477F9A"/>
    <w:rsid w:val="0048013F"/>
    <w:rsid w:val="00480267"/>
    <w:rsid w:val="00480269"/>
    <w:rsid w:val="004802C1"/>
    <w:rsid w:val="004803ED"/>
    <w:rsid w:val="004806A2"/>
    <w:rsid w:val="004808AB"/>
    <w:rsid w:val="00480E96"/>
    <w:rsid w:val="00480F8A"/>
    <w:rsid w:val="00481043"/>
    <w:rsid w:val="004811C2"/>
    <w:rsid w:val="00481296"/>
    <w:rsid w:val="004812DA"/>
    <w:rsid w:val="004812FC"/>
    <w:rsid w:val="004814D8"/>
    <w:rsid w:val="0048153C"/>
    <w:rsid w:val="004815E1"/>
    <w:rsid w:val="00481794"/>
    <w:rsid w:val="004817C8"/>
    <w:rsid w:val="00481846"/>
    <w:rsid w:val="00481872"/>
    <w:rsid w:val="004819BC"/>
    <w:rsid w:val="004819F1"/>
    <w:rsid w:val="00481BBE"/>
    <w:rsid w:val="00481D86"/>
    <w:rsid w:val="00481E0E"/>
    <w:rsid w:val="00481ED2"/>
    <w:rsid w:val="00481F8B"/>
    <w:rsid w:val="00481FD8"/>
    <w:rsid w:val="00482033"/>
    <w:rsid w:val="004820B6"/>
    <w:rsid w:val="00482104"/>
    <w:rsid w:val="004821FD"/>
    <w:rsid w:val="004822EF"/>
    <w:rsid w:val="00482306"/>
    <w:rsid w:val="00482764"/>
    <w:rsid w:val="00482A17"/>
    <w:rsid w:val="00482B63"/>
    <w:rsid w:val="00482BE9"/>
    <w:rsid w:val="00483120"/>
    <w:rsid w:val="0048322D"/>
    <w:rsid w:val="00483372"/>
    <w:rsid w:val="004834F4"/>
    <w:rsid w:val="0048352A"/>
    <w:rsid w:val="00483605"/>
    <w:rsid w:val="00483626"/>
    <w:rsid w:val="004836CF"/>
    <w:rsid w:val="004839BA"/>
    <w:rsid w:val="00483A7A"/>
    <w:rsid w:val="00483BED"/>
    <w:rsid w:val="00483D1B"/>
    <w:rsid w:val="00483DDC"/>
    <w:rsid w:val="00483E8B"/>
    <w:rsid w:val="00484222"/>
    <w:rsid w:val="00484277"/>
    <w:rsid w:val="0048447E"/>
    <w:rsid w:val="004844A9"/>
    <w:rsid w:val="00484587"/>
    <w:rsid w:val="0048459B"/>
    <w:rsid w:val="0048462F"/>
    <w:rsid w:val="00484806"/>
    <w:rsid w:val="00484A0E"/>
    <w:rsid w:val="00484A79"/>
    <w:rsid w:val="00484A87"/>
    <w:rsid w:val="00484ABC"/>
    <w:rsid w:val="00484B5B"/>
    <w:rsid w:val="00484BCC"/>
    <w:rsid w:val="00484C51"/>
    <w:rsid w:val="00484C7B"/>
    <w:rsid w:val="00484FD6"/>
    <w:rsid w:val="004850E5"/>
    <w:rsid w:val="0048519F"/>
    <w:rsid w:val="00485277"/>
    <w:rsid w:val="004852BA"/>
    <w:rsid w:val="00485376"/>
    <w:rsid w:val="004854A3"/>
    <w:rsid w:val="00485503"/>
    <w:rsid w:val="00485543"/>
    <w:rsid w:val="004855B3"/>
    <w:rsid w:val="004855CF"/>
    <w:rsid w:val="0048564B"/>
    <w:rsid w:val="00485706"/>
    <w:rsid w:val="004858BD"/>
    <w:rsid w:val="00485A72"/>
    <w:rsid w:val="00485DBB"/>
    <w:rsid w:val="00485E83"/>
    <w:rsid w:val="00485F1A"/>
    <w:rsid w:val="00485FCE"/>
    <w:rsid w:val="00485FD7"/>
    <w:rsid w:val="00486067"/>
    <w:rsid w:val="004862CB"/>
    <w:rsid w:val="0048644B"/>
    <w:rsid w:val="004864F7"/>
    <w:rsid w:val="004865C1"/>
    <w:rsid w:val="004866D6"/>
    <w:rsid w:val="00486A28"/>
    <w:rsid w:val="00486C6F"/>
    <w:rsid w:val="00486CAC"/>
    <w:rsid w:val="00486D49"/>
    <w:rsid w:val="00487045"/>
    <w:rsid w:val="0048718A"/>
    <w:rsid w:val="00487255"/>
    <w:rsid w:val="00487365"/>
    <w:rsid w:val="00487396"/>
    <w:rsid w:val="00487548"/>
    <w:rsid w:val="0048765B"/>
    <w:rsid w:val="00487664"/>
    <w:rsid w:val="00487717"/>
    <w:rsid w:val="004878E3"/>
    <w:rsid w:val="00487AE3"/>
    <w:rsid w:val="00487C8B"/>
    <w:rsid w:val="00487E98"/>
    <w:rsid w:val="00487EB6"/>
    <w:rsid w:val="00487F83"/>
    <w:rsid w:val="00487FA4"/>
    <w:rsid w:val="00487FAA"/>
    <w:rsid w:val="00487FB3"/>
    <w:rsid w:val="004900B7"/>
    <w:rsid w:val="00490663"/>
    <w:rsid w:val="004906E7"/>
    <w:rsid w:val="00490813"/>
    <w:rsid w:val="00490837"/>
    <w:rsid w:val="00490846"/>
    <w:rsid w:val="0049086E"/>
    <w:rsid w:val="0049086F"/>
    <w:rsid w:val="00490A20"/>
    <w:rsid w:val="00490AB2"/>
    <w:rsid w:val="00490BA3"/>
    <w:rsid w:val="00490DE1"/>
    <w:rsid w:val="00490E04"/>
    <w:rsid w:val="00490EE1"/>
    <w:rsid w:val="00490EEB"/>
    <w:rsid w:val="00490F89"/>
    <w:rsid w:val="00490F92"/>
    <w:rsid w:val="00490FCA"/>
    <w:rsid w:val="00490FD6"/>
    <w:rsid w:val="00491051"/>
    <w:rsid w:val="0049109F"/>
    <w:rsid w:val="0049121E"/>
    <w:rsid w:val="0049122B"/>
    <w:rsid w:val="0049124D"/>
    <w:rsid w:val="00491253"/>
    <w:rsid w:val="0049127C"/>
    <w:rsid w:val="00491481"/>
    <w:rsid w:val="0049148B"/>
    <w:rsid w:val="00491661"/>
    <w:rsid w:val="00491890"/>
    <w:rsid w:val="00491BC0"/>
    <w:rsid w:val="00491DE4"/>
    <w:rsid w:val="00491F61"/>
    <w:rsid w:val="00491F63"/>
    <w:rsid w:val="00491FCC"/>
    <w:rsid w:val="00492132"/>
    <w:rsid w:val="004922C5"/>
    <w:rsid w:val="0049239B"/>
    <w:rsid w:val="004923BC"/>
    <w:rsid w:val="00492452"/>
    <w:rsid w:val="00492826"/>
    <w:rsid w:val="00492A33"/>
    <w:rsid w:val="00492B92"/>
    <w:rsid w:val="00492CB7"/>
    <w:rsid w:val="00492EE4"/>
    <w:rsid w:val="00492F95"/>
    <w:rsid w:val="00493032"/>
    <w:rsid w:val="0049317D"/>
    <w:rsid w:val="00493297"/>
    <w:rsid w:val="00493551"/>
    <w:rsid w:val="00493956"/>
    <w:rsid w:val="00493A3B"/>
    <w:rsid w:val="00493B35"/>
    <w:rsid w:val="00493F28"/>
    <w:rsid w:val="00493F3B"/>
    <w:rsid w:val="00494474"/>
    <w:rsid w:val="004944E7"/>
    <w:rsid w:val="004945DC"/>
    <w:rsid w:val="004947D4"/>
    <w:rsid w:val="00494C82"/>
    <w:rsid w:val="00494F7D"/>
    <w:rsid w:val="00495032"/>
    <w:rsid w:val="00495155"/>
    <w:rsid w:val="0049522C"/>
    <w:rsid w:val="00495773"/>
    <w:rsid w:val="00495938"/>
    <w:rsid w:val="00495A0B"/>
    <w:rsid w:val="00495C40"/>
    <w:rsid w:val="00495DA6"/>
    <w:rsid w:val="00495DF0"/>
    <w:rsid w:val="00496081"/>
    <w:rsid w:val="00496319"/>
    <w:rsid w:val="0049648F"/>
    <w:rsid w:val="00496539"/>
    <w:rsid w:val="004966A1"/>
    <w:rsid w:val="004966BC"/>
    <w:rsid w:val="004968C0"/>
    <w:rsid w:val="00496BF3"/>
    <w:rsid w:val="00496C7D"/>
    <w:rsid w:val="00496C8F"/>
    <w:rsid w:val="00496D53"/>
    <w:rsid w:val="00496DC7"/>
    <w:rsid w:val="00496DD0"/>
    <w:rsid w:val="0049711A"/>
    <w:rsid w:val="004971B9"/>
    <w:rsid w:val="004971D2"/>
    <w:rsid w:val="0049735C"/>
    <w:rsid w:val="00497524"/>
    <w:rsid w:val="004975EC"/>
    <w:rsid w:val="00497888"/>
    <w:rsid w:val="004978F3"/>
    <w:rsid w:val="004978FA"/>
    <w:rsid w:val="00497DA1"/>
    <w:rsid w:val="004A01C7"/>
    <w:rsid w:val="004A0246"/>
    <w:rsid w:val="004A02A7"/>
    <w:rsid w:val="004A03DD"/>
    <w:rsid w:val="004A092C"/>
    <w:rsid w:val="004A0971"/>
    <w:rsid w:val="004A0B18"/>
    <w:rsid w:val="004A0B4F"/>
    <w:rsid w:val="004A0B68"/>
    <w:rsid w:val="004A0B87"/>
    <w:rsid w:val="004A0BEA"/>
    <w:rsid w:val="004A0E21"/>
    <w:rsid w:val="004A10A1"/>
    <w:rsid w:val="004A10A7"/>
    <w:rsid w:val="004A10B7"/>
    <w:rsid w:val="004A1205"/>
    <w:rsid w:val="004A1361"/>
    <w:rsid w:val="004A13CC"/>
    <w:rsid w:val="004A14CD"/>
    <w:rsid w:val="004A1506"/>
    <w:rsid w:val="004A1573"/>
    <w:rsid w:val="004A1A0B"/>
    <w:rsid w:val="004A1A3C"/>
    <w:rsid w:val="004A1A45"/>
    <w:rsid w:val="004A1AFC"/>
    <w:rsid w:val="004A1C5A"/>
    <w:rsid w:val="004A1D99"/>
    <w:rsid w:val="004A1F28"/>
    <w:rsid w:val="004A206B"/>
    <w:rsid w:val="004A20CF"/>
    <w:rsid w:val="004A2329"/>
    <w:rsid w:val="004A24D4"/>
    <w:rsid w:val="004A2573"/>
    <w:rsid w:val="004A25DC"/>
    <w:rsid w:val="004A26C6"/>
    <w:rsid w:val="004A2780"/>
    <w:rsid w:val="004A2845"/>
    <w:rsid w:val="004A28ED"/>
    <w:rsid w:val="004A28FD"/>
    <w:rsid w:val="004A292F"/>
    <w:rsid w:val="004A2942"/>
    <w:rsid w:val="004A29BE"/>
    <w:rsid w:val="004A2A95"/>
    <w:rsid w:val="004A2C24"/>
    <w:rsid w:val="004A2C25"/>
    <w:rsid w:val="004A2F59"/>
    <w:rsid w:val="004A2F98"/>
    <w:rsid w:val="004A304D"/>
    <w:rsid w:val="004A3059"/>
    <w:rsid w:val="004A31C9"/>
    <w:rsid w:val="004A320D"/>
    <w:rsid w:val="004A328F"/>
    <w:rsid w:val="004A3726"/>
    <w:rsid w:val="004A397B"/>
    <w:rsid w:val="004A3A16"/>
    <w:rsid w:val="004A40D8"/>
    <w:rsid w:val="004A422F"/>
    <w:rsid w:val="004A430A"/>
    <w:rsid w:val="004A4750"/>
    <w:rsid w:val="004A4813"/>
    <w:rsid w:val="004A4858"/>
    <w:rsid w:val="004A49D6"/>
    <w:rsid w:val="004A4AF9"/>
    <w:rsid w:val="004A4CFC"/>
    <w:rsid w:val="004A4E19"/>
    <w:rsid w:val="004A4EC2"/>
    <w:rsid w:val="004A4EC5"/>
    <w:rsid w:val="004A4FBA"/>
    <w:rsid w:val="004A50DA"/>
    <w:rsid w:val="004A516F"/>
    <w:rsid w:val="004A5578"/>
    <w:rsid w:val="004A5651"/>
    <w:rsid w:val="004A58C2"/>
    <w:rsid w:val="004A592B"/>
    <w:rsid w:val="004A59E2"/>
    <w:rsid w:val="004A5B90"/>
    <w:rsid w:val="004A5C0E"/>
    <w:rsid w:val="004A5C3D"/>
    <w:rsid w:val="004A5EB3"/>
    <w:rsid w:val="004A642E"/>
    <w:rsid w:val="004A646A"/>
    <w:rsid w:val="004A647C"/>
    <w:rsid w:val="004A6535"/>
    <w:rsid w:val="004A675D"/>
    <w:rsid w:val="004A677A"/>
    <w:rsid w:val="004A67ED"/>
    <w:rsid w:val="004A683C"/>
    <w:rsid w:val="004A685E"/>
    <w:rsid w:val="004A686D"/>
    <w:rsid w:val="004A687D"/>
    <w:rsid w:val="004A69F9"/>
    <w:rsid w:val="004A6B90"/>
    <w:rsid w:val="004A7051"/>
    <w:rsid w:val="004A72B6"/>
    <w:rsid w:val="004A7372"/>
    <w:rsid w:val="004A73A8"/>
    <w:rsid w:val="004A7431"/>
    <w:rsid w:val="004A743B"/>
    <w:rsid w:val="004A7550"/>
    <w:rsid w:val="004A7644"/>
    <w:rsid w:val="004A764E"/>
    <w:rsid w:val="004A7770"/>
    <w:rsid w:val="004A78EA"/>
    <w:rsid w:val="004A7913"/>
    <w:rsid w:val="004A799D"/>
    <w:rsid w:val="004A7B41"/>
    <w:rsid w:val="004A7BCD"/>
    <w:rsid w:val="004A7C2F"/>
    <w:rsid w:val="004A7D6B"/>
    <w:rsid w:val="004B0093"/>
    <w:rsid w:val="004B016C"/>
    <w:rsid w:val="004B020B"/>
    <w:rsid w:val="004B026A"/>
    <w:rsid w:val="004B02F2"/>
    <w:rsid w:val="004B03CD"/>
    <w:rsid w:val="004B049C"/>
    <w:rsid w:val="004B0538"/>
    <w:rsid w:val="004B063E"/>
    <w:rsid w:val="004B0743"/>
    <w:rsid w:val="004B07D1"/>
    <w:rsid w:val="004B0A30"/>
    <w:rsid w:val="004B0B77"/>
    <w:rsid w:val="004B0CA2"/>
    <w:rsid w:val="004B0CFE"/>
    <w:rsid w:val="004B0FC4"/>
    <w:rsid w:val="004B11F6"/>
    <w:rsid w:val="004B178D"/>
    <w:rsid w:val="004B178E"/>
    <w:rsid w:val="004B17F5"/>
    <w:rsid w:val="004B1860"/>
    <w:rsid w:val="004B1990"/>
    <w:rsid w:val="004B1A8D"/>
    <w:rsid w:val="004B1ADD"/>
    <w:rsid w:val="004B1BE8"/>
    <w:rsid w:val="004B1C60"/>
    <w:rsid w:val="004B1D16"/>
    <w:rsid w:val="004B1D90"/>
    <w:rsid w:val="004B1E65"/>
    <w:rsid w:val="004B22C4"/>
    <w:rsid w:val="004B23DC"/>
    <w:rsid w:val="004B24E2"/>
    <w:rsid w:val="004B254D"/>
    <w:rsid w:val="004B2576"/>
    <w:rsid w:val="004B25FD"/>
    <w:rsid w:val="004B2610"/>
    <w:rsid w:val="004B26F9"/>
    <w:rsid w:val="004B2832"/>
    <w:rsid w:val="004B283E"/>
    <w:rsid w:val="004B2DFA"/>
    <w:rsid w:val="004B2E41"/>
    <w:rsid w:val="004B2F3F"/>
    <w:rsid w:val="004B3056"/>
    <w:rsid w:val="004B30D6"/>
    <w:rsid w:val="004B30EB"/>
    <w:rsid w:val="004B3106"/>
    <w:rsid w:val="004B3143"/>
    <w:rsid w:val="004B324F"/>
    <w:rsid w:val="004B325E"/>
    <w:rsid w:val="004B3427"/>
    <w:rsid w:val="004B34F4"/>
    <w:rsid w:val="004B35BB"/>
    <w:rsid w:val="004B377E"/>
    <w:rsid w:val="004B37C8"/>
    <w:rsid w:val="004B3802"/>
    <w:rsid w:val="004B385D"/>
    <w:rsid w:val="004B38B5"/>
    <w:rsid w:val="004B3CF3"/>
    <w:rsid w:val="004B4295"/>
    <w:rsid w:val="004B44DE"/>
    <w:rsid w:val="004B4635"/>
    <w:rsid w:val="004B4741"/>
    <w:rsid w:val="004B47AD"/>
    <w:rsid w:val="004B4BDE"/>
    <w:rsid w:val="004B4CE7"/>
    <w:rsid w:val="004B4E8F"/>
    <w:rsid w:val="004B4EF9"/>
    <w:rsid w:val="004B5155"/>
    <w:rsid w:val="004B517E"/>
    <w:rsid w:val="004B5332"/>
    <w:rsid w:val="004B5452"/>
    <w:rsid w:val="004B54BB"/>
    <w:rsid w:val="004B585C"/>
    <w:rsid w:val="004B5A39"/>
    <w:rsid w:val="004B5BEE"/>
    <w:rsid w:val="004B5C2B"/>
    <w:rsid w:val="004B5C89"/>
    <w:rsid w:val="004B5CC9"/>
    <w:rsid w:val="004B605A"/>
    <w:rsid w:val="004B6072"/>
    <w:rsid w:val="004B6190"/>
    <w:rsid w:val="004B6350"/>
    <w:rsid w:val="004B6430"/>
    <w:rsid w:val="004B675C"/>
    <w:rsid w:val="004B68D0"/>
    <w:rsid w:val="004B6AB8"/>
    <w:rsid w:val="004B6B43"/>
    <w:rsid w:val="004B6B84"/>
    <w:rsid w:val="004B6C8A"/>
    <w:rsid w:val="004B6CEF"/>
    <w:rsid w:val="004B6E70"/>
    <w:rsid w:val="004B7042"/>
    <w:rsid w:val="004B70E3"/>
    <w:rsid w:val="004B7107"/>
    <w:rsid w:val="004B72C7"/>
    <w:rsid w:val="004B740A"/>
    <w:rsid w:val="004B7513"/>
    <w:rsid w:val="004B76EE"/>
    <w:rsid w:val="004B77C5"/>
    <w:rsid w:val="004B7BAD"/>
    <w:rsid w:val="004B7BBA"/>
    <w:rsid w:val="004B7CE8"/>
    <w:rsid w:val="004B7CFB"/>
    <w:rsid w:val="004B7E20"/>
    <w:rsid w:val="004B7FA0"/>
    <w:rsid w:val="004C0048"/>
    <w:rsid w:val="004C00F5"/>
    <w:rsid w:val="004C0377"/>
    <w:rsid w:val="004C053E"/>
    <w:rsid w:val="004C058D"/>
    <w:rsid w:val="004C0900"/>
    <w:rsid w:val="004C0B6F"/>
    <w:rsid w:val="004C0C0D"/>
    <w:rsid w:val="004C0E32"/>
    <w:rsid w:val="004C1059"/>
    <w:rsid w:val="004C105B"/>
    <w:rsid w:val="004C10F5"/>
    <w:rsid w:val="004C1518"/>
    <w:rsid w:val="004C178C"/>
    <w:rsid w:val="004C1857"/>
    <w:rsid w:val="004C18BA"/>
    <w:rsid w:val="004C1A21"/>
    <w:rsid w:val="004C1B50"/>
    <w:rsid w:val="004C1D43"/>
    <w:rsid w:val="004C1E2B"/>
    <w:rsid w:val="004C1EC5"/>
    <w:rsid w:val="004C1F0F"/>
    <w:rsid w:val="004C20BF"/>
    <w:rsid w:val="004C220F"/>
    <w:rsid w:val="004C22E1"/>
    <w:rsid w:val="004C2306"/>
    <w:rsid w:val="004C2403"/>
    <w:rsid w:val="004C2428"/>
    <w:rsid w:val="004C2504"/>
    <w:rsid w:val="004C2657"/>
    <w:rsid w:val="004C2740"/>
    <w:rsid w:val="004C279F"/>
    <w:rsid w:val="004C29A9"/>
    <w:rsid w:val="004C2A86"/>
    <w:rsid w:val="004C2BB2"/>
    <w:rsid w:val="004C2F13"/>
    <w:rsid w:val="004C3064"/>
    <w:rsid w:val="004C3170"/>
    <w:rsid w:val="004C324F"/>
    <w:rsid w:val="004C3272"/>
    <w:rsid w:val="004C32F4"/>
    <w:rsid w:val="004C32FE"/>
    <w:rsid w:val="004C3377"/>
    <w:rsid w:val="004C3501"/>
    <w:rsid w:val="004C36D8"/>
    <w:rsid w:val="004C3762"/>
    <w:rsid w:val="004C3827"/>
    <w:rsid w:val="004C3AE3"/>
    <w:rsid w:val="004C3C18"/>
    <w:rsid w:val="004C3D13"/>
    <w:rsid w:val="004C3E29"/>
    <w:rsid w:val="004C42AE"/>
    <w:rsid w:val="004C430D"/>
    <w:rsid w:val="004C456D"/>
    <w:rsid w:val="004C4782"/>
    <w:rsid w:val="004C499F"/>
    <w:rsid w:val="004C4A93"/>
    <w:rsid w:val="004C4AF2"/>
    <w:rsid w:val="004C4B40"/>
    <w:rsid w:val="004C4C99"/>
    <w:rsid w:val="004C4CA5"/>
    <w:rsid w:val="004C4E91"/>
    <w:rsid w:val="004C4F9A"/>
    <w:rsid w:val="004C4F9D"/>
    <w:rsid w:val="004C5035"/>
    <w:rsid w:val="004C5205"/>
    <w:rsid w:val="004C52ED"/>
    <w:rsid w:val="004C53E4"/>
    <w:rsid w:val="004C5443"/>
    <w:rsid w:val="004C555D"/>
    <w:rsid w:val="004C55A0"/>
    <w:rsid w:val="004C5740"/>
    <w:rsid w:val="004C5912"/>
    <w:rsid w:val="004C5B95"/>
    <w:rsid w:val="004C5E4F"/>
    <w:rsid w:val="004C5F19"/>
    <w:rsid w:val="004C5FA1"/>
    <w:rsid w:val="004C6084"/>
    <w:rsid w:val="004C6148"/>
    <w:rsid w:val="004C6205"/>
    <w:rsid w:val="004C6404"/>
    <w:rsid w:val="004C64B8"/>
    <w:rsid w:val="004C664C"/>
    <w:rsid w:val="004C6825"/>
    <w:rsid w:val="004C6861"/>
    <w:rsid w:val="004C68C3"/>
    <w:rsid w:val="004C6A3A"/>
    <w:rsid w:val="004C6B4C"/>
    <w:rsid w:val="004C6C47"/>
    <w:rsid w:val="004C6CFC"/>
    <w:rsid w:val="004C6D01"/>
    <w:rsid w:val="004C6D16"/>
    <w:rsid w:val="004C6DC2"/>
    <w:rsid w:val="004C6E0B"/>
    <w:rsid w:val="004C6E14"/>
    <w:rsid w:val="004C6FA5"/>
    <w:rsid w:val="004C6FE6"/>
    <w:rsid w:val="004C6FEE"/>
    <w:rsid w:val="004C71C3"/>
    <w:rsid w:val="004C74DA"/>
    <w:rsid w:val="004C77D7"/>
    <w:rsid w:val="004C7804"/>
    <w:rsid w:val="004C7AD4"/>
    <w:rsid w:val="004C7B24"/>
    <w:rsid w:val="004C7C03"/>
    <w:rsid w:val="004C7DF9"/>
    <w:rsid w:val="004C7ED5"/>
    <w:rsid w:val="004C7F1E"/>
    <w:rsid w:val="004C7FF4"/>
    <w:rsid w:val="004D0257"/>
    <w:rsid w:val="004D0583"/>
    <w:rsid w:val="004D06A5"/>
    <w:rsid w:val="004D073A"/>
    <w:rsid w:val="004D0908"/>
    <w:rsid w:val="004D0B33"/>
    <w:rsid w:val="004D0B6A"/>
    <w:rsid w:val="004D0BDB"/>
    <w:rsid w:val="004D0C66"/>
    <w:rsid w:val="004D0E50"/>
    <w:rsid w:val="004D0F0B"/>
    <w:rsid w:val="004D0FA4"/>
    <w:rsid w:val="004D1121"/>
    <w:rsid w:val="004D1335"/>
    <w:rsid w:val="004D14F9"/>
    <w:rsid w:val="004D175D"/>
    <w:rsid w:val="004D19AE"/>
    <w:rsid w:val="004D1B00"/>
    <w:rsid w:val="004D1C76"/>
    <w:rsid w:val="004D1CBC"/>
    <w:rsid w:val="004D204F"/>
    <w:rsid w:val="004D2069"/>
    <w:rsid w:val="004D2118"/>
    <w:rsid w:val="004D2138"/>
    <w:rsid w:val="004D21A6"/>
    <w:rsid w:val="004D2361"/>
    <w:rsid w:val="004D26B5"/>
    <w:rsid w:val="004D2820"/>
    <w:rsid w:val="004D282B"/>
    <w:rsid w:val="004D289A"/>
    <w:rsid w:val="004D28C5"/>
    <w:rsid w:val="004D2945"/>
    <w:rsid w:val="004D2AB0"/>
    <w:rsid w:val="004D2BD0"/>
    <w:rsid w:val="004D2CFA"/>
    <w:rsid w:val="004D301E"/>
    <w:rsid w:val="004D317A"/>
    <w:rsid w:val="004D368B"/>
    <w:rsid w:val="004D371B"/>
    <w:rsid w:val="004D3792"/>
    <w:rsid w:val="004D37DF"/>
    <w:rsid w:val="004D38ED"/>
    <w:rsid w:val="004D3983"/>
    <w:rsid w:val="004D3A4E"/>
    <w:rsid w:val="004D3AEB"/>
    <w:rsid w:val="004D3B06"/>
    <w:rsid w:val="004D3C50"/>
    <w:rsid w:val="004D3F1E"/>
    <w:rsid w:val="004D40C8"/>
    <w:rsid w:val="004D40E2"/>
    <w:rsid w:val="004D40EF"/>
    <w:rsid w:val="004D40F7"/>
    <w:rsid w:val="004D41CB"/>
    <w:rsid w:val="004D45B3"/>
    <w:rsid w:val="004D4AC2"/>
    <w:rsid w:val="004D4B9C"/>
    <w:rsid w:val="004D4BC7"/>
    <w:rsid w:val="004D4E35"/>
    <w:rsid w:val="004D4E48"/>
    <w:rsid w:val="004D4FA1"/>
    <w:rsid w:val="004D503C"/>
    <w:rsid w:val="004D5045"/>
    <w:rsid w:val="004D5069"/>
    <w:rsid w:val="004D50B5"/>
    <w:rsid w:val="004D5429"/>
    <w:rsid w:val="004D54E6"/>
    <w:rsid w:val="004D5513"/>
    <w:rsid w:val="004D5559"/>
    <w:rsid w:val="004D57A1"/>
    <w:rsid w:val="004D5A5C"/>
    <w:rsid w:val="004D5C6A"/>
    <w:rsid w:val="004D5F19"/>
    <w:rsid w:val="004D5F76"/>
    <w:rsid w:val="004D6259"/>
    <w:rsid w:val="004D6526"/>
    <w:rsid w:val="004D667D"/>
    <w:rsid w:val="004D6825"/>
    <w:rsid w:val="004D6DE7"/>
    <w:rsid w:val="004D6EE1"/>
    <w:rsid w:val="004D6F0A"/>
    <w:rsid w:val="004D7053"/>
    <w:rsid w:val="004D7071"/>
    <w:rsid w:val="004D7212"/>
    <w:rsid w:val="004D72E2"/>
    <w:rsid w:val="004D747A"/>
    <w:rsid w:val="004D75BB"/>
    <w:rsid w:val="004D7A2E"/>
    <w:rsid w:val="004D7AB3"/>
    <w:rsid w:val="004D7ADF"/>
    <w:rsid w:val="004D7C00"/>
    <w:rsid w:val="004D7C51"/>
    <w:rsid w:val="004D7C53"/>
    <w:rsid w:val="004D7CC4"/>
    <w:rsid w:val="004D7FC6"/>
    <w:rsid w:val="004E001F"/>
    <w:rsid w:val="004E0040"/>
    <w:rsid w:val="004E00A0"/>
    <w:rsid w:val="004E0268"/>
    <w:rsid w:val="004E0405"/>
    <w:rsid w:val="004E057A"/>
    <w:rsid w:val="004E065A"/>
    <w:rsid w:val="004E07C7"/>
    <w:rsid w:val="004E083C"/>
    <w:rsid w:val="004E0996"/>
    <w:rsid w:val="004E0A47"/>
    <w:rsid w:val="004E0AE5"/>
    <w:rsid w:val="004E0B07"/>
    <w:rsid w:val="004E0B33"/>
    <w:rsid w:val="004E0CB7"/>
    <w:rsid w:val="004E0E50"/>
    <w:rsid w:val="004E0E8E"/>
    <w:rsid w:val="004E0F23"/>
    <w:rsid w:val="004E10EA"/>
    <w:rsid w:val="004E1115"/>
    <w:rsid w:val="004E124B"/>
    <w:rsid w:val="004E146F"/>
    <w:rsid w:val="004E14BE"/>
    <w:rsid w:val="004E1601"/>
    <w:rsid w:val="004E166B"/>
    <w:rsid w:val="004E18FE"/>
    <w:rsid w:val="004E1982"/>
    <w:rsid w:val="004E19DB"/>
    <w:rsid w:val="004E1A2C"/>
    <w:rsid w:val="004E1BE8"/>
    <w:rsid w:val="004E206B"/>
    <w:rsid w:val="004E206E"/>
    <w:rsid w:val="004E2104"/>
    <w:rsid w:val="004E213C"/>
    <w:rsid w:val="004E217C"/>
    <w:rsid w:val="004E2552"/>
    <w:rsid w:val="004E2696"/>
    <w:rsid w:val="004E2723"/>
    <w:rsid w:val="004E289C"/>
    <w:rsid w:val="004E2955"/>
    <w:rsid w:val="004E2976"/>
    <w:rsid w:val="004E29AB"/>
    <w:rsid w:val="004E2AFB"/>
    <w:rsid w:val="004E2E1B"/>
    <w:rsid w:val="004E2E41"/>
    <w:rsid w:val="004E3182"/>
    <w:rsid w:val="004E3470"/>
    <w:rsid w:val="004E35FC"/>
    <w:rsid w:val="004E36B0"/>
    <w:rsid w:val="004E380C"/>
    <w:rsid w:val="004E38F5"/>
    <w:rsid w:val="004E3A39"/>
    <w:rsid w:val="004E3A8D"/>
    <w:rsid w:val="004E3D0B"/>
    <w:rsid w:val="004E3F1A"/>
    <w:rsid w:val="004E403F"/>
    <w:rsid w:val="004E405F"/>
    <w:rsid w:val="004E4102"/>
    <w:rsid w:val="004E4194"/>
    <w:rsid w:val="004E4204"/>
    <w:rsid w:val="004E476B"/>
    <w:rsid w:val="004E47A4"/>
    <w:rsid w:val="004E4A6D"/>
    <w:rsid w:val="004E4C94"/>
    <w:rsid w:val="004E4D55"/>
    <w:rsid w:val="004E4EC1"/>
    <w:rsid w:val="004E52C2"/>
    <w:rsid w:val="004E5500"/>
    <w:rsid w:val="004E5606"/>
    <w:rsid w:val="004E5733"/>
    <w:rsid w:val="004E58C7"/>
    <w:rsid w:val="004E594C"/>
    <w:rsid w:val="004E5A0E"/>
    <w:rsid w:val="004E5A10"/>
    <w:rsid w:val="004E5A14"/>
    <w:rsid w:val="004E5A82"/>
    <w:rsid w:val="004E5E46"/>
    <w:rsid w:val="004E60AF"/>
    <w:rsid w:val="004E6499"/>
    <w:rsid w:val="004E663D"/>
    <w:rsid w:val="004E67B5"/>
    <w:rsid w:val="004E6935"/>
    <w:rsid w:val="004E6940"/>
    <w:rsid w:val="004E6DBF"/>
    <w:rsid w:val="004E6E98"/>
    <w:rsid w:val="004E70AB"/>
    <w:rsid w:val="004E7123"/>
    <w:rsid w:val="004E7131"/>
    <w:rsid w:val="004E742E"/>
    <w:rsid w:val="004E77BD"/>
    <w:rsid w:val="004E77DA"/>
    <w:rsid w:val="004E78C7"/>
    <w:rsid w:val="004E795F"/>
    <w:rsid w:val="004E79AF"/>
    <w:rsid w:val="004E79FA"/>
    <w:rsid w:val="004E7D5C"/>
    <w:rsid w:val="004E7F66"/>
    <w:rsid w:val="004E7F6E"/>
    <w:rsid w:val="004E7F9A"/>
    <w:rsid w:val="004F0040"/>
    <w:rsid w:val="004F0072"/>
    <w:rsid w:val="004F00A6"/>
    <w:rsid w:val="004F00F8"/>
    <w:rsid w:val="004F02EE"/>
    <w:rsid w:val="004F0403"/>
    <w:rsid w:val="004F0408"/>
    <w:rsid w:val="004F064E"/>
    <w:rsid w:val="004F0693"/>
    <w:rsid w:val="004F0782"/>
    <w:rsid w:val="004F0BEA"/>
    <w:rsid w:val="004F147F"/>
    <w:rsid w:val="004F1623"/>
    <w:rsid w:val="004F1627"/>
    <w:rsid w:val="004F1636"/>
    <w:rsid w:val="004F177A"/>
    <w:rsid w:val="004F1830"/>
    <w:rsid w:val="004F1A36"/>
    <w:rsid w:val="004F1B2F"/>
    <w:rsid w:val="004F1B98"/>
    <w:rsid w:val="004F1BEC"/>
    <w:rsid w:val="004F1C72"/>
    <w:rsid w:val="004F1C8E"/>
    <w:rsid w:val="004F1CA8"/>
    <w:rsid w:val="004F1E12"/>
    <w:rsid w:val="004F2131"/>
    <w:rsid w:val="004F2188"/>
    <w:rsid w:val="004F2294"/>
    <w:rsid w:val="004F2399"/>
    <w:rsid w:val="004F26F4"/>
    <w:rsid w:val="004F2841"/>
    <w:rsid w:val="004F28B2"/>
    <w:rsid w:val="004F28C7"/>
    <w:rsid w:val="004F28F8"/>
    <w:rsid w:val="004F2BD0"/>
    <w:rsid w:val="004F2BD2"/>
    <w:rsid w:val="004F2BE7"/>
    <w:rsid w:val="004F2BF6"/>
    <w:rsid w:val="004F2C64"/>
    <w:rsid w:val="004F2D1C"/>
    <w:rsid w:val="004F2D21"/>
    <w:rsid w:val="004F2E2E"/>
    <w:rsid w:val="004F33DE"/>
    <w:rsid w:val="004F34D0"/>
    <w:rsid w:val="004F3590"/>
    <w:rsid w:val="004F38A5"/>
    <w:rsid w:val="004F3A2A"/>
    <w:rsid w:val="004F3BC8"/>
    <w:rsid w:val="004F3C6F"/>
    <w:rsid w:val="004F3CD1"/>
    <w:rsid w:val="004F3D6F"/>
    <w:rsid w:val="004F3DD5"/>
    <w:rsid w:val="004F406C"/>
    <w:rsid w:val="004F4123"/>
    <w:rsid w:val="004F41E2"/>
    <w:rsid w:val="004F4203"/>
    <w:rsid w:val="004F429F"/>
    <w:rsid w:val="004F4658"/>
    <w:rsid w:val="004F46B2"/>
    <w:rsid w:val="004F473F"/>
    <w:rsid w:val="004F4C12"/>
    <w:rsid w:val="004F4D55"/>
    <w:rsid w:val="004F528E"/>
    <w:rsid w:val="004F5621"/>
    <w:rsid w:val="004F5951"/>
    <w:rsid w:val="004F595B"/>
    <w:rsid w:val="004F5B48"/>
    <w:rsid w:val="004F5C2F"/>
    <w:rsid w:val="004F5D59"/>
    <w:rsid w:val="004F610F"/>
    <w:rsid w:val="004F6150"/>
    <w:rsid w:val="004F623A"/>
    <w:rsid w:val="004F625B"/>
    <w:rsid w:val="004F6300"/>
    <w:rsid w:val="004F63B3"/>
    <w:rsid w:val="004F6445"/>
    <w:rsid w:val="004F6500"/>
    <w:rsid w:val="004F652A"/>
    <w:rsid w:val="004F67AE"/>
    <w:rsid w:val="004F67D2"/>
    <w:rsid w:val="004F6A47"/>
    <w:rsid w:val="004F6B63"/>
    <w:rsid w:val="004F6CB8"/>
    <w:rsid w:val="004F6D01"/>
    <w:rsid w:val="004F6E3B"/>
    <w:rsid w:val="004F70AA"/>
    <w:rsid w:val="004F70BA"/>
    <w:rsid w:val="004F7277"/>
    <w:rsid w:val="004F77B6"/>
    <w:rsid w:val="004F78AC"/>
    <w:rsid w:val="004F7A1E"/>
    <w:rsid w:val="004F7B7B"/>
    <w:rsid w:val="004F7BD9"/>
    <w:rsid w:val="004F7BE6"/>
    <w:rsid w:val="004F7D68"/>
    <w:rsid w:val="004F7E3B"/>
    <w:rsid w:val="004F7F05"/>
    <w:rsid w:val="004F7FA8"/>
    <w:rsid w:val="0050001F"/>
    <w:rsid w:val="00500191"/>
    <w:rsid w:val="005003C4"/>
    <w:rsid w:val="0050041E"/>
    <w:rsid w:val="00500465"/>
    <w:rsid w:val="00500959"/>
    <w:rsid w:val="00500AA6"/>
    <w:rsid w:val="00500C0F"/>
    <w:rsid w:val="00500D5C"/>
    <w:rsid w:val="00500ED5"/>
    <w:rsid w:val="005011A8"/>
    <w:rsid w:val="00501338"/>
    <w:rsid w:val="00501595"/>
    <w:rsid w:val="00501695"/>
    <w:rsid w:val="005016A6"/>
    <w:rsid w:val="0050175B"/>
    <w:rsid w:val="00501807"/>
    <w:rsid w:val="00501870"/>
    <w:rsid w:val="00501D5F"/>
    <w:rsid w:val="00501E2A"/>
    <w:rsid w:val="00501FEE"/>
    <w:rsid w:val="00502068"/>
    <w:rsid w:val="0050216D"/>
    <w:rsid w:val="005022AC"/>
    <w:rsid w:val="005023A9"/>
    <w:rsid w:val="0050254B"/>
    <w:rsid w:val="00502558"/>
    <w:rsid w:val="00502799"/>
    <w:rsid w:val="00502B00"/>
    <w:rsid w:val="00502B22"/>
    <w:rsid w:val="00502C27"/>
    <w:rsid w:val="00502C3F"/>
    <w:rsid w:val="00502DE2"/>
    <w:rsid w:val="0050308E"/>
    <w:rsid w:val="00503137"/>
    <w:rsid w:val="00503340"/>
    <w:rsid w:val="00503361"/>
    <w:rsid w:val="00503469"/>
    <w:rsid w:val="005034D3"/>
    <w:rsid w:val="00503710"/>
    <w:rsid w:val="005038F2"/>
    <w:rsid w:val="005039DB"/>
    <w:rsid w:val="00503A54"/>
    <w:rsid w:val="00503B7C"/>
    <w:rsid w:val="00503BDB"/>
    <w:rsid w:val="00503BF5"/>
    <w:rsid w:val="00503C26"/>
    <w:rsid w:val="00503CFC"/>
    <w:rsid w:val="00503D06"/>
    <w:rsid w:val="00503F11"/>
    <w:rsid w:val="00503F54"/>
    <w:rsid w:val="00504145"/>
    <w:rsid w:val="005041E2"/>
    <w:rsid w:val="005042E2"/>
    <w:rsid w:val="00504442"/>
    <w:rsid w:val="00504693"/>
    <w:rsid w:val="005049CB"/>
    <w:rsid w:val="00504A33"/>
    <w:rsid w:val="00504B49"/>
    <w:rsid w:val="00504C8F"/>
    <w:rsid w:val="00504D33"/>
    <w:rsid w:val="00505038"/>
    <w:rsid w:val="00505049"/>
    <w:rsid w:val="00505328"/>
    <w:rsid w:val="00505396"/>
    <w:rsid w:val="005053E9"/>
    <w:rsid w:val="00505441"/>
    <w:rsid w:val="005054BE"/>
    <w:rsid w:val="00505668"/>
    <w:rsid w:val="00505717"/>
    <w:rsid w:val="00505723"/>
    <w:rsid w:val="00505865"/>
    <w:rsid w:val="00505CEE"/>
    <w:rsid w:val="0050600F"/>
    <w:rsid w:val="00506033"/>
    <w:rsid w:val="00506095"/>
    <w:rsid w:val="005061FD"/>
    <w:rsid w:val="00506347"/>
    <w:rsid w:val="00506457"/>
    <w:rsid w:val="005066E3"/>
    <w:rsid w:val="0050679B"/>
    <w:rsid w:val="00506AB4"/>
    <w:rsid w:val="00506B03"/>
    <w:rsid w:val="00506C24"/>
    <w:rsid w:val="00506C98"/>
    <w:rsid w:val="00506D36"/>
    <w:rsid w:val="00506F69"/>
    <w:rsid w:val="00507059"/>
    <w:rsid w:val="00507175"/>
    <w:rsid w:val="0050736F"/>
    <w:rsid w:val="0050777C"/>
    <w:rsid w:val="005078A0"/>
    <w:rsid w:val="005078E3"/>
    <w:rsid w:val="005078E9"/>
    <w:rsid w:val="00507B6C"/>
    <w:rsid w:val="00507D1B"/>
    <w:rsid w:val="00507E64"/>
    <w:rsid w:val="00510216"/>
    <w:rsid w:val="00510272"/>
    <w:rsid w:val="005105BB"/>
    <w:rsid w:val="0051092D"/>
    <w:rsid w:val="0051095C"/>
    <w:rsid w:val="00510B4C"/>
    <w:rsid w:val="00510EA8"/>
    <w:rsid w:val="00511201"/>
    <w:rsid w:val="00511284"/>
    <w:rsid w:val="005112AB"/>
    <w:rsid w:val="005112C6"/>
    <w:rsid w:val="00511593"/>
    <w:rsid w:val="0051159B"/>
    <w:rsid w:val="00511723"/>
    <w:rsid w:val="00511735"/>
    <w:rsid w:val="005117F0"/>
    <w:rsid w:val="00511902"/>
    <w:rsid w:val="00511943"/>
    <w:rsid w:val="005119A8"/>
    <w:rsid w:val="00511A78"/>
    <w:rsid w:val="00511B08"/>
    <w:rsid w:val="00511B88"/>
    <w:rsid w:val="00511BD3"/>
    <w:rsid w:val="00511C4F"/>
    <w:rsid w:val="00511F4F"/>
    <w:rsid w:val="00512357"/>
    <w:rsid w:val="0051236C"/>
    <w:rsid w:val="0051240C"/>
    <w:rsid w:val="0051240F"/>
    <w:rsid w:val="0051252B"/>
    <w:rsid w:val="00512559"/>
    <w:rsid w:val="005125C4"/>
    <w:rsid w:val="0051271A"/>
    <w:rsid w:val="005128CF"/>
    <w:rsid w:val="00512A77"/>
    <w:rsid w:val="00512B5D"/>
    <w:rsid w:val="00512B61"/>
    <w:rsid w:val="00512CD7"/>
    <w:rsid w:val="00512E76"/>
    <w:rsid w:val="00512F4C"/>
    <w:rsid w:val="00513070"/>
    <w:rsid w:val="005131D4"/>
    <w:rsid w:val="00513218"/>
    <w:rsid w:val="0051348F"/>
    <w:rsid w:val="00513720"/>
    <w:rsid w:val="005137EE"/>
    <w:rsid w:val="00513903"/>
    <w:rsid w:val="0051390F"/>
    <w:rsid w:val="0051395B"/>
    <w:rsid w:val="005139FA"/>
    <w:rsid w:val="00513E95"/>
    <w:rsid w:val="00513F0B"/>
    <w:rsid w:val="00513F3E"/>
    <w:rsid w:val="005140FF"/>
    <w:rsid w:val="005141C6"/>
    <w:rsid w:val="00514214"/>
    <w:rsid w:val="00514501"/>
    <w:rsid w:val="0051474D"/>
    <w:rsid w:val="0051484D"/>
    <w:rsid w:val="005149DF"/>
    <w:rsid w:val="00514B8F"/>
    <w:rsid w:val="00514C92"/>
    <w:rsid w:val="00514CF2"/>
    <w:rsid w:val="00514E69"/>
    <w:rsid w:val="00514F3F"/>
    <w:rsid w:val="0051524D"/>
    <w:rsid w:val="0051538D"/>
    <w:rsid w:val="0051544C"/>
    <w:rsid w:val="00515453"/>
    <w:rsid w:val="005154F6"/>
    <w:rsid w:val="00515556"/>
    <w:rsid w:val="00515591"/>
    <w:rsid w:val="00515692"/>
    <w:rsid w:val="005156EC"/>
    <w:rsid w:val="00515848"/>
    <w:rsid w:val="005158B6"/>
    <w:rsid w:val="00515BC6"/>
    <w:rsid w:val="00515DFE"/>
    <w:rsid w:val="00515E35"/>
    <w:rsid w:val="00515EE9"/>
    <w:rsid w:val="00515F4A"/>
    <w:rsid w:val="005160EF"/>
    <w:rsid w:val="0051627B"/>
    <w:rsid w:val="00516368"/>
    <w:rsid w:val="005166C9"/>
    <w:rsid w:val="0051676B"/>
    <w:rsid w:val="00516B56"/>
    <w:rsid w:val="00516C4F"/>
    <w:rsid w:val="00516D4F"/>
    <w:rsid w:val="00516E29"/>
    <w:rsid w:val="00516EBB"/>
    <w:rsid w:val="00516F35"/>
    <w:rsid w:val="005171EF"/>
    <w:rsid w:val="00517205"/>
    <w:rsid w:val="005173AC"/>
    <w:rsid w:val="0051749D"/>
    <w:rsid w:val="0051754A"/>
    <w:rsid w:val="0051754F"/>
    <w:rsid w:val="005175DD"/>
    <w:rsid w:val="005175DF"/>
    <w:rsid w:val="00517646"/>
    <w:rsid w:val="0051764B"/>
    <w:rsid w:val="0051780A"/>
    <w:rsid w:val="00517968"/>
    <w:rsid w:val="00517A40"/>
    <w:rsid w:val="00517A60"/>
    <w:rsid w:val="00517BAE"/>
    <w:rsid w:val="00517BB3"/>
    <w:rsid w:val="00517C22"/>
    <w:rsid w:val="00517C80"/>
    <w:rsid w:val="00517D36"/>
    <w:rsid w:val="00517E4E"/>
    <w:rsid w:val="00517F89"/>
    <w:rsid w:val="00520030"/>
    <w:rsid w:val="0052020B"/>
    <w:rsid w:val="00520566"/>
    <w:rsid w:val="005206F2"/>
    <w:rsid w:val="00520855"/>
    <w:rsid w:val="005208A0"/>
    <w:rsid w:val="00520902"/>
    <w:rsid w:val="00520907"/>
    <w:rsid w:val="00520B1E"/>
    <w:rsid w:val="00520C73"/>
    <w:rsid w:val="00520DB0"/>
    <w:rsid w:val="00520E16"/>
    <w:rsid w:val="00520EDA"/>
    <w:rsid w:val="005211C4"/>
    <w:rsid w:val="0052121F"/>
    <w:rsid w:val="00521225"/>
    <w:rsid w:val="005213F9"/>
    <w:rsid w:val="005216DD"/>
    <w:rsid w:val="0052182F"/>
    <w:rsid w:val="005218FB"/>
    <w:rsid w:val="005219C9"/>
    <w:rsid w:val="00521B76"/>
    <w:rsid w:val="00521CC3"/>
    <w:rsid w:val="00521E78"/>
    <w:rsid w:val="00521F41"/>
    <w:rsid w:val="00521FCA"/>
    <w:rsid w:val="0052206D"/>
    <w:rsid w:val="0052207C"/>
    <w:rsid w:val="005223A6"/>
    <w:rsid w:val="00522571"/>
    <w:rsid w:val="005227CD"/>
    <w:rsid w:val="005228B2"/>
    <w:rsid w:val="0052298E"/>
    <w:rsid w:val="00522C9B"/>
    <w:rsid w:val="00522CCF"/>
    <w:rsid w:val="00522CF7"/>
    <w:rsid w:val="00522FE0"/>
    <w:rsid w:val="005230F1"/>
    <w:rsid w:val="00523151"/>
    <w:rsid w:val="0052319F"/>
    <w:rsid w:val="00523230"/>
    <w:rsid w:val="005233EA"/>
    <w:rsid w:val="0052342E"/>
    <w:rsid w:val="005234D2"/>
    <w:rsid w:val="00523740"/>
    <w:rsid w:val="005239E8"/>
    <w:rsid w:val="00523E09"/>
    <w:rsid w:val="00523F31"/>
    <w:rsid w:val="00523FE3"/>
    <w:rsid w:val="005241FC"/>
    <w:rsid w:val="00524400"/>
    <w:rsid w:val="00524407"/>
    <w:rsid w:val="005244FC"/>
    <w:rsid w:val="00524511"/>
    <w:rsid w:val="0052464F"/>
    <w:rsid w:val="00524737"/>
    <w:rsid w:val="005247D4"/>
    <w:rsid w:val="005249A6"/>
    <w:rsid w:val="005249A9"/>
    <w:rsid w:val="00524E76"/>
    <w:rsid w:val="00525003"/>
    <w:rsid w:val="0052506A"/>
    <w:rsid w:val="0052569B"/>
    <w:rsid w:val="005257CC"/>
    <w:rsid w:val="005258C5"/>
    <w:rsid w:val="005259FB"/>
    <w:rsid w:val="00525BD4"/>
    <w:rsid w:val="00525CE1"/>
    <w:rsid w:val="00525CF9"/>
    <w:rsid w:val="005260C3"/>
    <w:rsid w:val="0052620A"/>
    <w:rsid w:val="0052637A"/>
    <w:rsid w:val="005263F0"/>
    <w:rsid w:val="005267CB"/>
    <w:rsid w:val="00526964"/>
    <w:rsid w:val="00526976"/>
    <w:rsid w:val="00526A0F"/>
    <w:rsid w:val="00526AB7"/>
    <w:rsid w:val="00526AEE"/>
    <w:rsid w:val="00526C01"/>
    <w:rsid w:val="00526CD8"/>
    <w:rsid w:val="00526F56"/>
    <w:rsid w:val="00526F70"/>
    <w:rsid w:val="00527021"/>
    <w:rsid w:val="005270A5"/>
    <w:rsid w:val="005270DF"/>
    <w:rsid w:val="00527100"/>
    <w:rsid w:val="005271C9"/>
    <w:rsid w:val="0052743E"/>
    <w:rsid w:val="005274AB"/>
    <w:rsid w:val="0052758F"/>
    <w:rsid w:val="005277FD"/>
    <w:rsid w:val="005278B1"/>
    <w:rsid w:val="00527A2E"/>
    <w:rsid w:val="00527AF9"/>
    <w:rsid w:val="00527B5E"/>
    <w:rsid w:val="00527D4B"/>
    <w:rsid w:val="00527FC9"/>
    <w:rsid w:val="00530149"/>
    <w:rsid w:val="00530191"/>
    <w:rsid w:val="005301D6"/>
    <w:rsid w:val="0053065D"/>
    <w:rsid w:val="00530682"/>
    <w:rsid w:val="005306A0"/>
    <w:rsid w:val="005307FB"/>
    <w:rsid w:val="00530884"/>
    <w:rsid w:val="005308A1"/>
    <w:rsid w:val="005309A4"/>
    <w:rsid w:val="00530B25"/>
    <w:rsid w:val="00530B9C"/>
    <w:rsid w:val="00530BB8"/>
    <w:rsid w:val="00530DF5"/>
    <w:rsid w:val="00530EA2"/>
    <w:rsid w:val="00530F34"/>
    <w:rsid w:val="00531153"/>
    <w:rsid w:val="0053125E"/>
    <w:rsid w:val="005312A1"/>
    <w:rsid w:val="00531323"/>
    <w:rsid w:val="00531395"/>
    <w:rsid w:val="0053171C"/>
    <w:rsid w:val="005318A1"/>
    <w:rsid w:val="00531A2C"/>
    <w:rsid w:val="00531AFD"/>
    <w:rsid w:val="00531B5C"/>
    <w:rsid w:val="005321D8"/>
    <w:rsid w:val="005322CF"/>
    <w:rsid w:val="005324FB"/>
    <w:rsid w:val="00532530"/>
    <w:rsid w:val="0053253F"/>
    <w:rsid w:val="005325AA"/>
    <w:rsid w:val="00532633"/>
    <w:rsid w:val="005326D6"/>
    <w:rsid w:val="005326E3"/>
    <w:rsid w:val="00532880"/>
    <w:rsid w:val="005329EB"/>
    <w:rsid w:val="00532B4D"/>
    <w:rsid w:val="00532E5A"/>
    <w:rsid w:val="00532F56"/>
    <w:rsid w:val="00532FB6"/>
    <w:rsid w:val="005330E1"/>
    <w:rsid w:val="005331A4"/>
    <w:rsid w:val="00533295"/>
    <w:rsid w:val="005337A7"/>
    <w:rsid w:val="0053390A"/>
    <w:rsid w:val="00533D6F"/>
    <w:rsid w:val="00533E28"/>
    <w:rsid w:val="00534167"/>
    <w:rsid w:val="00534206"/>
    <w:rsid w:val="005342B9"/>
    <w:rsid w:val="005343DF"/>
    <w:rsid w:val="005343E9"/>
    <w:rsid w:val="005348E0"/>
    <w:rsid w:val="005348F8"/>
    <w:rsid w:val="00534B4A"/>
    <w:rsid w:val="00534BE1"/>
    <w:rsid w:val="00535151"/>
    <w:rsid w:val="00535171"/>
    <w:rsid w:val="0053541A"/>
    <w:rsid w:val="0053542D"/>
    <w:rsid w:val="0053549F"/>
    <w:rsid w:val="00535570"/>
    <w:rsid w:val="00535623"/>
    <w:rsid w:val="00535637"/>
    <w:rsid w:val="005356AB"/>
    <w:rsid w:val="005356E5"/>
    <w:rsid w:val="005357E0"/>
    <w:rsid w:val="005358BE"/>
    <w:rsid w:val="00535936"/>
    <w:rsid w:val="0053594E"/>
    <w:rsid w:val="00535A57"/>
    <w:rsid w:val="00535D5C"/>
    <w:rsid w:val="00535E6A"/>
    <w:rsid w:val="00535EB0"/>
    <w:rsid w:val="005360D2"/>
    <w:rsid w:val="0053651F"/>
    <w:rsid w:val="005367E6"/>
    <w:rsid w:val="00536880"/>
    <w:rsid w:val="00536B67"/>
    <w:rsid w:val="00536CAD"/>
    <w:rsid w:val="00536D8E"/>
    <w:rsid w:val="00536DFB"/>
    <w:rsid w:val="00537057"/>
    <w:rsid w:val="005371CF"/>
    <w:rsid w:val="00537379"/>
    <w:rsid w:val="00537646"/>
    <w:rsid w:val="00537736"/>
    <w:rsid w:val="00537841"/>
    <w:rsid w:val="00537874"/>
    <w:rsid w:val="005378EB"/>
    <w:rsid w:val="00537BFD"/>
    <w:rsid w:val="00537CBB"/>
    <w:rsid w:val="00537D21"/>
    <w:rsid w:val="00537E01"/>
    <w:rsid w:val="00537F0C"/>
    <w:rsid w:val="00540185"/>
    <w:rsid w:val="0054020A"/>
    <w:rsid w:val="00540239"/>
    <w:rsid w:val="00540251"/>
    <w:rsid w:val="0054027C"/>
    <w:rsid w:val="00540327"/>
    <w:rsid w:val="00540430"/>
    <w:rsid w:val="00540445"/>
    <w:rsid w:val="005405D2"/>
    <w:rsid w:val="00540636"/>
    <w:rsid w:val="0054066E"/>
    <w:rsid w:val="005407E6"/>
    <w:rsid w:val="0054083F"/>
    <w:rsid w:val="00540981"/>
    <w:rsid w:val="0054098B"/>
    <w:rsid w:val="00540D6A"/>
    <w:rsid w:val="00540E3D"/>
    <w:rsid w:val="00540F6B"/>
    <w:rsid w:val="00540FF5"/>
    <w:rsid w:val="005410A7"/>
    <w:rsid w:val="00541262"/>
    <w:rsid w:val="0054153C"/>
    <w:rsid w:val="0054161F"/>
    <w:rsid w:val="0054173E"/>
    <w:rsid w:val="00541788"/>
    <w:rsid w:val="0054190C"/>
    <w:rsid w:val="00541AE8"/>
    <w:rsid w:val="00541C0D"/>
    <w:rsid w:val="00541CB9"/>
    <w:rsid w:val="00541CBB"/>
    <w:rsid w:val="00541CE4"/>
    <w:rsid w:val="00541E8B"/>
    <w:rsid w:val="00542166"/>
    <w:rsid w:val="005421BE"/>
    <w:rsid w:val="005421DB"/>
    <w:rsid w:val="005422F7"/>
    <w:rsid w:val="00542302"/>
    <w:rsid w:val="00542543"/>
    <w:rsid w:val="005426CB"/>
    <w:rsid w:val="00542739"/>
    <w:rsid w:val="00542890"/>
    <w:rsid w:val="005428DE"/>
    <w:rsid w:val="00542B5B"/>
    <w:rsid w:val="00542BCD"/>
    <w:rsid w:val="00542C15"/>
    <w:rsid w:val="00542C73"/>
    <w:rsid w:val="00542E9B"/>
    <w:rsid w:val="00542F46"/>
    <w:rsid w:val="00543052"/>
    <w:rsid w:val="00543179"/>
    <w:rsid w:val="005433B0"/>
    <w:rsid w:val="005433EE"/>
    <w:rsid w:val="005435FA"/>
    <w:rsid w:val="0054370D"/>
    <w:rsid w:val="00543720"/>
    <w:rsid w:val="0054375F"/>
    <w:rsid w:val="00543801"/>
    <w:rsid w:val="00543802"/>
    <w:rsid w:val="0054385C"/>
    <w:rsid w:val="00543872"/>
    <w:rsid w:val="005438D8"/>
    <w:rsid w:val="00543B38"/>
    <w:rsid w:val="00543C53"/>
    <w:rsid w:val="00543C8A"/>
    <w:rsid w:val="00543DCF"/>
    <w:rsid w:val="00543E49"/>
    <w:rsid w:val="00543F1B"/>
    <w:rsid w:val="00543F79"/>
    <w:rsid w:val="00544047"/>
    <w:rsid w:val="0054404E"/>
    <w:rsid w:val="005440FD"/>
    <w:rsid w:val="0054433A"/>
    <w:rsid w:val="0054475A"/>
    <w:rsid w:val="005447B5"/>
    <w:rsid w:val="005447B8"/>
    <w:rsid w:val="00544977"/>
    <w:rsid w:val="00544B3C"/>
    <w:rsid w:val="00544DAE"/>
    <w:rsid w:val="00544E37"/>
    <w:rsid w:val="00544FAD"/>
    <w:rsid w:val="0054504E"/>
    <w:rsid w:val="0054535F"/>
    <w:rsid w:val="005453F3"/>
    <w:rsid w:val="005454C1"/>
    <w:rsid w:val="005458CC"/>
    <w:rsid w:val="00545936"/>
    <w:rsid w:val="00545A4F"/>
    <w:rsid w:val="00545A77"/>
    <w:rsid w:val="00545D14"/>
    <w:rsid w:val="00545F1F"/>
    <w:rsid w:val="00545F37"/>
    <w:rsid w:val="00546134"/>
    <w:rsid w:val="0054641E"/>
    <w:rsid w:val="00546499"/>
    <w:rsid w:val="00546654"/>
    <w:rsid w:val="00546A77"/>
    <w:rsid w:val="00546A8C"/>
    <w:rsid w:val="00546BFE"/>
    <w:rsid w:val="00546DAC"/>
    <w:rsid w:val="00546E10"/>
    <w:rsid w:val="00547037"/>
    <w:rsid w:val="00547193"/>
    <w:rsid w:val="00547237"/>
    <w:rsid w:val="00547378"/>
    <w:rsid w:val="00547419"/>
    <w:rsid w:val="005476D8"/>
    <w:rsid w:val="00547AFA"/>
    <w:rsid w:val="00547C62"/>
    <w:rsid w:val="00547DF2"/>
    <w:rsid w:val="00547E38"/>
    <w:rsid w:val="00547ED9"/>
    <w:rsid w:val="00547F47"/>
    <w:rsid w:val="00550092"/>
    <w:rsid w:val="005500E0"/>
    <w:rsid w:val="00550108"/>
    <w:rsid w:val="005503AF"/>
    <w:rsid w:val="00550709"/>
    <w:rsid w:val="00550782"/>
    <w:rsid w:val="00550793"/>
    <w:rsid w:val="005508BC"/>
    <w:rsid w:val="0055091C"/>
    <w:rsid w:val="00550968"/>
    <w:rsid w:val="00550A34"/>
    <w:rsid w:val="00550A91"/>
    <w:rsid w:val="00550C84"/>
    <w:rsid w:val="00550ED5"/>
    <w:rsid w:val="00550FB5"/>
    <w:rsid w:val="0055111D"/>
    <w:rsid w:val="00551212"/>
    <w:rsid w:val="005514B8"/>
    <w:rsid w:val="00551634"/>
    <w:rsid w:val="005517F6"/>
    <w:rsid w:val="005518B3"/>
    <w:rsid w:val="00551A08"/>
    <w:rsid w:val="00551A64"/>
    <w:rsid w:val="00551AE8"/>
    <w:rsid w:val="00551B55"/>
    <w:rsid w:val="00551D5C"/>
    <w:rsid w:val="00551D9C"/>
    <w:rsid w:val="00551F0F"/>
    <w:rsid w:val="00552073"/>
    <w:rsid w:val="00552122"/>
    <w:rsid w:val="00552191"/>
    <w:rsid w:val="00552279"/>
    <w:rsid w:val="005522F8"/>
    <w:rsid w:val="0055246E"/>
    <w:rsid w:val="005524B8"/>
    <w:rsid w:val="00552812"/>
    <w:rsid w:val="0055281C"/>
    <w:rsid w:val="00552C24"/>
    <w:rsid w:val="00552CA8"/>
    <w:rsid w:val="00552D91"/>
    <w:rsid w:val="00552DFB"/>
    <w:rsid w:val="00552EC9"/>
    <w:rsid w:val="0055316D"/>
    <w:rsid w:val="00553202"/>
    <w:rsid w:val="00553276"/>
    <w:rsid w:val="005532FC"/>
    <w:rsid w:val="00553371"/>
    <w:rsid w:val="005533A5"/>
    <w:rsid w:val="00553448"/>
    <w:rsid w:val="005535A7"/>
    <w:rsid w:val="0055366A"/>
    <w:rsid w:val="00553736"/>
    <w:rsid w:val="0055378D"/>
    <w:rsid w:val="00553795"/>
    <w:rsid w:val="00553826"/>
    <w:rsid w:val="00553ADA"/>
    <w:rsid w:val="00553B37"/>
    <w:rsid w:val="00553C7B"/>
    <w:rsid w:val="00553F32"/>
    <w:rsid w:val="00554097"/>
    <w:rsid w:val="005541A0"/>
    <w:rsid w:val="00554468"/>
    <w:rsid w:val="005544D6"/>
    <w:rsid w:val="00554996"/>
    <w:rsid w:val="005549F3"/>
    <w:rsid w:val="00554ADA"/>
    <w:rsid w:val="00554B31"/>
    <w:rsid w:val="00554B7B"/>
    <w:rsid w:val="00554C48"/>
    <w:rsid w:val="00554C80"/>
    <w:rsid w:val="00554CE7"/>
    <w:rsid w:val="00554E1A"/>
    <w:rsid w:val="00554E36"/>
    <w:rsid w:val="0055503F"/>
    <w:rsid w:val="00555153"/>
    <w:rsid w:val="0055523F"/>
    <w:rsid w:val="00555321"/>
    <w:rsid w:val="00555417"/>
    <w:rsid w:val="005557CC"/>
    <w:rsid w:val="005558CB"/>
    <w:rsid w:val="00555A09"/>
    <w:rsid w:val="00555A73"/>
    <w:rsid w:val="00556096"/>
    <w:rsid w:val="005560DA"/>
    <w:rsid w:val="005562D1"/>
    <w:rsid w:val="005562D8"/>
    <w:rsid w:val="005563BE"/>
    <w:rsid w:val="0055642C"/>
    <w:rsid w:val="00556492"/>
    <w:rsid w:val="00556561"/>
    <w:rsid w:val="005565AE"/>
    <w:rsid w:val="00556636"/>
    <w:rsid w:val="005568A3"/>
    <w:rsid w:val="00556ED9"/>
    <w:rsid w:val="00556F0C"/>
    <w:rsid w:val="00556FDB"/>
    <w:rsid w:val="0055704A"/>
    <w:rsid w:val="0055734C"/>
    <w:rsid w:val="005575C3"/>
    <w:rsid w:val="00557752"/>
    <w:rsid w:val="00557769"/>
    <w:rsid w:val="00557775"/>
    <w:rsid w:val="005577B6"/>
    <w:rsid w:val="00557919"/>
    <w:rsid w:val="00557AC7"/>
    <w:rsid w:val="00557B96"/>
    <w:rsid w:val="00557CA8"/>
    <w:rsid w:val="00557DEF"/>
    <w:rsid w:val="00557E2E"/>
    <w:rsid w:val="00560079"/>
    <w:rsid w:val="00560236"/>
    <w:rsid w:val="00560244"/>
    <w:rsid w:val="005602F4"/>
    <w:rsid w:val="005603BA"/>
    <w:rsid w:val="00560485"/>
    <w:rsid w:val="00560535"/>
    <w:rsid w:val="005608B8"/>
    <w:rsid w:val="00560CF9"/>
    <w:rsid w:val="00560E36"/>
    <w:rsid w:val="00560FA7"/>
    <w:rsid w:val="00560FB0"/>
    <w:rsid w:val="0056110E"/>
    <w:rsid w:val="00561196"/>
    <w:rsid w:val="005611B2"/>
    <w:rsid w:val="005613CD"/>
    <w:rsid w:val="005613F7"/>
    <w:rsid w:val="0056145C"/>
    <w:rsid w:val="00561598"/>
    <w:rsid w:val="005615B7"/>
    <w:rsid w:val="00561924"/>
    <w:rsid w:val="005619D1"/>
    <w:rsid w:val="005619F5"/>
    <w:rsid w:val="00561BD1"/>
    <w:rsid w:val="00561C84"/>
    <w:rsid w:val="00561DA8"/>
    <w:rsid w:val="00561E8E"/>
    <w:rsid w:val="00561EEC"/>
    <w:rsid w:val="00562371"/>
    <w:rsid w:val="005625B0"/>
    <w:rsid w:val="00562631"/>
    <w:rsid w:val="005628F5"/>
    <w:rsid w:val="00562A79"/>
    <w:rsid w:val="00562B89"/>
    <w:rsid w:val="00562EE7"/>
    <w:rsid w:val="00562F8F"/>
    <w:rsid w:val="00563123"/>
    <w:rsid w:val="00563175"/>
    <w:rsid w:val="0056328B"/>
    <w:rsid w:val="005632A2"/>
    <w:rsid w:val="005632CF"/>
    <w:rsid w:val="00563465"/>
    <w:rsid w:val="0056352C"/>
    <w:rsid w:val="00563539"/>
    <w:rsid w:val="005635AC"/>
    <w:rsid w:val="005636E7"/>
    <w:rsid w:val="005638C1"/>
    <w:rsid w:val="005639C4"/>
    <w:rsid w:val="00563AA3"/>
    <w:rsid w:val="00563B63"/>
    <w:rsid w:val="00563D2F"/>
    <w:rsid w:val="00563D49"/>
    <w:rsid w:val="00563DE9"/>
    <w:rsid w:val="00563EFC"/>
    <w:rsid w:val="00564289"/>
    <w:rsid w:val="00564358"/>
    <w:rsid w:val="005644C2"/>
    <w:rsid w:val="00564895"/>
    <w:rsid w:val="00564A3E"/>
    <w:rsid w:val="00564A77"/>
    <w:rsid w:val="00564AAD"/>
    <w:rsid w:val="00564C0D"/>
    <w:rsid w:val="00564DCF"/>
    <w:rsid w:val="00564FC5"/>
    <w:rsid w:val="00565311"/>
    <w:rsid w:val="00565360"/>
    <w:rsid w:val="00565489"/>
    <w:rsid w:val="005654C0"/>
    <w:rsid w:val="0056559B"/>
    <w:rsid w:val="005655C0"/>
    <w:rsid w:val="00565640"/>
    <w:rsid w:val="00565718"/>
    <w:rsid w:val="00565836"/>
    <w:rsid w:val="00565B6F"/>
    <w:rsid w:val="00565C13"/>
    <w:rsid w:val="00565C84"/>
    <w:rsid w:val="00565D8E"/>
    <w:rsid w:val="00565DDE"/>
    <w:rsid w:val="0056603B"/>
    <w:rsid w:val="00566088"/>
    <w:rsid w:val="005661FB"/>
    <w:rsid w:val="0056620F"/>
    <w:rsid w:val="005663C6"/>
    <w:rsid w:val="005665F2"/>
    <w:rsid w:val="0056690B"/>
    <w:rsid w:val="0056692B"/>
    <w:rsid w:val="00566A88"/>
    <w:rsid w:val="00566D1A"/>
    <w:rsid w:val="00566E88"/>
    <w:rsid w:val="00566F62"/>
    <w:rsid w:val="00566FA5"/>
    <w:rsid w:val="00566FF6"/>
    <w:rsid w:val="00567185"/>
    <w:rsid w:val="005671F5"/>
    <w:rsid w:val="005672BA"/>
    <w:rsid w:val="005672BB"/>
    <w:rsid w:val="005672D1"/>
    <w:rsid w:val="00567495"/>
    <w:rsid w:val="0056750E"/>
    <w:rsid w:val="005676CF"/>
    <w:rsid w:val="00567812"/>
    <w:rsid w:val="00567908"/>
    <w:rsid w:val="00567FE0"/>
    <w:rsid w:val="00570001"/>
    <w:rsid w:val="00570047"/>
    <w:rsid w:val="00570102"/>
    <w:rsid w:val="0057027C"/>
    <w:rsid w:val="0057032D"/>
    <w:rsid w:val="0057033C"/>
    <w:rsid w:val="0057083A"/>
    <w:rsid w:val="0057088E"/>
    <w:rsid w:val="00570B5B"/>
    <w:rsid w:val="00570D45"/>
    <w:rsid w:val="00570ED4"/>
    <w:rsid w:val="00570FDC"/>
    <w:rsid w:val="00570FE9"/>
    <w:rsid w:val="00571085"/>
    <w:rsid w:val="005711AA"/>
    <w:rsid w:val="00571361"/>
    <w:rsid w:val="005713C0"/>
    <w:rsid w:val="0057151A"/>
    <w:rsid w:val="0057153C"/>
    <w:rsid w:val="005715B8"/>
    <w:rsid w:val="00571D35"/>
    <w:rsid w:val="00571D58"/>
    <w:rsid w:val="00571FA3"/>
    <w:rsid w:val="005723FD"/>
    <w:rsid w:val="00572476"/>
    <w:rsid w:val="0057250F"/>
    <w:rsid w:val="0057254F"/>
    <w:rsid w:val="00572630"/>
    <w:rsid w:val="0057267F"/>
    <w:rsid w:val="0057274B"/>
    <w:rsid w:val="005728B7"/>
    <w:rsid w:val="00572B11"/>
    <w:rsid w:val="00572BEC"/>
    <w:rsid w:val="00572C8D"/>
    <w:rsid w:val="00572D01"/>
    <w:rsid w:val="00572D2C"/>
    <w:rsid w:val="00572DCE"/>
    <w:rsid w:val="00572E09"/>
    <w:rsid w:val="00572E55"/>
    <w:rsid w:val="00573200"/>
    <w:rsid w:val="00573509"/>
    <w:rsid w:val="00573533"/>
    <w:rsid w:val="005735AC"/>
    <w:rsid w:val="00573668"/>
    <w:rsid w:val="005736A6"/>
    <w:rsid w:val="00573966"/>
    <w:rsid w:val="00573985"/>
    <w:rsid w:val="00573A91"/>
    <w:rsid w:val="00573CAD"/>
    <w:rsid w:val="00573F1E"/>
    <w:rsid w:val="00573FE4"/>
    <w:rsid w:val="00574077"/>
    <w:rsid w:val="005740DC"/>
    <w:rsid w:val="0057440B"/>
    <w:rsid w:val="00574412"/>
    <w:rsid w:val="00574439"/>
    <w:rsid w:val="005745A3"/>
    <w:rsid w:val="00574684"/>
    <w:rsid w:val="00574C5D"/>
    <w:rsid w:val="00574E20"/>
    <w:rsid w:val="00574F3C"/>
    <w:rsid w:val="00574F88"/>
    <w:rsid w:val="00574FB5"/>
    <w:rsid w:val="00575261"/>
    <w:rsid w:val="00575369"/>
    <w:rsid w:val="00575397"/>
    <w:rsid w:val="0057571F"/>
    <w:rsid w:val="00575750"/>
    <w:rsid w:val="0057575F"/>
    <w:rsid w:val="005757D8"/>
    <w:rsid w:val="00575A45"/>
    <w:rsid w:val="00575F39"/>
    <w:rsid w:val="00575F57"/>
    <w:rsid w:val="005762F3"/>
    <w:rsid w:val="0057633B"/>
    <w:rsid w:val="005764DC"/>
    <w:rsid w:val="00576634"/>
    <w:rsid w:val="00576836"/>
    <w:rsid w:val="00576A54"/>
    <w:rsid w:val="00576D17"/>
    <w:rsid w:val="00576DA7"/>
    <w:rsid w:val="00576E27"/>
    <w:rsid w:val="00577034"/>
    <w:rsid w:val="0057708D"/>
    <w:rsid w:val="00577279"/>
    <w:rsid w:val="005772CC"/>
    <w:rsid w:val="0057733A"/>
    <w:rsid w:val="00577345"/>
    <w:rsid w:val="005773AE"/>
    <w:rsid w:val="00577488"/>
    <w:rsid w:val="005774C0"/>
    <w:rsid w:val="00577843"/>
    <w:rsid w:val="005778B3"/>
    <w:rsid w:val="00577982"/>
    <w:rsid w:val="00577A32"/>
    <w:rsid w:val="00577B94"/>
    <w:rsid w:val="00577E93"/>
    <w:rsid w:val="00577F46"/>
    <w:rsid w:val="00577FAE"/>
    <w:rsid w:val="005802E7"/>
    <w:rsid w:val="005805A5"/>
    <w:rsid w:val="005805D3"/>
    <w:rsid w:val="00580776"/>
    <w:rsid w:val="00580B6D"/>
    <w:rsid w:val="00580D61"/>
    <w:rsid w:val="00580ED4"/>
    <w:rsid w:val="00581032"/>
    <w:rsid w:val="005810A1"/>
    <w:rsid w:val="0058137A"/>
    <w:rsid w:val="0058140E"/>
    <w:rsid w:val="00581528"/>
    <w:rsid w:val="00581648"/>
    <w:rsid w:val="00581697"/>
    <w:rsid w:val="0058170B"/>
    <w:rsid w:val="00581804"/>
    <w:rsid w:val="0058183B"/>
    <w:rsid w:val="0058191D"/>
    <w:rsid w:val="00581990"/>
    <w:rsid w:val="00581D3A"/>
    <w:rsid w:val="005820D5"/>
    <w:rsid w:val="005822C2"/>
    <w:rsid w:val="00582620"/>
    <w:rsid w:val="00582B5E"/>
    <w:rsid w:val="00582BA1"/>
    <w:rsid w:val="00582C20"/>
    <w:rsid w:val="00582C79"/>
    <w:rsid w:val="00582CDC"/>
    <w:rsid w:val="00582D18"/>
    <w:rsid w:val="00582E05"/>
    <w:rsid w:val="00582E2B"/>
    <w:rsid w:val="00582E9E"/>
    <w:rsid w:val="00582F82"/>
    <w:rsid w:val="00582F9A"/>
    <w:rsid w:val="00582FBD"/>
    <w:rsid w:val="0058304A"/>
    <w:rsid w:val="0058313C"/>
    <w:rsid w:val="00583170"/>
    <w:rsid w:val="0058347D"/>
    <w:rsid w:val="00583502"/>
    <w:rsid w:val="0058356D"/>
    <w:rsid w:val="0058358E"/>
    <w:rsid w:val="005836DD"/>
    <w:rsid w:val="00583839"/>
    <w:rsid w:val="00583A24"/>
    <w:rsid w:val="00583BA1"/>
    <w:rsid w:val="00583BB2"/>
    <w:rsid w:val="00583BED"/>
    <w:rsid w:val="00583C31"/>
    <w:rsid w:val="00583CFD"/>
    <w:rsid w:val="00583DE6"/>
    <w:rsid w:val="00583E24"/>
    <w:rsid w:val="00583E4D"/>
    <w:rsid w:val="00584058"/>
    <w:rsid w:val="0058429A"/>
    <w:rsid w:val="005843E5"/>
    <w:rsid w:val="005845DC"/>
    <w:rsid w:val="00584665"/>
    <w:rsid w:val="005847BE"/>
    <w:rsid w:val="005848D2"/>
    <w:rsid w:val="005849AB"/>
    <w:rsid w:val="00584A4D"/>
    <w:rsid w:val="00584A72"/>
    <w:rsid w:val="00584C9E"/>
    <w:rsid w:val="00584CCC"/>
    <w:rsid w:val="00584CE1"/>
    <w:rsid w:val="00584D81"/>
    <w:rsid w:val="00584E59"/>
    <w:rsid w:val="00585080"/>
    <w:rsid w:val="00585434"/>
    <w:rsid w:val="005857BC"/>
    <w:rsid w:val="00585889"/>
    <w:rsid w:val="0058588F"/>
    <w:rsid w:val="0058599D"/>
    <w:rsid w:val="00585B13"/>
    <w:rsid w:val="00585C53"/>
    <w:rsid w:val="00585C74"/>
    <w:rsid w:val="00585F6A"/>
    <w:rsid w:val="00585F71"/>
    <w:rsid w:val="0058607C"/>
    <w:rsid w:val="005860A1"/>
    <w:rsid w:val="0058611D"/>
    <w:rsid w:val="0058612D"/>
    <w:rsid w:val="005861A7"/>
    <w:rsid w:val="00586299"/>
    <w:rsid w:val="005862A8"/>
    <w:rsid w:val="00586348"/>
    <w:rsid w:val="005863AD"/>
    <w:rsid w:val="005863C5"/>
    <w:rsid w:val="005866D3"/>
    <w:rsid w:val="0058676D"/>
    <w:rsid w:val="005869AB"/>
    <w:rsid w:val="00586B52"/>
    <w:rsid w:val="00586B5F"/>
    <w:rsid w:val="00586D42"/>
    <w:rsid w:val="00586E18"/>
    <w:rsid w:val="00586E35"/>
    <w:rsid w:val="0058710C"/>
    <w:rsid w:val="00587372"/>
    <w:rsid w:val="005875CA"/>
    <w:rsid w:val="00587700"/>
    <w:rsid w:val="0058772F"/>
    <w:rsid w:val="00587766"/>
    <w:rsid w:val="005877FF"/>
    <w:rsid w:val="00587BE4"/>
    <w:rsid w:val="00587C80"/>
    <w:rsid w:val="00587CE9"/>
    <w:rsid w:val="00587FBA"/>
    <w:rsid w:val="005900CC"/>
    <w:rsid w:val="005900CF"/>
    <w:rsid w:val="0059014E"/>
    <w:rsid w:val="0059029B"/>
    <w:rsid w:val="005902E0"/>
    <w:rsid w:val="00590515"/>
    <w:rsid w:val="00590736"/>
    <w:rsid w:val="0059098B"/>
    <w:rsid w:val="00590BAA"/>
    <w:rsid w:val="00590CB9"/>
    <w:rsid w:val="00590DE9"/>
    <w:rsid w:val="00590F93"/>
    <w:rsid w:val="00590FED"/>
    <w:rsid w:val="0059109E"/>
    <w:rsid w:val="005911B0"/>
    <w:rsid w:val="005911D8"/>
    <w:rsid w:val="00591317"/>
    <w:rsid w:val="005915C5"/>
    <w:rsid w:val="00591802"/>
    <w:rsid w:val="00591861"/>
    <w:rsid w:val="00591D6C"/>
    <w:rsid w:val="00591E10"/>
    <w:rsid w:val="00591E85"/>
    <w:rsid w:val="00591F56"/>
    <w:rsid w:val="00591FA3"/>
    <w:rsid w:val="005921B2"/>
    <w:rsid w:val="0059238A"/>
    <w:rsid w:val="00592444"/>
    <w:rsid w:val="0059244C"/>
    <w:rsid w:val="005924BF"/>
    <w:rsid w:val="005926C7"/>
    <w:rsid w:val="00592894"/>
    <w:rsid w:val="00592BD8"/>
    <w:rsid w:val="00592C43"/>
    <w:rsid w:val="00592D75"/>
    <w:rsid w:val="00592E3F"/>
    <w:rsid w:val="00592F19"/>
    <w:rsid w:val="0059310F"/>
    <w:rsid w:val="005934FB"/>
    <w:rsid w:val="00593667"/>
    <w:rsid w:val="0059370A"/>
    <w:rsid w:val="005937AD"/>
    <w:rsid w:val="005938E4"/>
    <w:rsid w:val="00593AA4"/>
    <w:rsid w:val="00593B52"/>
    <w:rsid w:val="00593CAA"/>
    <w:rsid w:val="00593CE5"/>
    <w:rsid w:val="00593E8A"/>
    <w:rsid w:val="0059401F"/>
    <w:rsid w:val="0059410F"/>
    <w:rsid w:val="0059423D"/>
    <w:rsid w:val="00594522"/>
    <w:rsid w:val="0059465E"/>
    <w:rsid w:val="005947BB"/>
    <w:rsid w:val="00594823"/>
    <w:rsid w:val="0059493A"/>
    <w:rsid w:val="00594A14"/>
    <w:rsid w:val="00594A4D"/>
    <w:rsid w:val="00594A85"/>
    <w:rsid w:val="00594A88"/>
    <w:rsid w:val="00594BBC"/>
    <w:rsid w:val="00594CFE"/>
    <w:rsid w:val="00594E47"/>
    <w:rsid w:val="00594E8E"/>
    <w:rsid w:val="00595009"/>
    <w:rsid w:val="00595031"/>
    <w:rsid w:val="0059507A"/>
    <w:rsid w:val="00595325"/>
    <w:rsid w:val="005954A1"/>
    <w:rsid w:val="00595655"/>
    <w:rsid w:val="00595980"/>
    <w:rsid w:val="00595CE0"/>
    <w:rsid w:val="005960D1"/>
    <w:rsid w:val="005961E4"/>
    <w:rsid w:val="005961F4"/>
    <w:rsid w:val="0059643F"/>
    <w:rsid w:val="00596463"/>
    <w:rsid w:val="005964FB"/>
    <w:rsid w:val="00596575"/>
    <w:rsid w:val="005965A9"/>
    <w:rsid w:val="005968C8"/>
    <w:rsid w:val="00596A77"/>
    <w:rsid w:val="00596AF0"/>
    <w:rsid w:val="00596B10"/>
    <w:rsid w:val="00596D9D"/>
    <w:rsid w:val="0059702F"/>
    <w:rsid w:val="0059718D"/>
    <w:rsid w:val="005973B4"/>
    <w:rsid w:val="005973F9"/>
    <w:rsid w:val="00597453"/>
    <w:rsid w:val="00597505"/>
    <w:rsid w:val="00597770"/>
    <w:rsid w:val="0059779C"/>
    <w:rsid w:val="005977B6"/>
    <w:rsid w:val="00597857"/>
    <w:rsid w:val="005979A8"/>
    <w:rsid w:val="00597AB4"/>
    <w:rsid w:val="00597B4B"/>
    <w:rsid w:val="00597BA9"/>
    <w:rsid w:val="00597C2F"/>
    <w:rsid w:val="00597CAD"/>
    <w:rsid w:val="00597D46"/>
    <w:rsid w:val="00597EA4"/>
    <w:rsid w:val="00597ED5"/>
    <w:rsid w:val="00597F37"/>
    <w:rsid w:val="005A00B6"/>
    <w:rsid w:val="005A0138"/>
    <w:rsid w:val="005A0180"/>
    <w:rsid w:val="005A0280"/>
    <w:rsid w:val="005A034E"/>
    <w:rsid w:val="005A0383"/>
    <w:rsid w:val="005A0554"/>
    <w:rsid w:val="005A069F"/>
    <w:rsid w:val="005A06B1"/>
    <w:rsid w:val="005A083C"/>
    <w:rsid w:val="005A0860"/>
    <w:rsid w:val="005A0929"/>
    <w:rsid w:val="005A0A56"/>
    <w:rsid w:val="005A0AC9"/>
    <w:rsid w:val="005A0B31"/>
    <w:rsid w:val="005A0B48"/>
    <w:rsid w:val="005A0B68"/>
    <w:rsid w:val="005A0BEC"/>
    <w:rsid w:val="005A0D24"/>
    <w:rsid w:val="005A0E7E"/>
    <w:rsid w:val="005A0E9C"/>
    <w:rsid w:val="005A0EB3"/>
    <w:rsid w:val="005A1026"/>
    <w:rsid w:val="005A10BC"/>
    <w:rsid w:val="005A1153"/>
    <w:rsid w:val="005A1297"/>
    <w:rsid w:val="005A1364"/>
    <w:rsid w:val="005A1413"/>
    <w:rsid w:val="005A1634"/>
    <w:rsid w:val="005A1766"/>
    <w:rsid w:val="005A185B"/>
    <w:rsid w:val="005A19A0"/>
    <w:rsid w:val="005A1CDC"/>
    <w:rsid w:val="005A22A1"/>
    <w:rsid w:val="005A22EC"/>
    <w:rsid w:val="005A23C0"/>
    <w:rsid w:val="005A266C"/>
    <w:rsid w:val="005A269D"/>
    <w:rsid w:val="005A2707"/>
    <w:rsid w:val="005A2713"/>
    <w:rsid w:val="005A2718"/>
    <w:rsid w:val="005A274A"/>
    <w:rsid w:val="005A2BF8"/>
    <w:rsid w:val="005A2C3C"/>
    <w:rsid w:val="005A2E68"/>
    <w:rsid w:val="005A2F33"/>
    <w:rsid w:val="005A3062"/>
    <w:rsid w:val="005A30A6"/>
    <w:rsid w:val="005A3244"/>
    <w:rsid w:val="005A3374"/>
    <w:rsid w:val="005A3470"/>
    <w:rsid w:val="005A34A5"/>
    <w:rsid w:val="005A3672"/>
    <w:rsid w:val="005A36D9"/>
    <w:rsid w:val="005A3802"/>
    <w:rsid w:val="005A3871"/>
    <w:rsid w:val="005A392C"/>
    <w:rsid w:val="005A3BC6"/>
    <w:rsid w:val="005A3C98"/>
    <w:rsid w:val="005A3D8D"/>
    <w:rsid w:val="005A3EC2"/>
    <w:rsid w:val="005A3ED4"/>
    <w:rsid w:val="005A4257"/>
    <w:rsid w:val="005A42C8"/>
    <w:rsid w:val="005A46CD"/>
    <w:rsid w:val="005A4718"/>
    <w:rsid w:val="005A4856"/>
    <w:rsid w:val="005A4881"/>
    <w:rsid w:val="005A49CD"/>
    <w:rsid w:val="005A4ADB"/>
    <w:rsid w:val="005A4B1E"/>
    <w:rsid w:val="005A4C5C"/>
    <w:rsid w:val="005A4CE3"/>
    <w:rsid w:val="005A4E00"/>
    <w:rsid w:val="005A4F51"/>
    <w:rsid w:val="005A4FC6"/>
    <w:rsid w:val="005A5063"/>
    <w:rsid w:val="005A51DE"/>
    <w:rsid w:val="005A5457"/>
    <w:rsid w:val="005A54DB"/>
    <w:rsid w:val="005A55CB"/>
    <w:rsid w:val="005A566C"/>
    <w:rsid w:val="005A5A3A"/>
    <w:rsid w:val="005A5B1B"/>
    <w:rsid w:val="005A5C15"/>
    <w:rsid w:val="005A5C47"/>
    <w:rsid w:val="005A5C49"/>
    <w:rsid w:val="005A5D39"/>
    <w:rsid w:val="005A5D4E"/>
    <w:rsid w:val="005A5D7F"/>
    <w:rsid w:val="005A5DCB"/>
    <w:rsid w:val="005A5F22"/>
    <w:rsid w:val="005A5F84"/>
    <w:rsid w:val="005A60FC"/>
    <w:rsid w:val="005A623A"/>
    <w:rsid w:val="005A64B2"/>
    <w:rsid w:val="005A65B9"/>
    <w:rsid w:val="005A6725"/>
    <w:rsid w:val="005A68F4"/>
    <w:rsid w:val="005A6AF0"/>
    <w:rsid w:val="005A6B1B"/>
    <w:rsid w:val="005A6B9E"/>
    <w:rsid w:val="005A6BC3"/>
    <w:rsid w:val="005A6BC7"/>
    <w:rsid w:val="005A6C2D"/>
    <w:rsid w:val="005A6CCA"/>
    <w:rsid w:val="005A6DDC"/>
    <w:rsid w:val="005A6E68"/>
    <w:rsid w:val="005A6E8B"/>
    <w:rsid w:val="005A6EEB"/>
    <w:rsid w:val="005A6F91"/>
    <w:rsid w:val="005A734D"/>
    <w:rsid w:val="005A73BF"/>
    <w:rsid w:val="005A74E1"/>
    <w:rsid w:val="005A75D7"/>
    <w:rsid w:val="005A7672"/>
    <w:rsid w:val="005A7A23"/>
    <w:rsid w:val="005A7B73"/>
    <w:rsid w:val="005A7B75"/>
    <w:rsid w:val="005A7B7A"/>
    <w:rsid w:val="005A7C49"/>
    <w:rsid w:val="005A7D38"/>
    <w:rsid w:val="005A7E57"/>
    <w:rsid w:val="005A7FEA"/>
    <w:rsid w:val="005A7FF6"/>
    <w:rsid w:val="005B00DB"/>
    <w:rsid w:val="005B00ED"/>
    <w:rsid w:val="005B023A"/>
    <w:rsid w:val="005B0398"/>
    <w:rsid w:val="005B0597"/>
    <w:rsid w:val="005B05ED"/>
    <w:rsid w:val="005B066E"/>
    <w:rsid w:val="005B0790"/>
    <w:rsid w:val="005B089F"/>
    <w:rsid w:val="005B0997"/>
    <w:rsid w:val="005B0A80"/>
    <w:rsid w:val="005B0B0B"/>
    <w:rsid w:val="005B0B23"/>
    <w:rsid w:val="005B0C69"/>
    <w:rsid w:val="005B0CDC"/>
    <w:rsid w:val="005B0E33"/>
    <w:rsid w:val="005B0F6F"/>
    <w:rsid w:val="005B0FD2"/>
    <w:rsid w:val="005B1012"/>
    <w:rsid w:val="005B1319"/>
    <w:rsid w:val="005B15CD"/>
    <w:rsid w:val="005B1701"/>
    <w:rsid w:val="005B1702"/>
    <w:rsid w:val="005B19DF"/>
    <w:rsid w:val="005B1C46"/>
    <w:rsid w:val="005B1C72"/>
    <w:rsid w:val="005B1D05"/>
    <w:rsid w:val="005B1D73"/>
    <w:rsid w:val="005B1D7D"/>
    <w:rsid w:val="005B1DE2"/>
    <w:rsid w:val="005B1ED4"/>
    <w:rsid w:val="005B1F00"/>
    <w:rsid w:val="005B1F6B"/>
    <w:rsid w:val="005B22FE"/>
    <w:rsid w:val="005B23DA"/>
    <w:rsid w:val="005B240E"/>
    <w:rsid w:val="005B243C"/>
    <w:rsid w:val="005B256B"/>
    <w:rsid w:val="005B257C"/>
    <w:rsid w:val="005B26CD"/>
    <w:rsid w:val="005B27E6"/>
    <w:rsid w:val="005B285D"/>
    <w:rsid w:val="005B2977"/>
    <w:rsid w:val="005B29DF"/>
    <w:rsid w:val="005B2A4F"/>
    <w:rsid w:val="005B2AEA"/>
    <w:rsid w:val="005B2B1E"/>
    <w:rsid w:val="005B2B92"/>
    <w:rsid w:val="005B2BAA"/>
    <w:rsid w:val="005B2C3B"/>
    <w:rsid w:val="005B2CDA"/>
    <w:rsid w:val="005B2F23"/>
    <w:rsid w:val="005B2FBF"/>
    <w:rsid w:val="005B302C"/>
    <w:rsid w:val="005B31C4"/>
    <w:rsid w:val="005B3320"/>
    <w:rsid w:val="005B3355"/>
    <w:rsid w:val="005B3371"/>
    <w:rsid w:val="005B3485"/>
    <w:rsid w:val="005B34A5"/>
    <w:rsid w:val="005B34AE"/>
    <w:rsid w:val="005B35C3"/>
    <w:rsid w:val="005B36A6"/>
    <w:rsid w:val="005B37DC"/>
    <w:rsid w:val="005B3874"/>
    <w:rsid w:val="005B3921"/>
    <w:rsid w:val="005B39EC"/>
    <w:rsid w:val="005B3B30"/>
    <w:rsid w:val="005B3BCC"/>
    <w:rsid w:val="005B3C61"/>
    <w:rsid w:val="005B3F22"/>
    <w:rsid w:val="005B43AE"/>
    <w:rsid w:val="005B47C0"/>
    <w:rsid w:val="005B486D"/>
    <w:rsid w:val="005B4A2B"/>
    <w:rsid w:val="005B4A6F"/>
    <w:rsid w:val="005B4CF3"/>
    <w:rsid w:val="005B4EE7"/>
    <w:rsid w:val="005B4F5C"/>
    <w:rsid w:val="005B4FA4"/>
    <w:rsid w:val="005B519D"/>
    <w:rsid w:val="005B53EB"/>
    <w:rsid w:val="005B568D"/>
    <w:rsid w:val="005B5731"/>
    <w:rsid w:val="005B5757"/>
    <w:rsid w:val="005B5759"/>
    <w:rsid w:val="005B58D7"/>
    <w:rsid w:val="005B595A"/>
    <w:rsid w:val="005B59EB"/>
    <w:rsid w:val="005B5AED"/>
    <w:rsid w:val="005B5B4C"/>
    <w:rsid w:val="005B5B74"/>
    <w:rsid w:val="005B5C70"/>
    <w:rsid w:val="005B5D36"/>
    <w:rsid w:val="005B5D87"/>
    <w:rsid w:val="005B5E3F"/>
    <w:rsid w:val="005B6080"/>
    <w:rsid w:val="005B6141"/>
    <w:rsid w:val="005B6145"/>
    <w:rsid w:val="005B6387"/>
    <w:rsid w:val="005B64B8"/>
    <w:rsid w:val="005B65CA"/>
    <w:rsid w:val="005B6674"/>
    <w:rsid w:val="005B68AD"/>
    <w:rsid w:val="005B69FF"/>
    <w:rsid w:val="005B6A4B"/>
    <w:rsid w:val="005B6AC3"/>
    <w:rsid w:val="005B6CD4"/>
    <w:rsid w:val="005B6D41"/>
    <w:rsid w:val="005B6ED8"/>
    <w:rsid w:val="005B6F5A"/>
    <w:rsid w:val="005B7086"/>
    <w:rsid w:val="005B70D8"/>
    <w:rsid w:val="005B70F8"/>
    <w:rsid w:val="005B71D8"/>
    <w:rsid w:val="005B75F4"/>
    <w:rsid w:val="005B7752"/>
    <w:rsid w:val="005B7797"/>
    <w:rsid w:val="005B791B"/>
    <w:rsid w:val="005B793D"/>
    <w:rsid w:val="005B79E6"/>
    <w:rsid w:val="005B7BC0"/>
    <w:rsid w:val="005B7CB0"/>
    <w:rsid w:val="005B7FE1"/>
    <w:rsid w:val="005C0185"/>
    <w:rsid w:val="005C034A"/>
    <w:rsid w:val="005C0447"/>
    <w:rsid w:val="005C045C"/>
    <w:rsid w:val="005C0531"/>
    <w:rsid w:val="005C0592"/>
    <w:rsid w:val="005C05EB"/>
    <w:rsid w:val="005C0737"/>
    <w:rsid w:val="005C0934"/>
    <w:rsid w:val="005C094F"/>
    <w:rsid w:val="005C0A78"/>
    <w:rsid w:val="005C0B58"/>
    <w:rsid w:val="005C0BB3"/>
    <w:rsid w:val="005C0BF2"/>
    <w:rsid w:val="005C0D1F"/>
    <w:rsid w:val="005C0E17"/>
    <w:rsid w:val="005C0F65"/>
    <w:rsid w:val="005C102E"/>
    <w:rsid w:val="005C1151"/>
    <w:rsid w:val="005C1235"/>
    <w:rsid w:val="005C15C5"/>
    <w:rsid w:val="005C161F"/>
    <w:rsid w:val="005C1667"/>
    <w:rsid w:val="005C171A"/>
    <w:rsid w:val="005C1947"/>
    <w:rsid w:val="005C19DE"/>
    <w:rsid w:val="005C1A11"/>
    <w:rsid w:val="005C1ABF"/>
    <w:rsid w:val="005C1B85"/>
    <w:rsid w:val="005C1BF0"/>
    <w:rsid w:val="005C1D7E"/>
    <w:rsid w:val="005C2096"/>
    <w:rsid w:val="005C2115"/>
    <w:rsid w:val="005C2491"/>
    <w:rsid w:val="005C2533"/>
    <w:rsid w:val="005C25B0"/>
    <w:rsid w:val="005C2603"/>
    <w:rsid w:val="005C2649"/>
    <w:rsid w:val="005C274D"/>
    <w:rsid w:val="005C2818"/>
    <w:rsid w:val="005C29D9"/>
    <w:rsid w:val="005C2B60"/>
    <w:rsid w:val="005C2BB6"/>
    <w:rsid w:val="005C2C69"/>
    <w:rsid w:val="005C2CEB"/>
    <w:rsid w:val="005C2DFE"/>
    <w:rsid w:val="005C2E21"/>
    <w:rsid w:val="005C2FF8"/>
    <w:rsid w:val="005C300F"/>
    <w:rsid w:val="005C30F9"/>
    <w:rsid w:val="005C3145"/>
    <w:rsid w:val="005C31B0"/>
    <w:rsid w:val="005C3220"/>
    <w:rsid w:val="005C3319"/>
    <w:rsid w:val="005C3349"/>
    <w:rsid w:val="005C34AE"/>
    <w:rsid w:val="005C363D"/>
    <w:rsid w:val="005C374F"/>
    <w:rsid w:val="005C3CEB"/>
    <w:rsid w:val="005C3D1E"/>
    <w:rsid w:val="005C3D7F"/>
    <w:rsid w:val="005C3D83"/>
    <w:rsid w:val="005C3D9B"/>
    <w:rsid w:val="005C3DD3"/>
    <w:rsid w:val="005C3E0A"/>
    <w:rsid w:val="005C43F5"/>
    <w:rsid w:val="005C4593"/>
    <w:rsid w:val="005C45A9"/>
    <w:rsid w:val="005C4795"/>
    <w:rsid w:val="005C47FA"/>
    <w:rsid w:val="005C489B"/>
    <w:rsid w:val="005C4BCF"/>
    <w:rsid w:val="005C4F3A"/>
    <w:rsid w:val="005C4FE6"/>
    <w:rsid w:val="005C50ED"/>
    <w:rsid w:val="005C527F"/>
    <w:rsid w:val="005C5353"/>
    <w:rsid w:val="005C5484"/>
    <w:rsid w:val="005C5516"/>
    <w:rsid w:val="005C5574"/>
    <w:rsid w:val="005C5634"/>
    <w:rsid w:val="005C56CF"/>
    <w:rsid w:val="005C5713"/>
    <w:rsid w:val="005C599A"/>
    <w:rsid w:val="005C5A6A"/>
    <w:rsid w:val="005C5D76"/>
    <w:rsid w:val="005C5DB0"/>
    <w:rsid w:val="005C5F9E"/>
    <w:rsid w:val="005C5FD0"/>
    <w:rsid w:val="005C6351"/>
    <w:rsid w:val="005C6532"/>
    <w:rsid w:val="005C6653"/>
    <w:rsid w:val="005C6A8C"/>
    <w:rsid w:val="005C6A9B"/>
    <w:rsid w:val="005C6C26"/>
    <w:rsid w:val="005C6EB0"/>
    <w:rsid w:val="005C6EFE"/>
    <w:rsid w:val="005C6F48"/>
    <w:rsid w:val="005C7299"/>
    <w:rsid w:val="005C750B"/>
    <w:rsid w:val="005C7668"/>
    <w:rsid w:val="005C7746"/>
    <w:rsid w:val="005C7859"/>
    <w:rsid w:val="005C7CE0"/>
    <w:rsid w:val="005C7DAE"/>
    <w:rsid w:val="005C7E6E"/>
    <w:rsid w:val="005C7F3D"/>
    <w:rsid w:val="005D000C"/>
    <w:rsid w:val="005D001F"/>
    <w:rsid w:val="005D006A"/>
    <w:rsid w:val="005D0090"/>
    <w:rsid w:val="005D028F"/>
    <w:rsid w:val="005D04BF"/>
    <w:rsid w:val="005D079C"/>
    <w:rsid w:val="005D0D2D"/>
    <w:rsid w:val="005D12DE"/>
    <w:rsid w:val="005D1367"/>
    <w:rsid w:val="005D1376"/>
    <w:rsid w:val="005D1537"/>
    <w:rsid w:val="005D1567"/>
    <w:rsid w:val="005D15C6"/>
    <w:rsid w:val="005D16F5"/>
    <w:rsid w:val="005D1995"/>
    <w:rsid w:val="005D1D58"/>
    <w:rsid w:val="005D1E14"/>
    <w:rsid w:val="005D1FCA"/>
    <w:rsid w:val="005D1FD8"/>
    <w:rsid w:val="005D202D"/>
    <w:rsid w:val="005D23BF"/>
    <w:rsid w:val="005D25D9"/>
    <w:rsid w:val="005D27D4"/>
    <w:rsid w:val="005D285A"/>
    <w:rsid w:val="005D285B"/>
    <w:rsid w:val="005D2ABA"/>
    <w:rsid w:val="005D2EB1"/>
    <w:rsid w:val="005D2EE6"/>
    <w:rsid w:val="005D2F2E"/>
    <w:rsid w:val="005D30FB"/>
    <w:rsid w:val="005D31FA"/>
    <w:rsid w:val="005D36BF"/>
    <w:rsid w:val="005D3787"/>
    <w:rsid w:val="005D3886"/>
    <w:rsid w:val="005D3E2B"/>
    <w:rsid w:val="005D3EA0"/>
    <w:rsid w:val="005D3FA5"/>
    <w:rsid w:val="005D3FF7"/>
    <w:rsid w:val="005D402F"/>
    <w:rsid w:val="005D4034"/>
    <w:rsid w:val="005D4202"/>
    <w:rsid w:val="005D43B0"/>
    <w:rsid w:val="005D4795"/>
    <w:rsid w:val="005D47D4"/>
    <w:rsid w:val="005D4837"/>
    <w:rsid w:val="005D4B42"/>
    <w:rsid w:val="005D4B60"/>
    <w:rsid w:val="005D4C86"/>
    <w:rsid w:val="005D4E47"/>
    <w:rsid w:val="005D4E98"/>
    <w:rsid w:val="005D4EB1"/>
    <w:rsid w:val="005D4F52"/>
    <w:rsid w:val="005D5483"/>
    <w:rsid w:val="005D573E"/>
    <w:rsid w:val="005D57E6"/>
    <w:rsid w:val="005D57F2"/>
    <w:rsid w:val="005D5973"/>
    <w:rsid w:val="005D599C"/>
    <w:rsid w:val="005D5B97"/>
    <w:rsid w:val="005D5E75"/>
    <w:rsid w:val="005D5F30"/>
    <w:rsid w:val="005D5F39"/>
    <w:rsid w:val="005D5FCB"/>
    <w:rsid w:val="005D61C6"/>
    <w:rsid w:val="005D61F0"/>
    <w:rsid w:val="005D626B"/>
    <w:rsid w:val="005D6327"/>
    <w:rsid w:val="005D6742"/>
    <w:rsid w:val="005D682E"/>
    <w:rsid w:val="005D6A44"/>
    <w:rsid w:val="005D6CA5"/>
    <w:rsid w:val="005D6D77"/>
    <w:rsid w:val="005D6E93"/>
    <w:rsid w:val="005D6EA8"/>
    <w:rsid w:val="005D7039"/>
    <w:rsid w:val="005D7083"/>
    <w:rsid w:val="005D714D"/>
    <w:rsid w:val="005D727B"/>
    <w:rsid w:val="005D7309"/>
    <w:rsid w:val="005D73D1"/>
    <w:rsid w:val="005D73E3"/>
    <w:rsid w:val="005D73EE"/>
    <w:rsid w:val="005D7465"/>
    <w:rsid w:val="005D74BA"/>
    <w:rsid w:val="005D758F"/>
    <w:rsid w:val="005D771E"/>
    <w:rsid w:val="005D7755"/>
    <w:rsid w:val="005D7833"/>
    <w:rsid w:val="005D79FD"/>
    <w:rsid w:val="005D7B2E"/>
    <w:rsid w:val="005D7D60"/>
    <w:rsid w:val="005E063E"/>
    <w:rsid w:val="005E074F"/>
    <w:rsid w:val="005E089C"/>
    <w:rsid w:val="005E09DC"/>
    <w:rsid w:val="005E0A23"/>
    <w:rsid w:val="005E0A58"/>
    <w:rsid w:val="005E0BF9"/>
    <w:rsid w:val="005E0C5B"/>
    <w:rsid w:val="005E0CAB"/>
    <w:rsid w:val="005E0CCB"/>
    <w:rsid w:val="005E0D22"/>
    <w:rsid w:val="005E0D23"/>
    <w:rsid w:val="005E1049"/>
    <w:rsid w:val="005E111F"/>
    <w:rsid w:val="005E11A2"/>
    <w:rsid w:val="005E11D5"/>
    <w:rsid w:val="005E1249"/>
    <w:rsid w:val="005E12AA"/>
    <w:rsid w:val="005E14EB"/>
    <w:rsid w:val="005E16CD"/>
    <w:rsid w:val="005E187E"/>
    <w:rsid w:val="005E18B0"/>
    <w:rsid w:val="005E18ED"/>
    <w:rsid w:val="005E1AE1"/>
    <w:rsid w:val="005E1AFB"/>
    <w:rsid w:val="005E1B88"/>
    <w:rsid w:val="005E1CE2"/>
    <w:rsid w:val="005E1D19"/>
    <w:rsid w:val="005E1D60"/>
    <w:rsid w:val="005E1F43"/>
    <w:rsid w:val="005E1FB3"/>
    <w:rsid w:val="005E20DA"/>
    <w:rsid w:val="005E20E5"/>
    <w:rsid w:val="005E21E1"/>
    <w:rsid w:val="005E22FE"/>
    <w:rsid w:val="005E2557"/>
    <w:rsid w:val="005E2653"/>
    <w:rsid w:val="005E26CD"/>
    <w:rsid w:val="005E272E"/>
    <w:rsid w:val="005E2782"/>
    <w:rsid w:val="005E27D2"/>
    <w:rsid w:val="005E281F"/>
    <w:rsid w:val="005E2856"/>
    <w:rsid w:val="005E287E"/>
    <w:rsid w:val="005E2934"/>
    <w:rsid w:val="005E2A5F"/>
    <w:rsid w:val="005E2D3B"/>
    <w:rsid w:val="005E2D9C"/>
    <w:rsid w:val="005E32B6"/>
    <w:rsid w:val="005E3310"/>
    <w:rsid w:val="005E33A4"/>
    <w:rsid w:val="005E3402"/>
    <w:rsid w:val="005E35E8"/>
    <w:rsid w:val="005E36EA"/>
    <w:rsid w:val="005E3817"/>
    <w:rsid w:val="005E396C"/>
    <w:rsid w:val="005E3FEB"/>
    <w:rsid w:val="005E4064"/>
    <w:rsid w:val="005E407C"/>
    <w:rsid w:val="005E41C6"/>
    <w:rsid w:val="005E43F4"/>
    <w:rsid w:val="005E4438"/>
    <w:rsid w:val="005E46B6"/>
    <w:rsid w:val="005E4985"/>
    <w:rsid w:val="005E4C49"/>
    <w:rsid w:val="005E4D70"/>
    <w:rsid w:val="005E50DE"/>
    <w:rsid w:val="005E50ED"/>
    <w:rsid w:val="005E5105"/>
    <w:rsid w:val="005E5235"/>
    <w:rsid w:val="005E52D1"/>
    <w:rsid w:val="005E530B"/>
    <w:rsid w:val="005E53AA"/>
    <w:rsid w:val="005E5570"/>
    <w:rsid w:val="005E5634"/>
    <w:rsid w:val="005E56E9"/>
    <w:rsid w:val="005E57A7"/>
    <w:rsid w:val="005E5BB0"/>
    <w:rsid w:val="005E5BDA"/>
    <w:rsid w:val="005E5C44"/>
    <w:rsid w:val="005E5D81"/>
    <w:rsid w:val="005E5EA3"/>
    <w:rsid w:val="005E606C"/>
    <w:rsid w:val="005E618A"/>
    <w:rsid w:val="005E632C"/>
    <w:rsid w:val="005E6498"/>
    <w:rsid w:val="005E64D7"/>
    <w:rsid w:val="005E64F0"/>
    <w:rsid w:val="005E6537"/>
    <w:rsid w:val="005E66F4"/>
    <w:rsid w:val="005E67CD"/>
    <w:rsid w:val="005E6AC3"/>
    <w:rsid w:val="005E6EBD"/>
    <w:rsid w:val="005E7201"/>
    <w:rsid w:val="005E7275"/>
    <w:rsid w:val="005E7281"/>
    <w:rsid w:val="005E73EC"/>
    <w:rsid w:val="005E75A3"/>
    <w:rsid w:val="005E7610"/>
    <w:rsid w:val="005E7750"/>
    <w:rsid w:val="005E775F"/>
    <w:rsid w:val="005E778A"/>
    <w:rsid w:val="005E79F7"/>
    <w:rsid w:val="005E7A6A"/>
    <w:rsid w:val="005E7BD5"/>
    <w:rsid w:val="005E7BE2"/>
    <w:rsid w:val="005E7DC0"/>
    <w:rsid w:val="005F0267"/>
    <w:rsid w:val="005F0399"/>
    <w:rsid w:val="005F0525"/>
    <w:rsid w:val="005F06F6"/>
    <w:rsid w:val="005F0704"/>
    <w:rsid w:val="005F0AC8"/>
    <w:rsid w:val="005F0E1F"/>
    <w:rsid w:val="005F0EA0"/>
    <w:rsid w:val="005F0EA7"/>
    <w:rsid w:val="005F0EC6"/>
    <w:rsid w:val="005F0FA5"/>
    <w:rsid w:val="005F1179"/>
    <w:rsid w:val="005F12CB"/>
    <w:rsid w:val="005F1376"/>
    <w:rsid w:val="005F13CD"/>
    <w:rsid w:val="005F1408"/>
    <w:rsid w:val="005F1443"/>
    <w:rsid w:val="005F16A5"/>
    <w:rsid w:val="005F177C"/>
    <w:rsid w:val="005F1A56"/>
    <w:rsid w:val="005F1AAF"/>
    <w:rsid w:val="005F1BAE"/>
    <w:rsid w:val="005F1C8D"/>
    <w:rsid w:val="005F1D04"/>
    <w:rsid w:val="005F1E1C"/>
    <w:rsid w:val="005F1E46"/>
    <w:rsid w:val="005F206C"/>
    <w:rsid w:val="005F2079"/>
    <w:rsid w:val="005F207A"/>
    <w:rsid w:val="005F21A4"/>
    <w:rsid w:val="005F21A9"/>
    <w:rsid w:val="005F2238"/>
    <w:rsid w:val="005F2307"/>
    <w:rsid w:val="005F24B3"/>
    <w:rsid w:val="005F2539"/>
    <w:rsid w:val="005F2544"/>
    <w:rsid w:val="005F2815"/>
    <w:rsid w:val="005F28D3"/>
    <w:rsid w:val="005F28F8"/>
    <w:rsid w:val="005F29A9"/>
    <w:rsid w:val="005F2B24"/>
    <w:rsid w:val="005F2B81"/>
    <w:rsid w:val="005F2C93"/>
    <w:rsid w:val="005F2E55"/>
    <w:rsid w:val="005F2F71"/>
    <w:rsid w:val="005F3186"/>
    <w:rsid w:val="005F33E5"/>
    <w:rsid w:val="005F386F"/>
    <w:rsid w:val="005F38A4"/>
    <w:rsid w:val="005F39DD"/>
    <w:rsid w:val="005F3A50"/>
    <w:rsid w:val="005F3AAD"/>
    <w:rsid w:val="005F3C28"/>
    <w:rsid w:val="005F3C5A"/>
    <w:rsid w:val="005F3FD9"/>
    <w:rsid w:val="005F402F"/>
    <w:rsid w:val="005F4113"/>
    <w:rsid w:val="005F4197"/>
    <w:rsid w:val="005F43D5"/>
    <w:rsid w:val="005F447F"/>
    <w:rsid w:val="005F45F1"/>
    <w:rsid w:val="005F4A34"/>
    <w:rsid w:val="005F4CA9"/>
    <w:rsid w:val="005F4E8A"/>
    <w:rsid w:val="005F4FA0"/>
    <w:rsid w:val="005F50D5"/>
    <w:rsid w:val="005F51BD"/>
    <w:rsid w:val="005F5442"/>
    <w:rsid w:val="005F5597"/>
    <w:rsid w:val="005F55FC"/>
    <w:rsid w:val="005F57D4"/>
    <w:rsid w:val="005F58D4"/>
    <w:rsid w:val="005F5966"/>
    <w:rsid w:val="005F5985"/>
    <w:rsid w:val="005F59B5"/>
    <w:rsid w:val="005F5F3E"/>
    <w:rsid w:val="005F5FB3"/>
    <w:rsid w:val="005F5FF7"/>
    <w:rsid w:val="005F61D5"/>
    <w:rsid w:val="005F644F"/>
    <w:rsid w:val="005F660E"/>
    <w:rsid w:val="005F66F8"/>
    <w:rsid w:val="005F6760"/>
    <w:rsid w:val="005F69DE"/>
    <w:rsid w:val="005F6BCD"/>
    <w:rsid w:val="005F6C18"/>
    <w:rsid w:val="005F6F32"/>
    <w:rsid w:val="005F6FD1"/>
    <w:rsid w:val="005F70E5"/>
    <w:rsid w:val="005F720A"/>
    <w:rsid w:val="005F745B"/>
    <w:rsid w:val="005F7547"/>
    <w:rsid w:val="005F76D4"/>
    <w:rsid w:val="005F7794"/>
    <w:rsid w:val="005F7995"/>
    <w:rsid w:val="005F79DC"/>
    <w:rsid w:val="005F7BCA"/>
    <w:rsid w:val="005F7C60"/>
    <w:rsid w:val="006000C1"/>
    <w:rsid w:val="006001AF"/>
    <w:rsid w:val="00600688"/>
    <w:rsid w:val="006006B0"/>
    <w:rsid w:val="00600759"/>
    <w:rsid w:val="006009F4"/>
    <w:rsid w:val="00600ACF"/>
    <w:rsid w:val="00600F27"/>
    <w:rsid w:val="006014EB"/>
    <w:rsid w:val="00601613"/>
    <w:rsid w:val="00601784"/>
    <w:rsid w:val="006018A0"/>
    <w:rsid w:val="00601A1F"/>
    <w:rsid w:val="00601B4B"/>
    <w:rsid w:val="00601C12"/>
    <w:rsid w:val="00601D33"/>
    <w:rsid w:val="00601E56"/>
    <w:rsid w:val="00601EDB"/>
    <w:rsid w:val="00601F1A"/>
    <w:rsid w:val="00602110"/>
    <w:rsid w:val="0060215F"/>
    <w:rsid w:val="0060239B"/>
    <w:rsid w:val="006023B1"/>
    <w:rsid w:val="00602511"/>
    <w:rsid w:val="0060256D"/>
    <w:rsid w:val="006025FA"/>
    <w:rsid w:val="006027E4"/>
    <w:rsid w:val="006027FF"/>
    <w:rsid w:val="0060280C"/>
    <w:rsid w:val="00602E4C"/>
    <w:rsid w:val="0060330E"/>
    <w:rsid w:val="0060348B"/>
    <w:rsid w:val="00603604"/>
    <w:rsid w:val="0060383A"/>
    <w:rsid w:val="006039B0"/>
    <w:rsid w:val="00603A2C"/>
    <w:rsid w:val="00603BE0"/>
    <w:rsid w:val="00603D71"/>
    <w:rsid w:val="00603EB3"/>
    <w:rsid w:val="006040C8"/>
    <w:rsid w:val="0060412A"/>
    <w:rsid w:val="00604372"/>
    <w:rsid w:val="006043B1"/>
    <w:rsid w:val="006046CF"/>
    <w:rsid w:val="006048C8"/>
    <w:rsid w:val="006048EB"/>
    <w:rsid w:val="00604B56"/>
    <w:rsid w:val="00604D41"/>
    <w:rsid w:val="00604EFA"/>
    <w:rsid w:val="00605012"/>
    <w:rsid w:val="006050AC"/>
    <w:rsid w:val="006050BC"/>
    <w:rsid w:val="00605337"/>
    <w:rsid w:val="0060542A"/>
    <w:rsid w:val="006056F0"/>
    <w:rsid w:val="00605BFC"/>
    <w:rsid w:val="00605CD9"/>
    <w:rsid w:val="00605D1B"/>
    <w:rsid w:val="00605D61"/>
    <w:rsid w:val="00605D84"/>
    <w:rsid w:val="00605E1A"/>
    <w:rsid w:val="00605F34"/>
    <w:rsid w:val="00605F51"/>
    <w:rsid w:val="00605F53"/>
    <w:rsid w:val="00606043"/>
    <w:rsid w:val="0060606A"/>
    <w:rsid w:val="006061C2"/>
    <w:rsid w:val="0060625A"/>
    <w:rsid w:val="00606291"/>
    <w:rsid w:val="006063F7"/>
    <w:rsid w:val="006064F2"/>
    <w:rsid w:val="006065A1"/>
    <w:rsid w:val="00606923"/>
    <w:rsid w:val="006069D0"/>
    <w:rsid w:val="00606B18"/>
    <w:rsid w:val="00606B6D"/>
    <w:rsid w:val="00606BC3"/>
    <w:rsid w:val="00606C1E"/>
    <w:rsid w:val="00606DF6"/>
    <w:rsid w:val="006071CD"/>
    <w:rsid w:val="00607332"/>
    <w:rsid w:val="00607479"/>
    <w:rsid w:val="006076BE"/>
    <w:rsid w:val="006077A5"/>
    <w:rsid w:val="006077A6"/>
    <w:rsid w:val="00607894"/>
    <w:rsid w:val="006078E8"/>
    <w:rsid w:val="00607B04"/>
    <w:rsid w:val="00607B8F"/>
    <w:rsid w:val="00607CC5"/>
    <w:rsid w:val="00607D30"/>
    <w:rsid w:val="00610065"/>
    <w:rsid w:val="00610382"/>
    <w:rsid w:val="006103E4"/>
    <w:rsid w:val="00610411"/>
    <w:rsid w:val="006104BC"/>
    <w:rsid w:val="00610553"/>
    <w:rsid w:val="0061083A"/>
    <w:rsid w:val="0061098F"/>
    <w:rsid w:val="00610A91"/>
    <w:rsid w:val="00610B7F"/>
    <w:rsid w:val="00610BE8"/>
    <w:rsid w:val="00610D4C"/>
    <w:rsid w:val="00610EDA"/>
    <w:rsid w:val="00611013"/>
    <w:rsid w:val="00611163"/>
    <w:rsid w:val="00611212"/>
    <w:rsid w:val="006115C0"/>
    <w:rsid w:val="00611698"/>
    <w:rsid w:val="006116FE"/>
    <w:rsid w:val="006117DD"/>
    <w:rsid w:val="006118EE"/>
    <w:rsid w:val="00611A6B"/>
    <w:rsid w:val="00611A7A"/>
    <w:rsid w:val="00612017"/>
    <w:rsid w:val="0061205F"/>
    <w:rsid w:val="00612281"/>
    <w:rsid w:val="006122A3"/>
    <w:rsid w:val="0061237F"/>
    <w:rsid w:val="00612385"/>
    <w:rsid w:val="00612446"/>
    <w:rsid w:val="00612721"/>
    <w:rsid w:val="006127A0"/>
    <w:rsid w:val="0061282D"/>
    <w:rsid w:val="00612C7A"/>
    <w:rsid w:val="00612DB3"/>
    <w:rsid w:val="00612DCB"/>
    <w:rsid w:val="00612F1D"/>
    <w:rsid w:val="00612FB7"/>
    <w:rsid w:val="0061315B"/>
    <w:rsid w:val="00613226"/>
    <w:rsid w:val="00613424"/>
    <w:rsid w:val="0061382A"/>
    <w:rsid w:val="006138D2"/>
    <w:rsid w:val="00613BF2"/>
    <w:rsid w:val="00613D9A"/>
    <w:rsid w:val="00613EA2"/>
    <w:rsid w:val="00614028"/>
    <w:rsid w:val="0061417A"/>
    <w:rsid w:val="00614430"/>
    <w:rsid w:val="00614484"/>
    <w:rsid w:val="00614758"/>
    <w:rsid w:val="00614897"/>
    <w:rsid w:val="00614B9E"/>
    <w:rsid w:val="00614FEA"/>
    <w:rsid w:val="0061514D"/>
    <w:rsid w:val="006154CC"/>
    <w:rsid w:val="00615687"/>
    <w:rsid w:val="006157E9"/>
    <w:rsid w:val="00615870"/>
    <w:rsid w:val="006158B6"/>
    <w:rsid w:val="0061592E"/>
    <w:rsid w:val="0061595A"/>
    <w:rsid w:val="00615B02"/>
    <w:rsid w:val="006161C5"/>
    <w:rsid w:val="006163B5"/>
    <w:rsid w:val="0061659D"/>
    <w:rsid w:val="00616679"/>
    <w:rsid w:val="0061673B"/>
    <w:rsid w:val="006169C5"/>
    <w:rsid w:val="00616AEC"/>
    <w:rsid w:val="00616B0E"/>
    <w:rsid w:val="00616B6B"/>
    <w:rsid w:val="00616D08"/>
    <w:rsid w:val="00616F36"/>
    <w:rsid w:val="006170F5"/>
    <w:rsid w:val="00617118"/>
    <w:rsid w:val="0061712F"/>
    <w:rsid w:val="006173F0"/>
    <w:rsid w:val="00617447"/>
    <w:rsid w:val="006174E7"/>
    <w:rsid w:val="00617858"/>
    <w:rsid w:val="00617A2B"/>
    <w:rsid w:val="00617A2E"/>
    <w:rsid w:val="00617C31"/>
    <w:rsid w:val="00617C7F"/>
    <w:rsid w:val="00617CBF"/>
    <w:rsid w:val="00617CD9"/>
    <w:rsid w:val="00617E39"/>
    <w:rsid w:val="00617F7B"/>
    <w:rsid w:val="00617FD7"/>
    <w:rsid w:val="00617FD8"/>
    <w:rsid w:val="006201D4"/>
    <w:rsid w:val="006203EC"/>
    <w:rsid w:val="006204B5"/>
    <w:rsid w:val="0062054C"/>
    <w:rsid w:val="006205F2"/>
    <w:rsid w:val="00620A4E"/>
    <w:rsid w:val="00620AC8"/>
    <w:rsid w:val="00620B5F"/>
    <w:rsid w:val="00620C99"/>
    <w:rsid w:val="00621056"/>
    <w:rsid w:val="00621069"/>
    <w:rsid w:val="00621129"/>
    <w:rsid w:val="00621274"/>
    <w:rsid w:val="00621277"/>
    <w:rsid w:val="00621568"/>
    <w:rsid w:val="006215E7"/>
    <w:rsid w:val="006216B3"/>
    <w:rsid w:val="006216C5"/>
    <w:rsid w:val="00621838"/>
    <w:rsid w:val="00621A14"/>
    <w:rsid w:val="00621B39"/>
    <w:rsid w:val="00621B74"/>
    <w:rsid w:val="00621CE7"/>
    <w:rsid w:val="00621D52"/>
    <w:rsid w:val="0062214B"/>
    <w:rsid w:val="0062220E"/>
    <w:rsid w:val="006222FE"/>
    <w:rsid w:val="006223EB"/>
    <w:rsid w:val="00622453"/>
    <w:rsid w:val="00622567"/>
    <w:rsid w:val="00622574"/>
    <w:rsid w:val="00622764"/>
    <w:rsid w:val="00623038"/>
    <w:rsid w:val="00623058"/>
    <w:rsid w:val="006233E5"/>
    <w:rsid w:val="006234A6"/>
    <w:rsid w:val="006235BD"/>
    <w:rsid w:val="00623652"/>
    <w:rsid w:val="00623688"/>
    <w:rsid w:val="00623805"/>
    <w:rsid w:val="00623844"/>
    <w:rsid w:val="00623C0D"/>
    <w:rsid w:val="00623ED3"/>
    <w:rsid w:val="00623F9E"/>
    <w:rsid w:val="00623FC2"/>
    <w:rsid w:val="006240F9"/>
    <w:rsid w:val="0062411C"/>
    <w:rsid w:val="0062459E"/>
    <w:rsid w:val="006246D9"/>
    <w:rsid w:val="00624703"/>
    <w:rsid w:val="0062471B"/>
    <w:rsid w:val="00624721"/>
    <w:rsid w:val="0062483C"/>
    <w:rsid w:val="00624896"/>
    <w:rsid w:val="006249E4"/>
    <w:rsid w:val="00624B8E"/>
    <w:rsid w:val="00624F71"/>
    <w:rsid w:val="00624FC9"/>
    <w:rsid w:val="00624FCE"/>
    <w:rsid w:val="0062531D"/>
    <w:rsid w:val="00625421"/>
    <w:rsid w:val="0062548C"/>
    <w:rsid w:val="006254B0"/>
    <w:rsid w:val="0062551F"/>
    <w:rsid w:val="00625568"/>
    <w:rsid w:val="006255B0"/>
    <w:rsid w:val="0062583A"/>
    <w:rsid w:val="00625A3D"/>
    <w:rsid w:val="00625A4D"/>
    <w:rsid w:val="00625C39"/>
    <w:rsid w:val="00625D2C"/>
    <w:rsid w:val="00626006"/>
    <w:rsid w:val="0062607D"/>
    <w:rsid w:val="006260BA"/>
    <w:rsid w:val="00626484"/>
    <w:rsid w:val="00626658"/>
    <w:rsid w:val="006266B8"/>
    <w:rsid w:val="0062680E"/>
    <w:rsid w:val="0062697C"/>
    <w:rsid w:val="00626B2B"/>
    <w:rsid w:val="00626BD6"/>
    <w:rsid w:val="00626BEE"/>
    <w:rsid w:val="00626CB4"/>
    <w:rsid w:val="00626F72"/>
    <w:rsid w:val="00627110"/>
    <w:rsid w:val="00627139"/>
    <w:rsid w:val="0062721B"/>
    <w:rsid w:val="00627268"/>
    <w:rsid w:val="006272CD"/>
    <w:rsid w:val="00627322"/>
    <w:rsid w:val="00627534"/>
    <w:rsid w:val="0062764A"/>
    <w:rsid w:val="006276C1"/>
    <w:rsid w:val="006277D5"/>
    <w:rsid w:val="00627866"/>
    <w:rsid w:val="00627947"/>
    <w:rsid w:val="00627D90"/>
    <w:rsid w:val="00627FB8"/>
    <w:rsid w:val="00630078"/>
    <w:rsid w:val="006301EC"/>
    <w:rsid w:val="0063056C"/>
    <w:rsid w:val="0063066F"/>
    <w:rsid w:val="006306CB"/>
    <w:rsid w:val="006308EE"/>
    <w:rsid w:val="0063095F"/>
    <w:rsid w:val="00630A9E"/>
    <w:rsid w:val="00630BAC"/>
    <w:rsid w:val="00630D67"/>
    <w:rsid w:val="00630EEB"/>
    <w:rsid w:val="00630FD8"/>
    <w:rsid w:val="0063122B"/>
    <w:rsid w:val="00631290"/>
    <w:rsid w:val="00631368"/>
    <w:rsid w:val="006315DE"/>
    <w:rsid w:val="00631610"/>
    <w:rsid w:val="00631663"/>
    <w:rsid w:val="006316AF"/>
    <w:rsid w:val="006316CC"/>
    <w:rsid w:val="00631801"/>
    <w:rsid w:val="006318EC"/>
    <w:rsid w:val="00631980"/>
    <w:rsid w:val="00631C69"/>
    <w:rsid w:val="00631ED0"/>
    <w:rsid w:val="00632238"/>
    <w:rsid w:val="006325B2"/>
    <w:rsid w:val="00632607"/>
    <w:rsid w:val="0063267A"/>
    <w:rsid w:val="006328C4"/>
    <w:rsid w:val="00632A9A"/>
    <w:rsid w:val="00632B07"/>
    <w:rsid w:val="00632B57"/>
    <w:rsid w:val="006332AB"/>
    <w:rsid w:val="006332BD"/>
    <w:rsid w:val="006333AF"/>
    <w:rsid w:val="006333D3"/>
    <w:rsid w:val="006333FF"/>
    <w:rsid w:val="0063346E"/>
    <w:rsid w:val="006334BC"/>
    <w:rsid w:val="0063363F"/>
    <w:rsid w:val="00633924"/>
    <w:rsid w:val="00633ABF"/>
    <w:rsid w:val="00633B79"/>
    <w:rsid w:val="00633CA4"/>
    <w:rsid w:val="00633EDE"/>
    <w:rsid w:val="00633F2F"/>
    <w:rsid w:val="00634133"/>
    <w:rsid w:val="006341E4"/>
    <w:rsid w:val="006343AA"/>
    <w:rsid w:val="006345B4"/>
    <w:rsid w:val="00634A66"/>
    <w:rsid w:val="00634B08"/>
    <w:rsid w:val="00634FD2"/>
    <w:rsid w:val="00634FF1"/>
    <w:rsid w:val="00635317"/>
    <w:rsid w:val="00635376"/>
    <w:rsid w:val="0063559F"/>
    <w:rsid w:val="00635894"/>
    <w:rsid w:val="006358F0"/>
    <w:rsid w:val="00635D1C"/>
    <w:rsid w:val="00635DEF"/>
    <w:rsid w:val="00635F13"/>
    <w:rsid w:val="00636026"/>
    <w:rsid w:val="00636099"/>
    <w:rsid w:val="006360A2"/>
    <w:rsid w:val="0063642F"/>
    <w:rsid w:val="006366C7"/>
    <w:rsid w:val="00636819"/>
    <w:rsid w:val="00636A88"/>
    <w:rsid w:val="00636ADE"/>
    <w:rsid w:val="00636B3A"/>
    <w:rsid w:val="00636C2F"/>
    <w:rsid w:val="00636C30"/>
    <w:rsid w:val="00636E92"/>
    <w:rsid w:val="00636F4F"/>
    <w:rsid w:val="00637007"/>
    <w:rsid w:val="0063706A"/>
    <w:rsid w:val="006370EA"/>
    <w:rsid w:val="00637147"/>
    <w:rsid w:val="0063743E"/>
    <w:rsid w:val="006374A1"/>
    <w:rsid w:val="00637504"/>
    <w:rsid w:val="00637856"/>
    <w:rsid w:val="00637A6A"/>
    <w:rsid w:val="00637A7E"/>
    <w:rsid w:val="00637C46"/>
    <w:rsid w:val="00637CE2"/>
    <w:rsid w:val="00637D52"/>
    <w:rsid w:val="00637D5E"/>
    <w:rsid w:val="00637E04"/>
    <w:rsid w:val="00637F35"/>
    <w:rsid w:val="00640076"/>
    <w:rsid w:val="006401A2"/>
    <w:rsid w:val="00640349"/>
    <w:rsid w:val="006404A2"/>
    <w:rsid w:val="00640548"/>
    <w:rsid w:val="00640732"/>
    <w:rsid w:val="006409A3"/>
    <w:rsid w:val="006409C2"/>
    <w:rsid w:val="00640BB5"/>
    <w:rsid w:val="00640BEA"/>
    <w:rsid w:val="00640CC7"/>
    <w:rsid w:val="00640D58"/>
    <w:rsid w:val="00640FD1"/>
    <w:rsid w:val="006410A8"/>
    <w:rsid w:val="006414B2"/>
    <w:rsid w:val="00641514"/>
    <w:rsid w:val="0064172D"/>
    <w:rsid w:val="00641B34"/>
    <w:rsid w:val="00641C71"/>
    <w:rsid w:val="00641C8A"/>
    <w:rsid w:val="00641F8B"/>
    <w:rsid w:val="00641FE9"/>
    <w:rsid w:val="00642104"/>
    <w:rsid w:val="00642146"/>
    <w:rsid w:val="006421DC"/>
    <w:rsid w:val="0064224F"/>
    <w:rsid w:val="00642446"/>
    <w:rsid w:val="00642514"/>
    <w:rsid w:val="0064253B"/>
    <w:rsid w:val="00642845"/>
    <w:rsid w:val="00642A6A"/>
    <w:rsid w:val="00642BD4"/>
    <w:rsid w:val="00642DB1"/>
    <w:rsid w:val="00642E8B"/>
    <w:rsid w:val="00643199"/>
    <w:rsid w:val="00643230"/>
    <w:rsid w:val="0064323E"/>
    <w:rsid w:val="006432F5"/>
    <w:rsid w:val="00643674"/>
    <w:rsid w:val="006436C2"/>
    <w:rsid w:val="00643935"/>
    <w:rsid w:val="00643A4C"/>
    <w:rsid w:val="00643B5D"/>
    <w:rsid w:val="00643CAB"/>
    <w:rsid w:val="00643E58"/>
    <w:rsid w:val="00643EB3"/>
    <w:rsid w:val="00644070"/>
    <w:rsid w:val="0064425F"/>
    <w:rsid w:val="006442CA"/>
    <w:rsid w:val="006442F0"/>
    <w:rsid w:val="0064431B"/>
    <w:rsid w:val="00644449"/>
    <w:rsid w:val="006446C5"/>
    <w:rsid w:val="00644842"/>
    <w:rsid w:val="00644857"/>
    <w:rsid w:val="00644902"/>
    <w:rsid w:val="0064490E"/>
    <w:rsid w:val="00644B78"/>
    <w:rsid w:val="00644C43"/>
    <w:rsid w:val="00644C4B"/>
    <w:rsid w:val="00644D44"/>
    <w:rsid w:val="00644D4C"/>
    <w:rsid w:val="0064537D"/>
    <w:rsid w:val="006453D3"/>
    <w:rsid w:val="00645453"/>
    <w:rsid w:val="006455D0"/>
    <w:rsid w:val="006455EE"/>
    <w:rsid w:val="006455EF"/>
    <w:rsid w:val="006456F0"/>
    <w:rsid w:val="006458C3"/>
    <w:rsid w:val="00645A09"/>
    <w:rsid w:val="00645BAC"/>
    <w:rsid w:val="00645C75"/>
    <w:rsid w:val="00645C80"/>
    <w:rsid w:val="00645DFB"/>
    <w:rsid w:val="00645EDB"/>
    <w:rsid w:val="00645FAA"/>
    <w:rsid w:val="00646583"/>
    <w:rsid w:val="00646817"/>
    <w:rsid w:val="006469B6"/>
    <w:rsid w:val="00646A7B"/>
    <w:rsid w:val="00646C79"/>
    <w:rsid w:val="00646D21"/>
    <w:rsid w:val="00646D37"/>
    <w:rsid w:val="00646D47"/>
    <w:rsid w:val="00646D51"/>
    <w:rsid w:val="00646F80"/>
    <w:rsid w:val="00646F93"/>
    <w:rsid w:val="006470ED"/>
    <w:rsid w:val="0064741B"/>
    <w:rsid w:val="00647543"/>
    <w:rsid w:val="006477BC"/>
    <w:rsid w:val="006478A2"/>
    <w:rsid w:val="00647A9E"/>
    <w:rsid w:val="00647D56"/>
    <w:rsid w:val="00647E7C"/>
    <w:rsid w:val="00647EB5"/>
    <w:rsid w:val="00647EFA"/>
    <w:rsid w:val="006501C4"/>
    <w:rsid w:val="006502F7"/>
    <w:rsid w:val="00650389"/>
    <w:rsid w:val="006503FB"/>
    <w:rsid w:val="00650A23"/>
    <w:rsid w:val="00650BA8"/>
    <w:rsid w:val="00650D81"/>
    <w:rsid w:val="00650E9E"/>
    <w:rsid w:val="00651094"/>
    <w:rsid w:val="00651145"/>
    <w:rsid w:val="00651204"/>
    <w:rsid w:val="00651288"/>
    <w:rsid w:val="006513AB"/>
    <w:rsid w:val="006515E0"/>
    <w:rsid w:val="006516E0"/>
    <w:rsid w:val="006517CD"/>
    <w:rsid w:val="00651812"/>
    <w:rsid w:val="006518C2"/>
    <w:rsid w:val="006519A2"/>
    <w:rsid w:val="00651B6F"/>
    <w:rsid w:val="00651BE5"/>
    <w:rsid w:val="00651C4A"/>
    <w:rsid w:val="00651C58"/>
    <w:rsid w:val="00651D2F"/>
    <w:rsid w:val="00651D73"/>
    <w:rsid w:val="00651D8A"/>
    <w:rsid w:val="00651EA3"/>
    <w:rsid w:val="00651EAE"/>
    <w:rsid w:val="00651F44"/>
    <w:rsid w:val="00651F7F"/>
    <w:rsid w:val="00652064"/>
    <w:rsid w:val="0065223B"/>
    <w:rsid w:val="0065257C"/>
    <w:rsid w:val="00652663"/>
    <w:rsid w:val="0065275C"/>
    <w:rsid w:val="00652A41"/>
    <w:rsid w:val="00652A46"/>
    <w:rsid w:val="00652BAB"/>
    <w:rsid w:val="00652BD2"/>
    <w:rsid w:val="00652C1E"/>
    <w:rsid w:val="00652D0A"/>
    <w:rsid w:val="00652FAD"/>
    <w:rsid w:val="006530DD"/>
    <w:rsid w:val="00653159"/>
    <w:rsid w:val="006533E3"/>
    <w:rsid w:val="0065357B"/>
    <w:rsid w:val="0065363F"/>
    <w:rsid w:val="006536C9"/>
    <w:rsid w:val="0065376E"/>
    <w:rsid w:val="0065394F"/>
    <w:rsid w:val="00653ADB"/>
    <w:rsid w:val="00653B82"/>
    <w:rsid w:val="00653BFC"/>
    <w:rsid w:val="00653C0B"/>
    <w:rsid w:val="00653D75"/>
    <w:rsid w:val="00653FFD"/>
    <w:rsid w:val="00654027"/>
    <w:rsid w:val="006541BA"/>
    <w:rsid w:val="00654355"/>
    <w:rsid w:val="00654405"/>
    <w:rsid w:val="0065449E"/>
    <w:rsid w:val="006544B6"/>
    <w:rsid w:val="0065451B"/>
    <w:rsid w:val="006546F9"/>
    <w:rsid w:val="00654BA1"/>
    <w:rsid w:val="00654E46"/>
    <w:rsid w:val="00654FA8"/>
    <w:rsid w:val="00655233"/>
    <w:rsid w:val="00655347"/>
    <w:rsid w:val="00655425"/>
    <w:rsid w:val="0065544F"/>
    <w:rsid w:val="00655598"/>
    <w:rsid w:val="00655BD5"/>
    <w:rsid w:val="00655CB8"/>
    <w:rsid w:val="00655D05"/>
    <w:rsid w:val="00655D5A"/>
    <w:rsid w:val="00655E27"/>
    <w:rsid w:val="0065603C"/>
    <w:rsid w:val="00656059"/>
    <w:rsid w:val="006562DA"/>
    <w:rsid w:val="0065639A"/>
    <w:rsid w:val="006563D6"/>
    <w:rsid w:val="00656A59"/>
    <w:rsid w:val="00656ABE"/>
    <w:rsid w:val="00656AF6"/>
    <w:rsid w:val="00656D29"/>
    <w:rsid w:val="00656D44"/>
    <w:rsid w:val="00656DF4"/>
    <w:rsid w:val="00656F99"/>
    <w:rsid w:val="00657126"/>
    <w:rsid w:val="00657423"/>
    <w:rsid w:val="0065747E"/>
    <w:rsid w:val="0065748A"/>
    <w:rsid w:val="00657570"/>
    <w:rsid w:val="006575B7"/>
    <w:rsid w:val="006575F6"/>
    <w:rsid w:val="00657610"/>
    <w:rsid w:val="00657863"/>
    <w:rsid w:val="0065786F"/>
    <w:rsid w:val="00657941"/>
    <w:rsid w:val="00657D03"/>
    <w:rsid w:val="00657DFF"/>
    <w:rsid w:val="00657EBC"/>
    <w:rsid w:val="006601FC"/>
    <w:rsid w:val="00660203"/>
    <w:rsid w:val="00660339"/>
    <w:rsid w:val="00660359"/>
    <w:rsid w:val="006604C0"/>
    <w:rsid w:val="0066065E"/>
    <w:rsid w:val="0066087B"/>
    <w:rsid w:val="006608D0"/>
    <w:rsid w:val="00660B81"/>
    <w:rsid w:val="00660C9B"/>
    <w:rsid w:val="00660FB9"/>
    <w:rsid w:val="00661045"/>
    <w:rsid w:val="006614BB"/>
    <w:rsid w:val="00661570"/>
    <w:rsid w:val="00661995"/>
    <w:rsid w:val="00661AB1"/>
    <w:rsid w:val="00661B89"/>
    <w:rsid w:val="00661EC2"/>
    <w:rsid w:val="00662083"/>
    <w:rsid w:val="0066209E"/>
    <w:rsid w:val="0066217E"/>
    <w:rsid w:val="006621EA"/>
    <w:rsid w:val="006623AC"/>
    <w:rsid w:val="0066242A"/>
    <w:rsid w:val="0066247B"/>
    <w:rsid w:val="00662733"/>
    <w:rsid w:val="006627C9"/>
    <w:rsid w:val="00662866"/>
    <w:rsid w:val="006628C8"/>
    <w:rsid w:val="006628F7"/>
    <w:rsid w:val="00662957"/>
    <w:rsid w:val="006629DC"/>
    <w:rsid w:val="00662A9C"/>
    <w:rsid w:val="00662B48"/>
    <w:rsid w:val="00662DDF"/>
    <w:rsid w:val="00662F53"/>
    <w:rsid w:val="00662FEF"/>
    <w:rsid w:val="00662FF6"/>
    <w:rsid w:val="00663092"/>
    <w:rsid w:val="00663197"/>
    <w:rsid w:val="0066320D"/>
    <w:rsid w:val="0066325D"/>
    <w:rsid w:val="0066349B"/>
    <w:rsid w:val="00663501"/>
    <w:rsid w:val="0066373D"/>
    <w:rsid w:val="00663884"/>
    <w:rsid w:val="006639D8"/>
    <w:rsid w:val="00663B65"/>
    <w:rsid w:val="00663EF3"/>
    <w:rsid w:val="00663FA2"/>
    <w:rsid w:val="00663FAA"/>
    <w:rsid w:val="00664127"/>
    <w:rsid w:val="00664148"/>
    <w:rsid w:val="00664514"/>
    <w:rsid w:val="00664740"/>
    <w:rsid w:val="0066475A"/>
    <w:rsid w:val="00664A17"/>
    <w:rsid w:val="00664A62"/>
    <w:rsid w:val="00664AA6"/>
    <w:rsid w:val="00664AC2"/>
    <w:rsid w:val="00664C14"/>
    <w:rsid w:val="00664CAE"/>
    <w:rsid w:val="00664CFE"/>
    <w:rsid w:val="00664E17"/>
    <w:rsid w:val="00664E1F"/>
    <w:rsid w:val="00664FA4"/>
    <w:rsid w:val="0066502D"/>
    <w:rsid w:val="00665127"/>
    <w:rsid w:val="006651CB"/>
    <w:rsid w:val="0066521C"/>
    <w:rsid w:val="006652C0"/>
    <w:rsid w:val="0066530E"/>
    <w:rsid w:val="006654EE"/>
    <w:rsid w:val="00665519"/>
    <w:rsid w:val="006655F2"/>
    <w:rsid w:val="006656E1"/>
    <w:rsid w:val="00665979"/>
    <w:rsid w:val="00665A3A"/>
    <w:rsid w:val="00665BE8"/>
    <w:rsid w:val="00665C49"/>
    <w:rsid w:val="00665D50"/>
    <w:rsid w:val="00665EFA"/>
    <w:rsid w:val="006661E8"/>
    <w:rsid w:val="00666303"/>
    <w:rsid w:val="0066652D"/>
    <w:rsid w:val="00666688"/>
    <w:rsid w:val="0066668B"/>
    <w:rsid w:val="0066682F"/>
    <w:rsid w:val="0066683F"/>
    <w:rsid w:val="00666849"/>
    <w:rsid w:val="00666AE2"/>
    <w:rsid w:val="00666DC7"/>
    <w:rsid w:val="00666DD4"/>
    <w:rsid w:val="00666DF6"/>
    <w:rsid w:val="00667146"/>
    <w:rsid w:val="006671B0"/>
    <w:rsid w:val="00667235"/>
    <w:rsid w:val="0066727D"/>
    <w:rsid w:val="006672CB"/>
    <w:rsid w:val="00667340"/>
    <w:rsid w:val="006674B6"/>
    <w:rsid w:val="006675B1"/>
    <w:rsid w:val="006675C4"/>
    <w:rsid w:val="00667668"/>
    <w:rsid w:val="006678D0"/>
    <w:rsid w:val="00667AEC"/>
    <w:rsid w:val="00667BC1"/>
    <w:rsid w:val="00667C0F"/>
    <w:rsid w:val="00667FA3"/>
    <w:rsid w:val="00670364"/>
    <w:rsid w:val="006703BB"/>
    <w:rsid w:val="0067049F"/>
    <w:rsid w:val="0067050F"/>
    <w:rsid w:val="006705D4"/>
    <w:rsid w:val="006707B8"/>
    <w:rsid w:val="006708BD"/>
    <w:rsid w:val="00670AF9"/>
    <w:rsid w:val="00670D75"/>
    <w:rsid w:val="00670E5B"/>
    <w:rsid w:val="00670EF5"/>
    <w:rsid w:val="00670F05"/>
    <w:rsid w:val="00670FF9"/>
    <w:rsid w:val="00671044"/>
    <w:rsid w:val="006710A9"/>
    <w:rsid w:val="006711B0"/>
    <w:rsid w:val="006713FD"/>
    <w:rsid w:val="006715EB"/>
    <w:rsid w:val="00671AFD"/>
    <w:rsid w:val="00671B5E"/>
    <w:rsid w:val="00671BC1"/>
    <w:rsid w:val="00672072"/>
    <w:rsid w:val="006721AA"/>
    <w:rsid w:val="00672220"/>
    <w:rsid w:val="006722FD"/>
    <w:rsid w:val="006723F5"/>
    <w:rsid w:val="00672411"/>
    <w:rsid w:val="006725F7"/>
    <w:rsid w:val="00672626"/>
    <w:rsid w:val="00672A4C"/>
    <w:rsid w:val="00672E44"/>
    <w:rsid w:val="00672F0D"/>
    <w:rsid w:val="006730EE"/>
    <w:rsid w:val="0067320A"/>
    <w:rsid w:val="006734F9"/>
    <w:rsid w:val="0067382E"/>
    <w:rsid w:val="006738EF"/>
    <w:rsid w:val="00673980"/>
    <w:rsid w:val="00673AD5"/>
    <w:rsid w:val="00673AD8"/>
    <w:rsid w:val="00673B31"/>
    <w:rsid w:val="00673C3E"/>
    <w:rsid w:val="00673CB8"/>
    <w:rsid w:val="00673CBD"/>
    <w:rsid w:val="00673CCD"/>
    <w:rsid w:val="00673E25"/>
    <w:rsid w:val="00673EDC"/>
    <w:rsid w:val="00673FA3"/>
    <w:rsid w:val="00673FED"/>
    <w:rsid w:val="00674052"/>
    <w:rsid w:val="00674158"/>
    <w:rsid w:val="00674243"/>
    <w:rsid w:val="00674563"/>
    <w:rsid w:val="00674842"/>
    <w:rsid w:val="006748DE"/>
    <w:rsid w:val="00674A52"/>
    <w:rsid w:val="00674DCD"/>
    <w:rsid w:val="00674E3A"/>
    <w:rsid w:val="00674EFC"/>
    <w:rsid w:val="00674F18"/>
    <w:rsid w:val="00674FF2"/>
    <w:rsid w:val="0067571D"/>
    <w:rsid w:val="00675A12"/>
    <w:rsid w:val="00675ABB"/>
    <w:rsid w:val="00675BF8"/>
    <w:rsid w:val="00675D61"/>
    <w:rsid w:val="00675F24"/>
    <w:rsid w:val="00675F8C"/>
    <w:rsid w:val="006765B9"/>
    <w:rsid w:val="0067674D"/>
    <w:rsid w:val="00676799"/>
    <w:rsid w:val="006768FC"/>
    <w:rsid w:val="00676982"/>
    <w:rsid w:val="006769D2"/>
    <w:rsid w:val="00676AFB"/>
    <w:rsid w:val="00676BF7"/>
    <w:rsid w:val="00676C32"/>
    <w:rsid w:val="00676E44"/>
    <w:rsid w:val="00677104"/>
    <w:rsid w:val="00677144"/>
    <w:rsid w:val="006772EF"/>
    <w:rsid w:val="0067745A"/>
    <w:rsid w:val="006776D6"/>
    <w:rsid w:val="006778F8"/>
    <w:rsid w:val="006779AE"/>
    <w:rsid w:val="006779B2"/>
    <w:rsid w:val="00677C37"/>
    <w:rsid w:val="00677E67"/>
    <w:rsid w:val="00677EEE"/>
    <w:rsid w:val="00677F30"/>
    <w:rsid w:val="00677F41"/>
    <w:rsid w:val="00677F53"/>
    <w:rsid w:val="006800AE"/>
    <w:rsid w:val="006801A1"/>
    <w:rsid w:val="006801D2"/>
    <w:rsid w:val="00680496"/>
    <w:rsid w:val="00680607"/>
    <w:rsid w:val="0068073F"/>
    <w:rsid w:val="00680771"/>
    <w:rsid w:val="006809E8"/>
    <w:rsid w:val="00680C43"/>
    <w:rsid w:val="00680CF5"/>
    <w:rsid w:val="00680DDA"/>
    <w:rsid w:val="00680E16"/>
    <w:rsid w:val="00680F77"/>
    <w:rsid w:val="00680F86"/>
    <w:rsid w:val="00680FE0"/>
    <w:rsid w:val="006810D3"/>
    <w:rsid w:val="0068118E"/>
    <w:rsid w:val="006811B1"/>
    <w:rsid w:val="006812FC"/>
    <w:rsid w:val="00681361"/>
    <w:rsid w:val="00681425"/>
    <w:rsid w:val="00681630"/>
    <w:rsid w:val="00681713"/>
    <w:rsid w:val="006817A7"/>
    <w:rsid w:val="00681A03"/>
    <w:rsid w:val="00681AF9"/>
    <w:rsid w:val="00681C1C"/>
    <w:rsid w:val="00681D14"/>
    <w:rsid w:val="00681DAB"/>
    <w:rsid w:val="00681F83"/>
    <w:rsid w:val="00681F88"/>
    <w:rsid w:val="006821B0"/>
    <w:rsid w:val="006822B4"/>
    <w:rsid w:val="00682519"/>
    <w:rsid w:val="006825CA"/>
    <w:rsid w:val="006825CF"/>
    <w:rsid w:val="00682860"/>
    <w:rsid w:val="00682C33"/>
    <w:rsid w:val="00682C44"/>
    <w:rsid w:val="00682D98"/>
    <w:rsid w:val="00682E0C"/>
    <w:rsid w:val="00682F50"/>
    <w:rsid w:val="00682FAC"/>
    <w:rsid w:val="006830A9"/>
    <w:rsid w:val="006834FF"/>
    <w:rsid w:val="00683550"/>
    <w:rsid w:val="006835BD"/>
    <w:rsid w:val="006835FB"/>
    <w:rsid w:val="00683628"/>
    <w:rsid w:val="00683631"/>
    <w:rsid w:val="00683692"/>
    <w:rsid w:val="00683914"/>
    <w:rsid w:val="00683B78"/>
    <w:rsid w:val="00683C13"/>
    <w:rsid w:val="00683C8E"/>
    <w:rsid w:val="00683CBE"/>
    <w:rsid w:val="00683CDE"/>
    <w:rsid w:val="00683F94"/>
    <w:rsid w:val="00684251"/>
    <w:rsid w:val="00684503"/>
    <w:rsid w:val="00684527"/>
    <w:rsid w:val="0068482C"/>
    <w:rsid w:val="006848CA"/>
    <w:rsid w:val="00684B32"/>
    <w:rsid w:val="00684B56"/>
    <w:rsid w:val="00684E2D"/>
    <w:rsid w:val="00684E66"/>
    <w:rsid w:val="00684E6E"/>
    <w:rsid w:val="00684FB9"/>
    <w:rsid w:val="00685111"/>
    <w:rsid w:val="0068529E"/>
    <w:rsid w:val="006852A3"/>
    <w:rsid w:val="006852F8"/>
    <w:rsid w:val="006853F9"/>
    <w:rsid w:val="00685405"/>
    <w:rsid w:val="0068555A"/>
    <w:rsid w:val="0068557D"/>
    <w:rsid w:val="0068558C"/>
    <w:rsid w:val="006855E2"/>
    <w:rsid w:val="006856FD"/>
    <w:rsid w:val="0068571E"/>
    <w:rsid w:val="00685888"/>
    <w:rsid w:val="00685977"/>
    <w:rsid w:val="00685981"/>
    <w:rsid w:val="00685A44"/>
    <w:rsid w:val="00685B95"/>
    <w:rsid w:val="00685CEB"/>
    <w:rsid w:val="00685EC2"/>
    <w:rsid w:val="0068604B"/>
    <w:rsid w:val="00686063"/>
    <w:rsid w:val="0068623B"/>
    <w:rsid w:val="00686588"/>
    <w:rsid w:val="0068662C"/>
    <w:rsid w:val="00686693"/>
    <w:rsid w:val="006869F6"/>
    <w:rsid w:val="00686B2F"/>
    <w:rsid w:val="00686C2A"/>
    <w:rsid w:val="00686DE7"/>
    <w:rsid w:val="00686E4A"/>
    <w:rsid w:val="0068706D"/>
    <w:rsid w:val="0068767B"/>
    <w:rsid w:val="00687793"/>
    <w:rsid w:val="006877FE"/>
    <w:rsid w:val="006878A9"/>
    <w:rsid w:val="0068793C"/>
    <w:rsid w:val="006879E4"/>
    <w:rsid w:val="006879EA"/>
    <w:rsid w:val="00687A66"/>
    <w:rsid w:val="00687B34"/>
    <w:rsid w:val="00687B63"/>
    <w:rsid w:val="00687D68"/>
    <w:rsid w:val="00687EA4"/>
    <w:rsid w:val="00687F3E"/>
    <w:rsid w:val="00690126"/>
    <w:rsid w:val="00690284"/>
    <w:rsid w:val="0069031D"/>
    <w:rsid w:val="00690442"/>
    <w:rsid w:val="006904DA"/>
    <w:rsid w:val="0069058D"/>
    <w:rsid w:val="006905E0"/>
    <w:rsid w:val="0069075F"/>
    <w:rsid w:val="00690BF7"/>
    <w:rsid w:val="00690D21"/>
    <w:rsid w:val="00691062"/>
    <w:rsid w:val="006912C4"/>
    <w:rsid w:val="0069155F"/>
    <w:rsid w:val="00691569"/>
    <w:rsid w:val="00691638"/>
    <w:rsid w:val="00691BC2"/>
    <w:rsid w:val="00691C85"/>
    <w:rsid w:val="00691CB9"/>
    <w:rsid w:val="00691DDC"/>
    <w:rsid w:val="00691F67"/>
    <w:rsid w:val="00692121"/>
    <w:rsid w:val="00692184"/>
    <w:rsid w:val="006922FB"/>
    <w:rsid w:val="006923A6"/>
    <w:rsid w:val="00692420"/>
    <w:rsid w:val="00692428"/>
    <w:rsid w:val="0069265F"/>
    <w:rsid w:val="006927AE"/>
    <w:rsid w:val="006927EB"/>
    <w:rsid w:val="00692824"/>
    <w:rsid w:val="0069291B"/>
    <w:rsid w:val="00692A54"/>
    <w:rsid w:val="00692A64"/>
    <w:rsid w:val="00692AAF"/>
    <w:rsid w:val="00692AD7"/>
    <w:rsid w:val="00692ADF"/>
    <w:rsid w:val="00692B16"/>
    <w:rsid w:val="00692D50"/>
    <w:rsid w:val="00692D5C"/>
    <w:rsid w:val="00692EA5"/>
    <w:rsid w:val="00692ED6"/>
    <w:rsid w:val="00692FA0"/>
    <w:rsid w:val="006931C5"/>
    <w:rsid w:val="0069326E"/>
    <w:rsid w:val="006933BE"/>
    <w:rsid w:val="00693547"/>
    <w:rsid w:val="00693640"/>
    <w:rsid w:val="006936DF"/>
    <w:rsid w:val="006937FE"/>
    <w:rsid w:val="00693889"/>
    <w:rsid w:val="00693958"/>
    <w:rsid w:val="00693972"/>
    <w:rsid w:val="00693A4B"/>
    <w:rsid w:val="00693BA3"/>
    <w:rsid w:val="00693C81"/>
    <w:rsid w:val="00693CBF"/>
    <w:rsid w:val="00693D2A"/>
    <w:rsid w:val="00693F40"/>
    <w:rsid w:val="0069403E"/>
    <w:rsid w:val="0069405D"/>
    <w:rsid w:val="00694064"/>
    <w:rsid w:val="0069420B"/>
    <w:rsid w:val="0069476D"/>
    <w:rsid w:val="00694801"/>
    <w:rsid w:val="0069481B"/>
    <w:rsid w:val="006949EF"/>
    <w:rsid w:val="00694A0D"/>
    <w:rsid w:val="00694A7F"/>
    <w:rsid w:val="00694EC5"/>
    <w:rsid w:val="006950E0"/>
    <w:rsid w:val="006952A9"/>
    <w:rsid w:val="0069544F"/>
    <w:rsid w:val="00695588"/>
    <w:rsid w:val="00695712"/>
    <w:rsid w:val="006957D4"/>
    <w:rsid w:val="0069588D"/>
    <w:rsid w:val="00695988"/>
    <w:rsid w:val="00695A86"/>
    <w:rsid w:val="00695C44"/>
    <w:rsid w:val="00695C53"/>
    <w:rsid w:val="00695E7A"/>
    <w:rsid w:val="00695F78"/>
    <w:rsid w:val="006960A3"/>
    <w:rsid w:val="006961EA"/>
    <w:rsid w:val="0069624D"/>
    <w:rsid w:val="006962DA"/>
    <w:rsid w:val="0069631D"/>
    <w:rsid w:val="0069631E"/>
    <w:rsid w:val="006963CC"/>
    <w:rsid w:val="00696571"/>
    <w:rsid w:val="00696715"/>
    <w:rsid w:val="00696783"/>
    <w:rsid w:val="006968C0"/>
    <w:rsid w:val="00696A9D"/>
    <w:rsid w:val="00696B4E"/>
    <w:rsid w:val="00696CFE"/>
    <w:rsid w:val="006971C7"/>
    <w:rsid w:val="0069739A"/>
    <w:rsid w:val="00697563"/>
    <w:rsid w:val="0069762D"/>
    <w:rsid w:val="00697719"/>
    <w:rsid w:val="00697735"/>
    <w:rsid w:val="00697835"/>
    <w:rsid w:val="00697864"/>
    <w:rsid w:val="00697964"/>
    <w:rsid w:val="00697AD2"/>
    <w:rsid w:val="00697B58"/>
    <w:rsid w:val="00697B5E"/>
    <w:rsid w:val="00697CBF"/>
    <w:rsid w:val="00697DEA"/>
    <w:rsid w:val="00697DF9"/>
    <w:rsid w:val="00697E96"/>
    <w:rsid w:val="006A028B"/>
    <w:rsid w:val="006A044B"/>
    <w:rsid w:val="006A04D6"/>
    <w:rsid w:val="006A05C7"/>
    <w:rsid w:val="006A094E"/>
    <w:rsid w:val="006A09EC"/>
    <w:rsid w:val="006A0CD5"/>
    <w:rsid w:val="006A0D3C"/>
    <w:rsid w:val="006A0DEA"/>
    <w:rsid w:val="006A0EDD"/>
    <w:rsid w:val="006A0FB5"/>
    <w:rsid w:val="006A10E7"/>
    <w:rsid w:val="006A1105"/>
    <w:rsid w:val="006A11AD"/>
    <w:rsid w:val="006A15ED"/>
    <w:rsid w:val="006A1688"/>
    <w:rsid w:val="006A16BF"/>
    <w:rsid w:val="006A16C8"/>
    <w:rsid w:val="006A1826"/>
    <w:rsid w:val="006A193A"/>
    <w:rsid w:val="006A19B2"/>
    <w:rsid w:val="006A1A35"/>
    <w:rsid w:val="006A1C53"/>
    <w:rsid w:val="006A1CA6"/>
    <w:rsid w:val="006A1CAE"/>
    <w:rsid w:val="006A1FE5"/>
    <w:rsid w:val="006A2031"/>
    <w:rsid w:val="006A206E"/>
    <w:rsid w:val="006A236D"/>
    <w:rsid w:val="006A2373"/>
    <w:rsid w:val="006A2396"/>
    <w:rsid w:val="006A249B"/>
    <w:rsid w:val="006A24D4"/>
    <w:rsid w:val="006A24E9"/>
    <w:rsid w:val="006A2516"/>
    <w:rsid w:val="006A25D6"/>
    <w:rsid w:val="006A2AC2"/>
    <w:rsid w:val="006A2CE3"/>
    <w:rsid w:val="006A2E44"/>
    <w:rsid w:val="006A2FBE"/>
    <w:rsid w:val="006A3204"/>
    <w:rsid w:val="006A337D"/>
    <w:rsid w:val="006A33D4"/>
    <w:rsid w:val="006A352E"/>
    <w:rsid w:val="006A373A"/>
    <w:rsid w:val="006A3769"/>
    <w:rsid w:val="006A382D"/>
    <w:rsid w:val="006A394C"/>
    <w:rsid w:val="006A3E5C"/>
    <w:rsid w:val="006A3EDD"/>
    <w:rsid w:val="006A3FE5"/>
    <w:rsid w:val="006A40B8"/>
    <w:rsid w:val="006A429A"/>
    <w:rsid w:val="006A429C"/>
    <w:rsid w:val="006A42DF"/>
    <w:rsid w:val="006A430C"/>
    <w:rsid w:val="006A44B0"/>
    <w:rsid w:val="006A44F5"/>
    <w:rsid w:val="006A4753"/>
    <w:rsid w:val="006A4781"/>
    <w:rsid w:val="006A4906"/>
    <w:rsid w:val="006A4B2F"/>
    <w:rsid w:val="006A4B31"/>
    <w:rsid w:val="006A4B99"/>
    <w:rsid w:val="006A5131"/>
    <w:rsid w:val="006A5236"/>
    <w:rsid w:val="006A52F7"/>
    <w:rsid w:val="006A5365"/>
    <w:rsid w:val="006A53E9"/>
    <w:rsid w:val="006A5419"/>
    <w:rsid w:val="006A559E"/>
    <w:rsid w:val="006A56F7"/>
    <w:rsid w:val="006A5756"/>
    <w:rsid w:val="006A57B9"/>
    <w:rsid w:val="006A58CB"/>
    <w:rsid w:val="006A5913"/>
    <w:rsid w:val="006A59FB"/>
    <w:rsid w:val="006A5B2D"/>
    <w:rsid w:val="006A5B64"/>
    <w:rsid w:val="006A5BF4"/>
    <w:rsid w:val="006A5C94"/>
    <w:rsid w:val="006A5EF9"/>
    <w:rsid w:val="006A601D"/>
    <w:rsid w:val="006A61D2"/>
    <w:rsid w:val="006A61F3"/>
    <w:rsid w:val="006A6346"/>
    <w:rsid w:val="006A640A"/>
    <w:rsid w:val="006A660D"/>
    <w:rsid w:val="006A6875"/>
    <w:rsid w:val="006A6A3E"/>
    <w:rsid w:val="006A6A95"/>
    <w:rsid w:val="006A6B0F"/>
    <w:rsid w:val="006A6B5B"/>
    <w:rsid w:val="006A6C0A"/>
    <w:rsid w:val="006A6C64"/>
    <w:rsid w:val="006A6D94"/>
    <w:rsid w:val="006A6E81"/>
    <w:rsid w:val="006A6F48"/>
    <w:rsid w:val="006A6FB4"/>
    <w:rsid w:val="006A70AE"/>
    <w:rsid w:val="006A73D3"/>
    <w:rsid w:val="006A7643"/>
    <w:rsid w:val="006A7682"/>
    <w:rsid w:val="006A7A4D"/>
    <w:rsid w:val="006A7C53"/>
    <w:rsid w:val="006A7D03"/>
    <w:rsid w:val="006A7ED5"/>
    <w:rsid w:val="006B0099"/>
    <w:rsid w:val="006B00B7"/>
    <w:rsid w:val="006B0236"/>
    <w:rsid w:val="006B03DE"/>
    <w:rsid w:val="006B0548"/>
    <w:rsid w:val="006B0578"/>
    <w:rsid w:val="006B062A"/>
    <w:rsid w:val="006B073E"/>
    <w:rsid w:val="006B0816"/>
    <w:rsid w:val="006B0873"/>
    <w:rsid w:val="006B08ED"/>
    <w:rsid w:val="006B0ABC"/>
    <w:rsid w:val="006B0B39"/>
    <w:rsid w:val="006B0CE7"/>
    <w:rsid w:val="006B0E47"/>
    <w:rsid w:val="006B0EA7"/>
    <w:rsid w:val="006B0F10"/>
    <w:rsid w:val="006B10C1"/>
    <w:rsid w:val="006B10D8"/>
    <w:rsid w:val="006B1325"/>
    <w:rsid w:val="006B14A3"/>
    <w:rsid w:val="006B15C7"/>
    <w:rsid w:val="006B19A1"/>
    <w:rsid w:val="006B1BE7"/>
    <w:rsid w:val="006B1C54"/>
    <w:rsid w:val="006B1C84"/>
    <w:rsid w:val="006B1CB5"/>
    <w:rsid w:val="006B1E19"/>
    <w:rsid w:val="006B1EED"/>
    <w:rsid w:val="006B1F68"/>
    <w:rsid w:val="006B1F74"/>
    <w:rsid w:val="006B1FBA"/>
    <w:rsid w:val="006B2057"/>
    <w:rsid w:val="006B2213"/>
    <w:rsid w:val="006B226C"/>
    <w:rsid w:val="006B2387"/>
    <w:rsid w:val="006B2584"/>
    <w:rsid w:val="006B25C4"/>
    <w:rsid w:val="006B26E1"/>
    <w:rsid w:val="006B2708"/>
    <w:rsid w:val="006B2781"/>
    <w:rsid w:val="006B27EA"/>
    <w:rsid w:val="006B29C6"/>
    <w:rsid w:val="006B2C58"/>
    <w:rsid w:val="006B2CF8"/>
    <w:rsid w:val="006B2E8B"/>
    <w:rsid w:val="006B302A"/>
    <w:rsid w:val="006B33D2"/>
    <w:rsid w:val="006B35DA"/>
    <w:rsid w:val="006B35DF"/>
    <w:rsid w:val="006B3731"/>
    <w:rsid w:val="006B3736"/>
    <w:rsid w:val="006B379A"/>
    <w:rsid w:val="006B3CAE"/>
    <w:rsid w:val="006B3D26"/>
    <w:rsid w:val="006B3D7A"/>
    <w:rsid w:val="006B3D93"/>
    <w:rsid w:val="006B4017"/>
    <w:rsid w:val="006B43C9"/>
    <w:rsid w:val="006B4425"/>
    <w:rsid w:val="006B4505"/>
    <w:rsid w:val="006B46F1"/>
    <w:rsid w:val="006B47AB"/>
    <w:rsid w:val="006B4926"/>
    <w:rsid w:val="006B4AA8"/>
    <w:rsid w:val="006B4B40"/>
    <w:rsid w:val="006B4C1E"/>
    <w:rsid w:val="006B4E9A"/>
    <w:rsid w:val="006B518A"/>
    <w:rsid w:val="006B5299"/>
    <w:rsid w:val="006B52C6"/>
    <w:rsid w:val="006B52C8"/>
    <w:rsid w:val="006B52E1"/>
    <w:rsid w:val="006B5428"/>
    <w:rsid w:val="006B54E8"/>
    <w:rsid w:val="006B579E"/>
    <w:rsid w:val="006B5845"/>
    <w:rsid w:val="006B5BB0"/>
    <w:rsid w:val="006B5C31"/>
    <w:rsid w:val="006B5C8D"/>
    <w:rsid w:val="006B5E3F"/>
    <w:rsid w:val="006B5E92"/>
    <w:rsid w:val="006B5F2E"/>
    <w:rsid w:val="006B612D"/>
    <w:rsid w:val="006B6131"/>
    <w:rsid w:val="006B6211"/>
    <w:rsid w:val="006B6253"/>
    <w:rsid w:val="006B63E3"/>
    <w:rsid w:val="006B646C"/>
    <w:rsid w:val="006B65D9"/>
    <w:rsid w:val="006B66EC"/>
    <w:rsid w:val="006B68BF"/>
    <w:rsid w:val="006B68F7"/>
    <w:rsid w:val="006B696B"/>
    <w:rsid w:val="006B6BD4"/>
    <w:rsid w:val="006B6CB7"/>
    <w:rsid w:val="006B6CF3"/>
    <w:rsid w:val="006B7197"/>
    <w:rsid w:val="006B71E5"/>
    <w:rsid w:val="006B71F0"/>
    <w:rsid w:val="006B724B"/>
    <w:rsid w:val="006B769B"/>
    <w:rsid w:val="006B77C0"/>
    <w:rsid w:val="006B7899"/>
    <w:rsid w:val="006B79BA"/>
    <w:rsid w:val="006B7A15"/>
    <w:rsid w:val="006B7CB4"/>
    <w:rsid w:val="006B7D67"/>
    <w:rsid w:val="006B7F41"/>
    <w:rsid w:val="006B7F9D"/>
    <w:rsid w:val="006C007D"/>
    <w:rsid w:val="006C01C7"/>
    <w:rsid w:val="006C030D"/>
    <w:rsid w:val="006C041A"/>
    <w:rsid w:val="006C0510"/>
    <w:rsid w:val="006C0710"/>
    <w:rsid w:val="006C08BB"/>
    <w:rsid w:val="006C09A8"/>
    <w:rsid w:val="006C09FE"/>
    <w:rsid w:val="006C0B4D"/>
    <w:rsid w:val="006C0C86"/>
    <w:rsid w:val="006C1017"/>
    <w:rsid w:val="006C102C"/>
    <w:rsid w:val="006C11DC"/>
    <w:rsid w:val="006C1257"/>
    <w:rsid w:val="006C1499"/>
    <w:rsid w:val="006C156F"/>
    <w:rsid w:val="006C157F"/>
    <w:rsid w:val="006C178E"/>
    <w:rsid w:val="006C179A"/>
    <w:rsid w:val="006C19D0"/>
    <w:rsid w:val="006C1A48"/>
    <w:rsid w:val="006C1A77"/>
    <w:rsid w:val="006C1E9A"/>
    <w:rsid w:val="006C20CD"/>
    <w:rsid w:val="006C2107"/>
    <w:rsid w:val="006C2224"/>
    <w:rsid w:val="006C224D"/>
    <w:rsid w:val="006C226A"/>
    <w:rsid w:val="006C23F4"/>
    <w:rsid w:val="006C26B3"/>
    <w:rsid w:val="006C273C"/>
    <w:rsid w:val="006C2C5A"/>
    <w:rsid w:val="006C2EBA"/>
    <w:rsid w:val="006C2FC4"/>
    <w:rsid w:val="006C30AE"/>
    <w:rsid w:val="006C3131"/>
    <w:rsid w:val="006C33DF"/>
    <w:rsid w:val="006C36AD"/>
    <w:rsid w:val="006C36F6"/>
    <w:rsid w:val="006C3788"/>
    <w:rsid w:val="006C396F"/>
    <w:rsid w:val="006C3AB1"/>
    <w:rsid w:val="006C3C6F"/>
    <w:rsid w:val="006C3D6E"/>
    <w:rsid w:val="006C3E02"/>
    <w:rsid w:val="006C3F84"/>
    <w:rsid w:val="006C4008"/>
    <w:rsid w:val="006C42A9"/>
    <w:rsid w:val="006C4345"/>
    <w:rsid w:val="006C4907"/>
    <w:rsid w:val="006C4908"/>
    <w:rsid w:val="006C49CA"/>
    <w:rsid w:val="006C4AA0"/>
    <w:rsid w:val="006C4E01"/>
    <w:rsid w:val="006C4E41"/>
    <w:rsid w:val="006C4FC3"/>
    <w:rsid w:val="006C5078"/>
    <w:rsid w:val="006C50A9"/>
    <w:rsid w:val="006C50AB"/>
    <w:rsid w:val="006C50C0"/>
    <w:rsid w:val="006C50E4"/>
    <w:rsid w:val="006C5230"/>
    <w:rsid w:val="006C540D"/>
    <w:rsid w:val="006C5427"/>
    <w:rsid w:val="006C552F"/>
    <w:rsid w:val="006C5758"/>
    <w:rsid w:val="006C5762"/>
    <w:rsid w:val="006C5881"/>
    <w:rsid w:val="006C588B"/>
    <w:rsid w:val="006C5928"/>
    <w:rsid w:val="006C5ADA"/>
    <w:rsid w:val="006C5B4B"/>
    <w:rsid w:val="006C5BE4"/>
    <w:rsid w:val="006C5C8B"/>
    <w:rsid w:val="006C5DC8"/>
    <w:rsid w:val="006C5F02"/>
    <w:rsid w:val="006C611D"/>
    <w:rsid w:val="006C62DB"/>
    <w:rsid w:val="006C644B"/>
    <w:rsid w:val="006C6466"/>
    <w:rsid w:val="006C660B"/>
    <w:rsid w:val="006C67C5"/>
    <w:rsid w:val="006C690E"/>
    <w:rsid w:val="006C6915"/>
    <w:rsid w:val="006C69EA"/>
    <w:rsid w:val="006C6A90"/>
    <w:rsid w:val="006C6B3C"/>
    <w:rsid w:val="006C6BFC"/>
    <w:rsid w:val="006C6D67"/>
    <w:rsid w:val="006C6EA3"/>
    <w:rsid w:val="006C70C2"/>
    <w:rsid w:val="006C7163"/>
    <w:rsid w:val="006C719B"/>
    <w:rsid w:val="006C7304"/>
    <w:rsid w:val="006C75BC"/>
    <w:rsid w:val="006C779E"/>
    <w:rsid w:val="006C77E8"/>
    <w:rsid w:val="006C789F"/>
    <w:rsid w:val="006C79E5"/>
    <w:rsid w:val="006C7DBD"/>
    <w:rsid w:val="006C7DF6"/>
    <w:rsid w:val="006C7E16"/>
    <w:rsid w:val="006C7E83"/>
    <w:rsid w:val="006C7EA1"/>
    <w:rsid w:val="006D0019"/>
    <w:rsid w:val="006D002C"/>
    <w:rsid w:val="006D006E"/>
    <w:rsid w:val="006D0318"/>
    <w:rsid w:val="006D05DE"/>
    <w:rsid w:val="006D05F7"/>
    <w:rsid w:val="006D06A0"/>
    <w:rsid w:val="006D06A9"/>
    <w:rsid w:val="006D072A"/>
    <w:rsid w:val="006D073C"/>
    <w:rsid w:val="006D0859"/>
    <w:rsid w:val="006D0867"/>
    <w:rsid w:val="006D086B"/>
    <w:rsid w:val="006D091B"/>
    <w:rsid w:val="006D09E5"/>
    <w:rsid w:val="006D0A25"/>
    <w:rsid w:val="006D0D40"/>
    <w:rsid w:val="006D0DDC"/>
    <w:rsid w:val="006D1038"/>
    <w:rsid w:val="006D10C0"/>
    <w:rsid w:val="006D11F5"/>
    <w:rsid w:val="006D1217"/>
    <w:rsid w:val="006D138F"/>
    <w:rsid w:val="006D13AF"/>
    <w:rsid w:val="006D1524"/>
    <w:rsid w:val="006D1539"/>
    <w:rsid w:val="006D1569"/>
    <w:rsid w:val="006D1654"/>
    <w:rsid w:val="006D1747"/>
    <w:rsid w:val="006D17AA"/>
    <w:rsid w:val="006D1A71"/>
    <w:rsid w:val="006D1AC7"/>
    <w:rsid w:val="006D1CA4"/>
    <w:rsid w:val="006D1D82"/>
    <w:rsid w:val="006D1DFD"/>
    <w:rsid w:val="006D1F27"/>
    <w:rsid w:val="006D1F53"/>
    <w:rsid w:val="006D2317"/>
    <w:rsid w:val="006D239E"/>
    <w:rsid w:val="006D2722"/>
    <w:rsid w:val="006D28D4"/>
    <w:rsid w:val="006D28F7"/>
    <w:rsid w:val="006D2A2B"/>
    <w:rsid w:val="006D2B8D"/>
    <w:rsid w:val="006D2DBD"/>
    <w:rsid w:val="006D2DDB"/>
    <w:rsid w:val="006D2FC6"/>
    <w:rsid w:val="006D3018"/>
    <w:rsid w:val="006D3239"/>
    <w:rsid w:val="006D324C"/>
    <w:rsid w:val="006D335E"/>
    <w:rsid w:val="006D359C"/>
    <w:rsid w:val="006D395C"/>
    <w:rsid w:val="006D3992"/>
    <w:rsid w:val="006D3B86"/>
    <w:rsid w:val="006D3D12"/>
    <w:rsid w:val="006D3D27"/>
    <w:rsid w:val="006D3D41"/>
    <w:rsid w:val="006D3F4B"/>
    <w:rsid w:val="006D3FA7"/>
    <w:rsid w:val="006D418F"/>
    <w:rsid w:val="006D419E"/>
    <w:rsid w:val="006D425D"/>
    <w:rsid w:val="006D4394"/>
    <w:rsid w:val="006D46EC"/>
    <w:rsid w:val="006D474A"/>
    <w:rsid w:val="006D478D"/>
    <w:rsid w:val="006D48C5"/>
    <w:rsid w:val="006D48E5"/>
    <w:rsid w:val="006D4BD9"/>
    <w:rsid w:val="006D4D74"/>
    <w:rsid w:val="006D4D82"/>
    <w:rsid w:val="006D4EE9"/>
    <w:rsid w:val="006D4FA8"/>
    <w:rsid w:val="006D503E"/>
    <w:rsid w:val="006D50E3"/>
    <w:rsid w:val="006D50EE"/>
    <w:rsid w:val="006D520D"/>
    <w:rsid w:val="006D5292"/>
    <w:rsid w:val="006D5372"/>
    <w:rsid w:val="006D5458"/>
    <w:rsid w:val="006D5717"/>
    <w:rsid w:val="006D57A5"/>
    <w:rsid w:val="006D5C5A"/>
    <w:rsid w:val="006D5EC1"/>
    <w:rsid w:val="006D6064"/>
    <w:rsid w:val="006D61E8"/>
    <w:rsid w:val="006D6336"/>
    <w:rsid w:val="006D661C"/>
    <w:rsid w:val="006D661D"/>
    <w:rsid w:val="006D67D2"/>
    <w:rsid w:val="006D6B32"/>
    <w:rsid w:val="006D6CCA"/>
    <w:rsid w:val="006D6DB9"/>
    <w:rsid w:val="006D6DC2"/>
    <w:rsid w:val="006D7033"/>
    <w:rsid w:val="006D7075"/>
    <w:rsid w:val="006D7200"/>
    <w:rsid w:val="006D73A6"/>
    <w:rsid w:val="006D74C2"/>
    <w:rsid w:val="006D7592"/>
    <w:rsid w:val="006D7715"/>
    <w:rsid w:val="006D787D"/>
    <w:rsid w:val="006D7918"/>
    <w:rsid w:val="006D7CF8"/>
    <w:rsid w:val="006E01F2"/>
    <w:rsid w:val="006E0445"/>
    <w:rsid w:val="006E069B"/>
    <w:rsid w:val="006E0710"/>
    <w:rsid w:val="006E07D9"/>
    <w:rsid w:val="006E0917"/>
    <w:rsid w:val="006E0AD1"/>
    <w:rsid w:val="006E0B03"/>
    <w:rsid w:val="006E0B3E"/>
    <w:rsid w:val="006E0CFB"/>
    <w:rsid w:val="006E0D51"/>
    <w:rsid w:val="006E0F2D"/>
    <w:rsid w:val="006E0F62"/>
    <w:rsid w:val="006E10DF"/>
    <w:rsid w:val="006E1366"/>
    <w:rsid w:val="006E14FA"/>
    <w:rsid w:val="006E18A0"/>
    <w:rsid w:val="006E1A5E"/>
    <w:rsid w:val="006E1AD8"/>
    <w:rsid w:val="006E1C59"/>
    <w:rsid w:val="006E1C9C"/>
    <w:rsid w:val="006E1E95"/>
    <w:rsid w:val="006E1ECD"/>
    <w:rsid w:val="006E2145"/>
    <w:rsid w:val="006E2180"/>
    <w:rsid w:val="006E2440"/>
    <w:rsid w:val="006E24A2"/>
    <w:rsid w:val="006E2548"/>
    <w:rsid w:val="006E2826"/>
    <w:rsid w:val="006E2899"/>
    <w:rsid w:val="006E295E"/>
    <w:rsid w:val="006E2A91"/>
    <w:rsid w:val="006E2C62"/>
    <w:rsid w:val="006E2D72"/>
    <w:rsid w:val="006E2E39"/>
    <w:rsid w:val="006E2EFE"/>
    <w:rsid w:val="006E2F6D"/>
    <w:rsid w:val="006E3071"/>
    <w:rsid w:val="006E30C1"/>
    <w:rsid w:val="006E30FB"/>
    <w:rsid w:val="006E3122"/>
    <w:rsid w:val="006E319E"/>
    <w:rsid w:val="006E3214"/>
    <w:rsid w:val="006E349C"/>
    <w:rsid w:val="006E3541"/>
    <w:rsid w:val="006E3611"/>
    <w:rsid w:val="006E37B8"/>
    <w:rsid w:val="006E3A3E"/>
    <w:rsid w:val="006E3BBB"/>
    <w:rsid w:val="006E3E4D"/>
    <w:rsid w:val="006E3EC3"/>
    <w:rsid w:val="006E3EE4"/>
    <w:rsid w:val="006E3FD0"/>
    <w:rsid w:val="006E4041"/>
    <w:rsid w:val="006E43E1"/>
    <w:rsid w:val="006E453B"/>
    <w:rsid w:val="006E45A0"/>
    <w:rsid w:val="006E45E0"/>
    <w:rsid w:val="006E47DC"/>
    <w:rsid w:val="006E48FA"/>
    <w:rsid w:val="006E49E1"/>
    <w:rsid w:val="006E4BFB"/>
    <w:rsid w:val="006E4C92"/>
    <w:rsid w:val="006E4C9D"/>
    <w:rsid w:val="006E4FEB"/>
    <w:rsid w:val="006E5224"/>
    <w:rsid w:val="006E53C8"/>
    <w:rsid w:val="006E5532"/>
    <w:rsid w:val="006E5590"/>
    <w:rsid w:val="006E588C"/>
    <w:rsid w:val="006E5A43"/>
    <w:rsid w:val="006E5A6E"/>
    <w:rsid w:val="006E5BCC"/>
    <w:rsid w:val="006E5CB1"/>
    <w:rsid w:val="006E5DE1"/>
    <w:rsid w:val="006E5EA5"/>
    <w:rsid w:val="006E60A2"/>
    <w:rsid w:val="006E60C4"/>
    <w:rsid w:val="006E60C6"/>
    <w:rsid w:val="006E60D5"/>
    <w:rsid w:val="006E614F"/>
    <w:rsid w:val="006E621E"/>
    <w:rsid w:val="006E62D2"/>
    <w:rsid w:val="006E6328"/>
    <w:rsid w:val="006E63EE"/>
    <w:rsid w:val="006E6644"/>
    <w:rsid w:val="006E6859"/>
    <w:rsid w:val="006E68C9"/>
    <w:rsid w:val="006E6949"/>
    <w:rsid w:val="006E6A6B"/>
    <w:rsid w:val="006E6BDC"/>
    <w:rsid w:val="006E6D73"/>
    <w:rsid w:val="006E6DE8"/>
    <w:rsid w:val="006E6E06"/>
    <w:rsid w:val="006E6E2E"/>
    <w:rsid w:val="006E6ED6"/>
    <w:rsid w:val="006E7169"/>
    <w:rsid w:val="006E723C"/>
    <w:rsid w:val="006E7394"/>
    <w:rsid w:val="006E7411"/>
    <w:rsid w:val="006E7582"/>
    <w:rsid w:val="006E7767"/>
    <w:rsid w:val="006E78D3"/>
    <w:rsid w:val="006E793D"/>
    <w:rsid w:val="006E7A4C"/>
    <w:rsid w:val="006E7BAE"/>
    <w:rsid w:val="006E7C4D"/>
    <w:rsid w:val="006E7D01"/>
    <w:rsid w:val="006E7D1D"/>
    <w:rsid w:val="006E7ECB"/>
    <w:rsid w:val="006E7F64"/>
    <w:rsid w:val="006F0039"/>
    <w:rsid w:val="006F0483"/>
    <w:rsid w:val="006F062A"/>
    <w:rsid w:val="006F0631"/>
    <w:rsid w:val="006F0709"/>
    <w:rsid w:val="006F076D"/>
    <w:rsid w:val="006F0ACD"/>
    <w:rsid w:val="006F0BD7"/>
    <w:rsid w:val="006F0E47"/>
    <w:rsid w:val="006F0E72"/>
    <w:rsid w:val="006F0E8F"/>
    <w:rsid w:val="006F0F1F"/>
    <w:rsid w:val="006F1348"/>
    <w:rsid w:val="006F1370"/>
    <w:rsid w:val="006F14CC"/>
    <w:rsid w:val="006F164D"/>
    <w:rsid w:val="006F1841"/>
    <w:rsid w:val="006F19C7"/>
    <w:rsid w:val="006F1C04"/>
    <w:rsid w:val="006F1CE5"/>
    <w:rsid w:val="006F1CFB"/>
    <w:rsid w:val="006F1F09"/>
    <w:rsid w:val="006F203B"/>
    <w:rsid w:val="006F20B0"/>
    <w:rsid w:val="006F21D5"/>
    <w:rsid w:val="006F22C5"/>
    <w:rsid w:val="006F238D"/>
    <w:rsid w:val="006F250A"/>
    <w:rsid w:val="006F2707"/>
    <w:rsid w:val="006F2787"/>
    <w:rsid w:val="006F2822"/>
    <w:rsid w:val="006F28B5"/>
    <w:rsid w:val="006F2906"/>
    <w:rsid w:val="006F297D"/>
    <w:rsid w:val="006F2AEC"/>
    <w:rsid w:val="006F2E7A"/>
    <w:rsid w:val="006F30D9"/>
    <w:rsid w:val="006F3160"/>
    <w:rsid w:val="006F322E"/>
    <w:rsid w:val="006F3441"/>
    <w:rsid w:val="006F3524"/>
    <w:rsid w:val="006F354C"/>
    <w:rsid w:val="006F3943"/>
    <w:rsid w:val="006F39D2"/>
    <w:rsid w:val="006F3A29"/>
    <w:rsid w:val="006F3A87"/>
    <w:rsid w:val="006F3B5A"/>
    <w:rsid w:val="006F3BB3"/>
    <w:rsid w:val="006F3BC9"/>
    <w:rsid w:val="006F3D11"/>
    <w:rsid w:val="006F3D61"/>
    <w:rsid w:val="006F3DAC"/>
    <w:rsid w:val="006F3F27"/>
    <w:rsid w:val="006F3F65"/>
    <w:rsid w:val="006F3FCF"/>
    <w:rsid w:val="006F4654"/>
    <w:rsid w:val="006F4912"/>
    <w:rsid w:val="006F492D"/>
    <w:rsid w:val="006F498C"/>
    <w:rsid w:val="006F49DA"/>
    <w:rsid w:val="006F4B3D"/>
    <w:rsid w:val="006F4D69"/>
    <w:rsid w:val="006F4E3F"/>
    <w:rsid w:val="006F4E4C"/>
    <w:rsid w:val="006F4FEE"/>
    <w:rsid w:val="006F5175"/>
    <w:rsid w:val="006F5207"/>
    <w:rsid w:val="006F5682"/>
    <w:rsid w:val="006F58AC"/>
    <w:rsid w:val="006F5D2D"/>
    <w:rsid w:val="006F5F12"/>
    <w:rsid w:val="006F5F64"/>
    <w:rsid w:val="006F6144"/>
    <w:rsid w:val="006F616B"/>
    <w:rsid w:val="006F6180"/>
    <w:rsid w:val="006F61A8"/>
    <w:rsid w:val="006F631A"/>
    <w:rsid w:val="006F6661"/>
    <w:rsid w:val="006F673A"/>
    <w:rsid w:val="006F67F0"/>
    <w:rsid w:val="006F6839"/>
    <w:rsid w:val="006F699C"/>
    <w:rsid w:val="006F6A22"/>
    <w:rsid w:val="006F6A60"/>
    <w:rsid w:val="006F6B84"/>
    <w:rsid w:val="006F6F0B"/>
    <w:rsid w:val="006F6FBA"/>
    <w:rsid w:val="006F7229"/>
    <w:rsid w:val="006F74B8"/>
    <w:rsid w:val="006F750F"/>
    <w:rsid w:val="006F7615"/>
    <w:rsid w:val="006F79F7"/>
    <w:rsid w:val="006F7AF2"/>
    <w:rsid w:val="006F7B64"/>
    <w:rsid w:val="006F7B77"/>
    <w:rsid w:val="006F7DF1"/>
    <w:rsid w:val="007000CF"/>
    <w:rsid w:val="007002AF"/>
    <w:rsid w:val="007002D3"/>
    <w:rsid w:val="0070035F"/>
    <w:rsid w:val="007003E1"/>
    <w:rsid w:val="0070040F"/>
    <w:rsid w:val="007004B7"/>
    <w:rsid w:val="007005BC"/>
    <w:rsid w:val="0070074C"/>
    <w:rsid w:val="00700798"/>
    <w:rsid w:val="007008FD"/>
    <w:rsid w:val="00700954"/>
    <w:rsid w:val="007009F1"/>
    <w:rsid w:val="00700AC4"/>
    <w:rsid w:val="00700C18"/>
    <w:rsid w:val="00700E22"/>
    <w:rsid w:val="007010CC"/>
    <w:rsid w:val="007012AD"/>
    <w:rsid w:val="0070130F"/>
    <w:rsid w:val="007014D4"/>
    <w:rsid w:val="007016BD"/>
    <w:rsid w:val="007017AF"/>
    <w:rsid w:val="0070197E"/>
    <w:rsid w:val="00701BF9"/>
    <w:rsid w:val="00701D17"/>
    <w:rsid w:val="00701D72"/>
    <w:rsid w:val="00701E02"/>
    <w:rsid w:val="00702026"/>
    <w:rsid w:val="007021BD"/>
    <w:rsid w:val="00702220"/>
    <w:rsid w:val="007023A2"/>
    <w:rsid w:val="007023C2"/>
    <w:rsid w:val="0070240B"/>
    <w:rsid w:val="0070252A"/>
    <w:rsid w:val="00702567"/>
    <w:rsid w:val="007025E2"/>
    <w:rsid w:val="007026C5"/>
    <w:rsid w:val="007027D9"/>
    <w:rsid w:val="0070283D"/>
    <w:rsid w:val="00702860"/>
    <w:rsid w:val="007029FA"/>
    <w:rsid w:val="00702A03"/>
    <w:rsid w:val="00702AC4"/>
    <w:rsid w:val="00702C61"/>
    <w:rsid w:val="00702CA1"/>
    <w:rsid w:val="00702DFB"/>
    <w:rsid w:val="00702FC6"/>
    <w:rsid w:val="00703072"/>
    <w:rsid w:val="00703201"/>
    <w:rsid w:val="00703328"/>
    <w:rsid w:val="00703398"/>
    <w:rsid w:val="007033D5"/>
    <w:rsid w:val="00703642"/>
    <w:rsid w:val="007036C1"/>
    <w:rsid w:val="0070373B"/>
    <w:rsid w:val="00703811"/>
    <w:rsid w:val="0070399D"/>
    <w:rsid w:val="007039DD"/>
    <w:rsid w:val="00703AAD"/>
    <w:rsid w:val="00703B62"/>
    <w:rsid w:val="00703C70"/>
    <w:rsid w:val="00703D09"/>
    <w:rsid w:val="00703D25"/>
    <w:rsid w:val="00703DC6"/>
    <w:rsid w:val="0070405D"/>
    <w:rsid w:val="0070406D"/>
    <w:rsid w:val="007040DC"/>
    <w:rsid w:val="00704247"/>
    <w:rsid w:val="007042FB"/>
    <w:rsid w:val="00704602"/>
    <w:rsid w:val="00704697"/>
    <w:rsid w:val="007046C7"/>
    <w:rsid w:val="007047E6"/>
    <w:rsid w:val="0070488C"/>
    <w:rsid w:val="00704A03"/>
    <w:rsid w:val="00704CC3"/>
    <w:rsid w:val="00704E3B"/>
    <w:rsid w:val="00704E7C"/>
    <w:rsid w:val="007051A2"/>
    <w:rsid w:val="007051CF"/>
    <w:rsid w:val="00705399"/>
    <w:rsid w:val="007053C3"/>
    <w:rsid w:val="00705533"/>
    <w:rsid w:val="007058AB"/>
    <w:rsid w:val="007059C1"/>
    <w:rsid w:val="00705BAB"/>
    <w:rsid w:val="00705F95"/>
    <w:rsid w:val="00706216"/>
    <w:rsid w:val="00706300"/>
    <w:rsid w:val="0070649E"/>
    <w:rsid w:val="00706813"/>
    <w:rsid w:val="00706814"/>
    <w:rsid w:val="00706984"/>
    <w:rsid w:val="00706B34"/>
    <w:rsid w:val="00706D4A"/>
    <w:rsid w:val="00707047"/>
    <w:rsid w:val="007070B9"/>
    <w:rsid w:val="007070CB"/>
    <w:rsid w:val="007071B5"/>
    <w:rsid w:val="0070734C"/>
    <w:rsid w:val="007073C6"/>
    <w:rsid w:val="0070749E"/>
    <w:rsid w:val="007074D2"/>
    <w:rsid w:val="0070764D"/>
    <w:rsid w:val="007076BB"/>
    <w:rsid w:val="00707752"/>
    <w:rsid w:val="00707895"/>
    <w:rsid w:val="00707AF0"/>
    <w:rsid w:val="00707C11"/>
    <w:rsid w:val="00707C27"/>
    <w:rsid w:val="00707CF6"/>
    <w:rsid w:val="00707D1E"/>
    <w:rsid w:val="00707DAE"/>
    <w:rsid w:val="00707EBB"/>
    <w:rsid w:val="00707F3B"/>
    <w:rsid w:val="00710206"/>
    <w:rsid w:val="0071030F"/>
    <w:rsid w:val="007103D7"/>
    <w:rsid w:val="00710463"/>
    <w:rsid w:val="007104DF"/>
    <w:rsid w:val="00710543"/>
    <w:rsid w:val="007105CD"/>
    <w:rsid w:val="007105F8"/>
    <w:rsid w:val="007105F9"/>
    <w:rsid w:val="00710D98"/>
    <w:rsid w:val="00710F5F"/>
    <w:rsid w:val="00710FEA"/>
    <w:rsid w:val="0071112C"/>
    <w:rsid w:val="007111A9"/>
    <w:rsid w:val="00711232"/>
    <w:rsid w:val="007112D5"/>
    <w:rsid w:val="0071131A"/>
    <w:rsid w:val="0071168F"/>
    <w:rsid w:val="00711765"/>
    <w:rsid w:val="00711859"/>
    <w:rsid w:val="00711865"/>
    <w:rsid w:val="00711924"/>
    <w:rsid w:val="007119D6"/>
    <w:rsid w:val="00711AE8"/>
    <w:rsid w:val="00711B08"/>
    <w:rsid w:val="00711B7B"/>
    <w:rsid w:val="00711C2D"/>
    <w:rsid w:val="00711EB8"/>
    <w:rsid w:val="007123A6"/>
    <w:rsid w:val="00712502"/>
    <w:rsid w:val="007127AF"/>
    <w:rsid w:val="0071281B"/>
    <w:rsid w:val="00712918"/>
    <w:rsid w:val="00712AB6"/>
    <w:rsid w:val="00712B1E"/>
    <w:rsid w:val="00712E70"/>
    <w:rsid w:val="00712F5D"/>
    <w:rsid w:val="00712FC9"/>
    <w:rsid w:val="0071329F"/>
    <w:rsid w:val="00713327"/>
    <w:rsid w:val="00713343"/>
    <w:rsid w:val="0071363F"/>
    <w:rsid w:val="0071383B"/>
    <w:rsid w:val="00713978"/>
    <w:rsid w:val="007139B0"/>
    <w:rsid w:val="00713A20"/>
    <w:rsid w:val="00713A4D"/>
    <w:rsid w:val="00713A88"/>
    <w:rsid w:val="00713ADC"/>
    <w:rsid w:val="00713B38"/>
    <w:rsid w:val="00713CB9"/>
    <w:rsid w:val="00713D60"/>
    <w:rsid w:val="007146F5"/>
    <w:rsid w:val="0071477F"/>
    <w:rsid w:val="00714878"/>
    <w:rsid w:val="007149A4"/>
    <w:rsid w:val="00714A33"/>
    <w:rsid w:val="00714AF2"/>
    <w:rsid w:val="00714C89"/>
    <w:rsid w:val="00714D2F"/>
    <w:rsid w:val="00714D91"/>
    <w:rsid w:val="00714E25"/>
    <w:rsid w:val="00714E3E"/>
    <w:rsid w:val="00714E63"/>
    <w:rsid w:val="00715045"/>
    <w:rsid w:val="007151CC"/>
    <w:rsid w:val="007154D7"/>
    <w:rsid w:val="007154E6"/>
    <w:rsid w:val="00715531"/>
    <w:rsid w:val="007155A8"/>
    <w:rsid w:val="0071561D"/>
    <w:rsid w:val="00715747"/>
    <w:rsid w:val="007158EB"/>
    <w:rsid w:val="007159D7"/>
    <w:rsid w:val="007159F0"/>
    <w:rsid w:val="00715B80"/>
    <w:rsid w:val="00715C2A"/>
    <w:rsid w:val="00715ED3"/>
    <w:rsid w:val="007161ED"/>
    <w:rsid w:val="007164CA"/>
    <w:rsid w:val="00716505"/>
    <w:rsid w:val="00716576"/>
    <w:rsid w:val="0071660B"/>
    <w:rsid w:val="00716A0E"/>
    <w:rsid w:val="00716A56"/>
    <w:rsid w:val="00716ACA"/>
    <w:rsid w:val="00716B38"/>
    <w:rsid w:val="00716BDC"/>
    <w:rsid w:val="00716C54"/>
    <w:rsid w:val="00716CD2"/>
    <w:rsid w:val="00716E58"/>
    <w:rsid w:val="00717046"/>
    <w:rsid w:val="00717289"/>
    <w:rsid w:val="007174A5"/>
    <w:rsid w:val="00717573"/>
    <w:rsid w:val="0071759C"/>
    <w:rsid w:val="007175C6"/>
    <w:rsid w:val="00717747"/>
    <w:rsid w:val="0071789A"/>
    <w:rsid w:val="007179BF"/>
    <w:rsid w:val="00717F38"/>
    <w:rsid w:val="0072029B"/>
    <w:rsid w:val="007202E5"/>
    <w:rsid w:val="00720398"/>
    <w:rsid w:val="007203DE"/>
    <w:rsid w:val="00720507"/>
    <w:rsid w:val="0072051A"/>
    <w:rsid w:val="007206B8"/>
    <w:rsid w:val="007207B9"/>
    <w:rsid w:val="00720D71"/>
    <w:rsid w:val="00720E3E"/>
    <w:rsid w:val="00720FF0"/>
    <w:rsid w:val="00721221"/>
    <w:rsid w:val="007212AD"/>
    <w:rsid w:val="007213C7"/>
    <w:rsid w:val="00721416"/>
    <w:rsid w:val="00721707"/>
    <w:rsid w:val="00721731"/>
    <w:rsid w:val="007217B0"/>
    <w:rsid w:val="007217ED"/>
    <w:rsid w:val="007219FB"/>
    <w:rsid w:val="00721D06"/>
    <w:rsid w:val="00721D64"/>
    <w:rsid w:val="00721ED3"/>
    <w:rsid w:val="00721FA8"/>
    <w:rsid w:val="007220AA"/>
    <w:rsid w:val="007221AF"/>
    <w:rsid w:val="007222DD"/>
    <w:rsid w:val="007224BB"/>
    <w:rsid w:val="007225C2"/>
    <w:rsid w:val="00722720"/>
    <w:rsid w:val="00722949"/>
    <w:rsid w:val="007229B3"/>
    <w:rsid w:val="00722B25"/>
    <w:rsid w:val="00722BB6"/>
    <w:rsid w:val="00722D25"/>
    <w:rsid w:val="00722F2E"/>
    <w:rsid w:val="00723028"/>
    <w:rsid w:val="007231CA"/>
    <w:rsid w:val="00723268"/>
    <w:rsid w:val="00723310"/>
    <w:rsid w:val="007235F3"/>
    <w:rsid w:val="007238EA"/>
    <w:rsid w:val="00723A42"/>
    <w:rsid w:val="00723AA2"/>
    <w:rsid w:val="00723AB4"/>
    <w:rsid w:val="007240AB"/>
    <w:rsid w:val="00724427"/>
    <w:rsid w:val="00724645"/>
    <w:rsid w:val="00724803"/>
    <w:rsid w:val="00724A0D"/>
    <w:rsid w:val="00724A0F"/>
    <w:rsid w:val="00724B68"/>
    <w:rsid w:val="00724D2E"/>
    <w:rsid w:val="00724ECE"/>
    <w:rsid w:val="00724F59"/>
    <w:rsid w:val="007250B7"/>
    <w:rsid w:val="007255B3"/>
    <w:rsid w:val="00725618"/>
    <w:rsid w:val="0072568C"/>
    <w:rsid w:val="00725708"/>
    <w:rsid w:val="00725730"/>
    <w:rsid w:val="0072592A"/>
    <w:rsid w:val="00725A4F"/>
    <w:rsid w:val="00725B38"/>
    <w:rsid w:val="00725B72"/>
    <w:rsid w:val="00725C1D"/>
    <w:rsid w:val="00725CD0"/>
    <w:rsid w:val="00725F1C"/>
    <w:rsid w:val="00725F93"/>
    <w:rsid w:val="00725FAA"/>
    <w:rsid w:val="00726160"/>
    <w:rsid w:val="007262DD"/>
    <w:rsid w:val="00726352"/>
    <w:rsid w:val="007263AB"/>
    <w:rsid w:val="007264DF"/>
    <w:rsid w:val="0072657B"/>
    <w:rsid w:val="007267A5"/>
    <w:rsid w:val="0072686D"/>
    <w:rsid w:val="00726872"/>
    <w:rsid w:val="007268EE"/>
    <w:rsid w:val="007268F1"/>
    <w:rsid w:val="00726963"/>
    <w:rsid w:val="00726CD3"/>
    <w:rsid w:val="007270E0"/>
    <w:rsid w:val="0072725A"/>
    <w:rsid w:val="0072732F"/>
    <w:rsid w:val="0072740D"/>
    <w:rsid w:val="007274D1"/>
    <w:rsid w:val="007274D8"/>
    <w:rsid w:val="00727566"/>
    <w:rsid w:val="00727592"/>
    <w:rsid w:val="00727615"/>
    <w:rsid w:val="00727865"/>
    <w:rsid w:val="00727888"/>
    <w:rsid w:val="00727A3D"/>
    <w:rsid w:val="00727A86"/>
    <w:rsid w:val="00727B6F"/>
    <w:rsid w:val="00727B80"/>
    <w:rsid w:val="00727C2D"/>
    <w:rsid w:val="00727E64"/>
    <w:rsid w:val="00730139"/>
    <w:rsid w:val="0073038F"/>
    <w:rsid w:val="0073058F"/>
    <w:rsid w:val="007306BE"/>
    <w:rsid w:val="00730AA9"/>
    <w:rsid w:val="00730B8C"/>
    <w:rsid w:val="00730BC0"/>
    <w:rsid w:val="00730DAA"/>
    <w:rsid w:val="00730DC7"/>
    <w:rsid w:val="00731068"/>
    <w:rsid w:val="007310B7"/>
    <w:rsid w:val="0073120D"/>
    <w:rsid w:val="00731215"/>
    <w:rsid w:val="00731224"/>
    <w:rsid w:val="007317B2"/>
    <w:rsid w:val="0073191B"/>
    <w:rsid w:val="00731BB4"/>
    <w:rsid w:val="00731BB6"/>
    <w:rsid w:val="00731D56"/>
    <w:rsid w:val="00732041"/>
    <w:rsid w:val="0073211E"/>
    <w:rsid w:val="00732188"/>
    <w:rsid w:val="0073219F"/>
    <w:rsid w:val="007322CF"/>
    <w:rsid w:val="007325D3"/>
    <w:rsid w:val="0073268E"/>
    <w:rsid w:val="007327F6"/>
    <w:rsid w:val="00732900"/>
    <w:rsid w:val="0073293A"/>
    <w:rsid w:val="00732ACB"/>
    <w:rsid w:val="00732CC1"/>
    <w:rsid w:val="00732D00"/>
    <w:rsid w:val="00732D23"/>
    <w:rsid w:val="00732DC5"/>
    <w:rsid w:val="00732E11"/>
    <w:rsid w:val="00732F24"/>
    <w:rsid w:val="00733435"/>
    <w:rsid w:val="007335CE"/>
    <w:rsid w:val="007336EE"/>
    <w:rsid w:val="00733861"/>
    <w:rsid w:val="00733A86"/>
    <w:rsid w:val="00733AC2"/>
    <w:rsid w:val="00733B35"/>
    <w:rsid w:val="007342F5"/>
    <w:rsid w:val="0073431B"/>
    <w:rsid w:val="00734373"/>
    <w:rsid w:val="00734479"/>
    <w:rsid w:val="007347CB"/>
    <w:rsid w:val="00734868"/>
    <w:rsid w:val="00734891"/>
    <w:rsid w:val="007349A1"/>
    <w:rsid w:val="00734A67"/>
    <w:rsid w:val="00734ADF"/>
    <w:rsid w:val="00734AF1"/>
    <w:rsid w:val="00734BD6"/>
    <w:rsid w:val="00734C26"/>
    <w:rsid w:val="00734D13"/>
    <w:rsid w:val="00734D8B"/>
    <w:rsid w:val="00734E9C"/>
    <w:rsid w:val="007351B6"/>
    <w:rsid w:val="00735299"/>
    <w:rsid w:val="007352CB"/>
    <w:rsid w:val="0073531E"/>
    <w:rsid w:val="007358AD"/>
    <w:rsid w:val="007359A9"/>
    <w:rsid w:val="007359BB"/>
    <w:rsid w:val="00735A0A"/>
    <w:rsid w:val="00735A89"/>
    <w:rsid w:val="00735D43"/>
    <w:rsid w:val="00735F0A"/>
    <w:rsid w:val="00735F1A"/>
    <w:rsid w:val="00735F46"/>
    <w:rsid w:val="00736098"/>
    <w:rsid w:val="007362C6"/>
    <w:rsid w:val="0073632A"/>
    <w:rsid w:val="0073640F"/>
    <w:rsid w:val="00736493"/>
    <w:rsid w:val="00736553"/>
    <w:rsid w:val="00736874"/>
    <w:rsid w:val="00736980"/>
    <w:rsid w:val="0073699C"/>
    <w:rsid w:val="007369B1"/>
    <w:rsid w:val="00736A9D"/>
    <w:rsid w:val="00736AFC"/>
    <w:rsid w:val="00736B48"/>
    <w:rsid w:val="00736C4A"/>
    <w:rsid w:val="00736CF8"/>
    <w:rsid w:val="0073728E"/>
    <w:rsid w:val="00737340"/>
    <w:rsid w:val="00737534"/>
    <w:rsid w:val="0073753B"/>
    <w:rsid w:val="007376F1"/>
    <w:rsid w:val="007379DF"/>
    <w:rsid w:val="00737B8D"/>
    <w:rsid w:val="00737C40"/>
    <w:rsid w:val="00737C44"/>
    <w:rsid w:val="00737C9F"/>
    <w:rsid w:val="00737CC0"/>
    <w:rsid w:val="00737D54"/>
    <w:rsid w:val="00737D8C"/>
    <w:rsid w:val="00737DF3"/>
    <w:rsid w:val="00737E76"/>
    <w:rsid w:val="00737FB2"/>
    <w:rsid w:val="0074021A"/>
    <w:rsid w:val="0074029D"/>
    <w:rsid w:val="00740478"/>
    <w:rsid w:val="00740588"/>
    <w:rsid w:val="00740589"/>
    <w:rsid w:val="00740616"/>
    <w:rsid w:val="00740851"/>
    <w:rsid w:val="007409E6"/>
    <w:rsid w:val="00740B90"/>
    <w:rsid w:val="00740C02"/>
    <w:rsid w:val="00740D0D"/>
    <w:rsid w:val="00740EFB"/>
    <w:rsid w:val="0074107B"/>
    <w:rsid w:val="00741226"/>
    <w:rsid w:val="00741260"/>
    <w:rsid w:val="00741385"/>
    <w:rsid w:val="007413E2"/>
    <w:rsid w:val="0074146C"/>
    <w:rsid w:val="00741528"/>
    <w:rsid w:val="00741641"/>
    <w:rsid w:val="0074178F"/>
    <w:rsid w:val="0074205C"/>
    <w:rsid w:val="00742113"/>
    <w:rsid w:val="007421D5"/>
    <w:rsid w:val="007421F9"/>
    <w:rsid w:val="0074225C"/>
    <w:rsid w:val="00742411"/>
    <w:rsid w:val="00742578"/>
    <w:rsid w:val="00742582"/>
    <w:rsid w:val="007425FE"/>
    <w:rsid w:val="0074265F"/>
    <w:rsid w:val="00742774"/>
    <w:rsid w:val="00742970"/>
    <w:rsid w:val="007429DE"/>
    <w:rsid w:val="00742A46"/>
    <w:rsid w:val="00742C23"/>
    <w:rsid w:val="00742DDC"/>
    <w:rsid w:val="00742E24"/>
    <w:rsid w:val="007434D9"/>
    <w:rsid w:val="0074360F"/>
    <w:rsid w:val="0074394F"/>
    <w:rsid w:val="00743C9A"/>
    <w:rsid w:val="00743D37"/>
    <w:rsid w:val="00743EBD"/>
    <w:rsid w:val="00743F09"/>
    <w:rsid w:val="00744175"/>
    <w:rsid w:val="0074436D"/>
    <w:rsid w:val="00744704"/>
    <w:rsid w:val="00744771"/>
    <w:rsid w:val="0074491B"/>
    <w:rsid w:val="0074497A"/>
    <w:rsid w:val="007449AC"/>
    <w:rsid w:val="007449DE"/>
    <w:rsid w:val="00744AFE"/>
    <w:rsid w:val="00744BE4"/>
    <w:rsid w:val="00744C20"/>
    <w:rsid w:val="00744D15"/>
    <w:rsid w:val="00744D22"/>
    <w:rsid w:val="00744E62"/>
    <w:rsid w:val="00744EB1"/>
    <w:rsid w:val="00744F44"/>
    <w:rsid w:val="00745259"/>
    <w:rsid w:val="00745463"/>
    <w:rsid w:val="007457BE"/>
    <w:rsid w:val="007457F6"/>
    <w:rsid w:val="007458C0"/>
    <w:rsid w:val="00745D88"/>
    <w:rsid w:val="00745E03"/>
    <w:rsid w:val="00745E88"/>
    <w:rsid w:val="00745EC0"/>
    <w:rsid w:val="00745F52"/>
    <w:rsid w:val="00745FB2"/>
    <w:rsid w:val="00746323"/>
    <w:rsid w:val="00746561"/>
    <w:rsid w:val="007465E8"/>
    <w:rsid w:val="00746729"/>
    <w:rsid w:val="00746A0E"/>
    <w:rsid w:val="00746A1E"/>
    <w:rsid w:val="00746A26"/>
    <w:rsid w:val="00746B26"/>
    <w:rsid w:val="00746EB3"/>
    <w:rsid w:val="00746EEB"/>
    <w:rsid w:val="00746F96"/>
    <w:rsid w:val="00746FD9"/>
    <w:rsid w:val="0074715C"/>
    <w:rsid w:val="007472E3"/>
    <w:rsid w:val="00747343"/>
    <w:rsid w:val="00747349"/>
    <w:rsid w:val="007478A5"/>
    <w:rsid w:val="007479AA"/>
    <w:rsid w:val="007479D8"/>
    <w:rsid w:val="00747A86"/>
    <w:rsid w:val="00747BAC"/>
    <w:rsid w:val="00747BF1"/>
    <w:rsid w:val="00747CCF"/>
    <w:rsid w:val="00747CF0"/>
    <w:rsid w:val="00747F8E"/>
    <w:rsid w:val="00747FC3"/>
    <w:rsid w:val="00750207"/>
    <w:rsid w:val="00750235"/>
    <w:rsid w:val="007503AC"/>
    <w:rsid w:val="007505E6"/>
    <w:rsid w:val="00750658"/>
    <w:rsid w:val="0075077C"/>
    <w:rsid w:val="0075080F"/>
    <w:rsid w:val="0075081D"/>
    <w:rsid w:val="007508BF"/>
    <w:rsid w:val="00750992"/>
    <w:rsid w:val="007509BA"/>
    <w:rsid w:val="00750A36"/>
    <w:rsid w:val="00750B10"/>
    <w:rsid w:val="00750CA7"/>
    <w:rsid w:val="00750F39"/>
    <w:rsid w:val="00750F82"/>
    <w:rsid w:val="0075103B"/>
    <w:rsid w:val="00751055"/>
    <w:rsid w:val="007510E1"/>
    <w:rsid w:val="007511C2"/>
    <w:rsid w:val="0075126C"/>
    <w:rsid w:val="0075131D"/>
    <w:rsid w:val="007513BD"/>
    <w:rsid w:val="00751483"/>
    <w:rsid w:val="0075149A"/>
    <w:rsid w:val="007514F1"/>
    <w:rsid w:val="00751534"/>
    <w:rsid w:val="00751553"/>
    <w:rsid w:val="007516DF"/>
    <w:rsid w:val="00751743"/>
    <w:rsid w:val="0075178C"/>
    <w:rsid w:val="0075187F"/>
    <w:rsid w:val="007518F2"/>
    <w:rsid w:val="00751A06"/>
    <w:rsid w:val="00751E50"/>
    <w:rsid w:val="00751ECF"/>
    <w:rsid w:val="00751F05"/>
    <w:rsid w:val="007520B7"/>
    <w:rsid w:val="00752106"/>
    <w:rsid w:val="0075236D"/>
    <w:rsid w:val="00752460"/>
    <w:rsid w:val="00752731"/>
    <w:rsid w:val="0075287C"/>
    <w:rsid w:val="007529DD"/>
    <w:rsid w:val="007529F1"/>
    <w:rsid w:val="00752A70"/>
    <w:rsid w:val="00752AFF"/>
    <w:rsid w:val="00752BBF"/>
    <w:rsid w:val="00752D68"/>
    <w:rsid w:val="00752DCC"/>
    <w:rsid w:val="00752EB6"/>
    <w:rsid w:val="00753280"/>
    <w:rsid w:val="007534B0"/>
    <w:rsid w:val="007534BB"/>
    <w:rsid w:val="007534ED"/>
    <w:rsid w:val="0075351A"/>
    <w:rsid w:val="00753570"/>
    <w:rsid w:val="00753605"/>
    <w:rsid w:val="007537B8"/>
    <w:rsid w:val="00753A5A"/>
    <w:rsid w:val="00753AD4"/>
    <w:rsid w:val="00753B26"/>
    <w:rsid w:val="00753B61"/>
    <w:rsid w:val="00753C6D"/>
    <w:rsid w:val="00753DC2"/>
    <w:rsid w:val="00753FE3"/>
    <w:rsid w:val="0075407E"/>
    <w:rsid w:val="007540CA"/>
    <w:rsid w:val="007540F6"/>
    <w:rsid w:val="00754152"/>
    <w:rsid w:val="007541C2"/>
    <w:rsid w:val="0075423F"/>
    <w:rsid w:val="007545D2"/>
    <w:rsid w:val="00754636"/>
    <w:rsid w:val="0075473E"/>
    <w:rsid w:val="00754AD0"/>
    <w:rsid w:val="00754CEB"/>
    <w:rsid w:val="00754DF4"/>
    <w:rsid w:val="00755229"/>
    <w:rsid w:val="007552ED"/>
    <w:rsid w:val="007553A8"/>
    <w:rsid w:val="007553EA"/>
    <w:rsid w:val="00755495"/>
    <w:rsid w:val="00755553"/>
    <w:rsid w:val="0075567B"/>
    <w:rsid w:val="007556D8"/>
    <w:rsid w:val="00755A01"/>
    <w:rsid w:val="00755C78"/>
    <w:rsid w:val="00755C95"/>
    <w:rsid w:val="00755CB1"/>
    <w:rsid w:val="00755D2C"/>
    <w:rsid w:val="00756065"/>
    <w:rsid w:val="007561F8"/>
    <w:rsid w:val="007563D0"/>
    <w:rsid w:val="007563D9"/>
    <w:rsid w:val="007564A7"/>
    <w:rsid w:val="007564FA"/>
    <w:rsid w:val="007565BC"/>
    <w:rsid w:val="00756688"/>
    <w:rsid w:val="0075670A"/>
    <w:rsid w:val="00756820"/>
    <w:rsid w:val="00756872"/>
    <w:rsid w:val="007568A8"/>
    <w:rsid w:val="007568E7"/>
    <w:rsid w:val="00756B84"/>
    <w:rsid w:val="00756C22"/>
    <w:rsid w:val="00756CDB"/>
    <w:rsid w:val="00756D2D"/>
    <w:rsid w:val="00756DED"/>
    <w:rsid w:val="00756FCC"/>
    <w:rsid w:val="00757280"/>
    <w:rsid w:val="0075784A"/>
    <w:rsid w:val="0075797F"/>
    <w:rsid w:val="007579F1"/>
    <w:rsid w:val="00757A0B"/>
    <w:rsid w:val="00757A17"/>
    <w:rsid w:val="00757B50"/>
    <w:rsid w:val="0076004E"/>
    <w:rsid w:val="007601CF"/>
    <w:rsid w:val="00760480"/>
    <w:rsid w:val="007605D6"/>
    <w:rsid w:val="007605FF"/>
    <w:rsid w:val="00760706"/>
    <w:rsid w:val="0076078B"/>
    <w:rsid w:val="0076095F"/>
    <w:rsid w:val="00760970"/>
    <w:rsid w:val="00760A0E"/>
    <w:rsid w:val="00760AA1"/>
    <w:rsid w:val="00760BA0"/>
    <w:rsid w:val="00760DFD"/>
    <w:rsid w:val="00760FD9"/>
    <w:rsid w:val="007610B8"/>
    <w:rsid w:val="007611EE"/>
    <w:rsid w:val="007612A1"/>
    <w:rsid w:val="00761776"/>
    <w:rsid w:val="007617B9"/>
    <w:rsid w:val="0076199F"/>
    <w:rsid w:val="00761A71"/>
    <w:rsid w:val="00761C1B"/>
    <w:rsid w:val="00761EF0"/>
    <w:rsid w:val="00761FCE"/>
    <w:rsid w:val="00762075"/>
    <w:rsid w:val="0076214D"/>
    <w:rsid w:val="00762224"/>
    <w:rsid w:val="007622AC"/>
    <w:rsid w:val="007622EA"/>
    <w:rsid w:val="007623A7"/>
    <w:rsid w:val="007623D5"/>
    <w:rsid w:val="007623ED"/>
    <w:rsid w:val="007626A9"/>
    <w:rsid w:val="007626DA"/>
    <w:rsid w:val="00762909"/>
    <w:rsid w:val="00762A6F"/>
    <w:rsid w:val="00762AE0"/>
    <w:rsid w:val="00762E4D"/>
    <w:rsid w:val="00762EF4"/>
    <w:rsid w:val="00762F93"/>
    <w:rsid w:val="00762FEC"/>
    <w:rsid w:val="00763015"/>
    <w:rsid w:val="00763099"/>
    <w:rsid w:val="007631FD"/>
    <w:rsid w:val="007634BA"/>
    <w:rsid w:val="00763613"/>
    <w:rsid w:val="00763726"/>
    <w:rsid w:val="007638DA"/>
    <w:rsid w:val="0076397C"/>
    <w:rsid w:val="00763A3D"/>
    <w:rsid w:val="00763C0A"/>
    <w:rsid w:val="00763C0C"/>
    <w:rsid w:val="00763E37"/>
    <w:rsid w:val="00763FA8"/>
    <w:rsid w:val="0076426E"/>
    <w:rsid w:val="007644DE"/>
    <w:rsid w:val="007646C2"/>
    <w:rsid w:val="00764836"/>
    <w:rsid w:val="00764887"/>
    <w:rsid w:val="00764A68"/>
    <w:rsid w:val="00764AE6"/>
    <w:rsid w:val="00764C8B"/>
    <w:rsid w:val="00764E82"/>
    <w:rsid w:val="00764F1D"/>
    <w:rsid w:val="00764FF9"/>
    <w:rsid w:val="00765101"/>
    <w:rsid w:val="007653A0"/>
    <w:rsid w:val="007656BE"/>
    <w:rsid w:val="0076593D"/>
    <w:rsid w:val="00765A50"/>
    <w:rsid w:val="00765BC2"/>
    <w:rsid w:val="00765BE0"/>
    <w:rsid w:val="00765C97"/>
    <w:rsid w:val="00765E1F"/>
    <w:rsid w:val="00766095"/>
    <w:rsid w:val="0076616B"/>
    <w:rsid w:val="00766229"/>
    <w:rsid w:val="007662AB"/>
    <w:rsid w:val="007662E2"/>
    <w:rsid w:val="00766496"/>
    <w:rsid w:val="0076661B"/>
    <w:rsid w:val="0076679E"/>
    <w:rsid w:val="007667A7"/>
    <w:rsid w:val="007667C2"/>
    <w:rsid w:val="00766975"/>
    <w:rsid w:val="00766984"/>
    <w:rsid w:val="00766B71"/>
    <w:rsid w:val="00766C94"/>
    <w:rsid w:val="00766D32"/>
    <w:rsid w:val="00766E47"/>
    <w:rsid w:val="007671B4"/>
    <w:rsid w:val="007671D6"/>
    <w:rsid w:val="007674A7"/>
    <w:rsid w:val="0076757E"/>
    <w:rsid w:val="007675FA"/>
    <w:rsid w:val="00767741"/>
    <w:rsid w:val="007677B8"/>
    <w:rsid w:val="007679B3"/>
    <w:rsid w:val="00767A15"/>
    <w:rsid w:val="00767B73"/>
    <w:rsid w:val="00770082"/>
    <w:rsid w:val="00770145"/>
    <w:rsid w:val="007701F3"/>
    <w:rsid w:val="007701FF"/>
    <w:rsid w:val="00770418"/>
    <w:rsid w:val="007706F3"/>
    <w:rsid w:val="00770752"/>
    <w:rsid w:val="007707B1"/>
    <w:rsid w:val="007708B6"/>
    <w:rsid w:val="00770A39"/>
    <w:rsid w:val="00770B02"/>
    <w:rsid w:val="00771055"/>
    <w:rsid w:val="00771272"/>
    <w:rsid w:val="007712CD"/>
    <w:rsid w:val="0077141C"/>
    <w:rsid w:val="007714C3"/>
    <w:rsid w:val="007714CD"/>
    <w:rsid w:val="007717C5"/>
    <w:rsid w:val="00771A57"/>
    <w:rsid w:val="00771C02"/>
    <w:rsid w:val="00771DA8"/>
    <w:rsid w:val="00771F82"/>
    <w:rsid w:val="007722D4"/>
    <w:rsid w:val="00772571"/>
    <w:rsid w:val="0077259A"/>
    <w:rsid w:val="0077264A"/>
    <w:rsid w:val="007728E5"/>
    <w:rsid w:val="00772A5A"/>
    <w:rsid w:val="00772A77"/>
    <w:rsid w:val="00772B2F"/>
    <w:rsid w:val="00772BA4"/>
    <w:rsid w:val="00772C8C"/>
    <w:rsid w:val="0077305C"/>
    <w:rsid w:val="00773448"/>
    <w:rsid w:val="0077347F"/>
    <w:rsid w:val="007734DD"/>
    <w:rsid w:val="00773540"/>
    <w:rsid w:val="00773588"/>
    <w:rsid w:val="007735BF"/>
    <w:rsid w:val="0077405A"/>
    <w:rsid w:val="00774133"/>
    <w:rsid w:val="0077414D"/>
    <w:rsid w:val="0077420F"/>
    <w:rsid w:val="00774341"/>
    <w:rsid w:val="00774508"/>
    <w:rsid w:val="00774580"/>
    <w:rsid w:val="007747BD"/>
    <w:rsid w:val="00774942"/>
    <w:rsid w:val="007749E8"/>
    <w:rsid w:val="00774ABC"/>
    <w:rsid w:val="00774B42"/>
    <w:rsid w:val="00774B58"/>
    <w:rsid w:val="00774F79"/>
    <w:rsid w:val="00774FF0"/>
    <w:rsid w:val="007753C3"/>
    <w:rsid w:val="0077565D"/>
    <w:rsid w:val="007756F1"/>
    <w:rsid w:val="00775736"/>
    <w:rsid w:val="0077579C"/>
    <w:rsid w:val="007757C7"/>
    <w:rsid w:val="007757D8"/>
    <w:rsid w:val="0077588A"/>
    <w:rsid w:val="0077589C"/>
    <w:rsid w:val="007759CC"/>
    <w:rsid w:val="00775ABD"/>
    <w:rsid w:val="00775C33"/>
    <w:rsid w:val="00775F73"/>
    <w:rsid w:val="007760E0"/>
    <w:rsid w:val="00776199"/>
    <w:rsid w:val="00776478"/>
    <w:rsid w:val="0077658B"/>
    <w:rsid w:val="00776768"/>
    <w:rsid w:val="00776774"/>
    <w:rsid w:val="0077683C"/>
    <w:rsid w:val="0077686F"/>
    <w:rsid w:val="00776999"/>
    <w:rsid w:val="00776A00"/>
    <w:rsid w:val="00776B8D"/>
    <w:rsid w:val="00776D3F"/>
    <w:rsid w:val="00776FBD"/>
    <w:rsid w:val="007770D5"/>
    <w:rsid w:val="00777128"/>
    <w:rsid w:val="00777177"/>
    <w:rsid w:val="0077729C"/>
    <w:rsid w:val="007773E0"/>
    <w:rsid w:val="00777750"/>
    <w:rsid w:val="00777795"/>
    <w:rsid w:val="007777A4"/>
    <w:rsid w:val="007777FC"/>
    <w:rsid w:val="00777805"/>
    <w:rsid w:val="00777841"/>
    <w:rsid w:val="007779BE"/>
    <w:rsid w:val="00777B9D"/>
    <w:rsid w:val="00777BDA"/>
    <w:rsid w:val="00777C59"/>
    <w:rsid w:val="00777D8B"/>
    <w:rsid w:val="00777E40"/>
    <w:rsid w:val="00777ED7"/>
    <w:rsid w:val="00780050"/>
    <w:rsid w:val="007801FF"/>
    <w:rsid w:val="00780265"/>
    <w:rsid w:val="007803B2"/>
    <w:rsid w:val="007803E5"/>
    <w:rsid w:val="00780439"/>
    <w:rsid w:val="007804FA"/>
    <w:rsid w:val="00780536"/>
    <w:rsid w:val="00780935"/>
    <w:rsid w:val="00780947"/>
    <w:rsid w:val="0078096A"/>
    <w:rsid w:val="00780A29"/>
    <w:rsid w:val="00780C67"/>
    <w:rsid w:val="00780D4D"/>
    <w:rsid w:val="00780ED7"/>
    <w:rsid w:val="00780F4E"/>
    <w:rsid w:val="0078111E"/>
    <w:rsid w:val="00781206"/>
    <w:rsid w:val="0078120B"/>
    <w:rsid w:val="007812DD"/>
    <w:rsid w:val="00781321"/>
    <w:rsid w:val="007813ED"/>
    <w:rsid w:val="007814AD"/>
    <w:rsid w:val="0078165F"/>
    <w:rsid w:val="00781788"/>
    <w:rsid w:val="0078191C"/>
    <w:rsid w:val="0078195B"/>
    <w:rsid w:val="00781B13"/>
    <w:rsid w:val="00781BE3"/>
    <w:rsid w:val="00781CDC"/>
    <w:rsid w:val="00781E32"/>
    <w:rsid w:val="00781E33"/>
    <w:rsid w:val="00781F33"/>
    <w:rsid w:val="00782019"/>
    <w:rsid w:val="0078204C"/>
    <w:rsid w:val="0078224D"/>
    <w:rsid w:val="00782322"/>
    <w:rsid w:val="007823BB"/>
    <w:rsid w:val="00782618"/>
    <w:rsid w:val="0078299B"/>
    <w:rsid w:val="00782B9A"/>
    <w:rsid w:val="00782BC7"/>
    <w:rsid w:val="00782BF1"/>
    <w:rsid w:val="00782CB5"/>
    <w:rsid w:val="00782E2B"/>
    <w:rsid w:val="00782E54"/>
    <w:rsid w:val="00782E97"/>
    <w:rsid w:val="00782EF5"/>
    <w:rsid w:val="00783004"/>
    <w:rsid w:val="00783164"/>
    <w:rsid w:val="0078320E"/>
    <w:rsid w:val="007833CE"/>
    <w:rsid w:val="00783575"/>
    <w:rsid w:val="00783590"/>
    <w:rsid w:val="007836A3"/>
    <w:rsid w:val="00783738"/>
    <w:rsid w:val="007837C3"/>
    <w:rsid w:val="007839B7"/>
    <w:rsid w:val="00783A9C"/>
    <w:rsid w:val="00783AE3"/>
    <w:rsid w:val="00783B08"/>
    <w:rsid w:val="00783B0E"/>
    <w:rsid w:val="00783B8E"/>
    <w:rsid w:val="00783D29"/>
    <w:rsid w:val="00783F0C"/>
    <w:rsid w:val="00784073"/>
    <w:rsid w:val="007840AF"/>
    <w:rsid w:val="00784220"/>
    <w:rsid w:val="007842D2"/>
    <w:rsid w:val="00784415"/>
    <w:rsid w:val="00784633"/>
    <w:rsid w:val="00784BA7"/>
    <w:rsid w:val="00784DAB"/>
    <w:rsid w:val="00784DC5"/>
    <w:rsid w:val="00784F1A"/>
    <w:rsid w:val="00785017"/>
    <w:rsid w:val="007850A7"/>
    <w:rsid w:val="0078546E"/>
    <w:rsid w:val="0078562D"/>
    <w:rsid w:val="007857C0"/>
    <w:rsid w:val="0078595C"/>
    <w:rsid w:val="007859B6"/>
    <w:rsid w:val="00785A4E"/>
    <w:rsid w:val="00785AAE"/>
    <w:rsid w:val="00785B26"/>
    <w:rsid w:val="00785CC5"/>
    <w:rsid w:val="00786024"/>
    <w:rsid w:val="00786116"/>
    <w:rsid w:val="007861D9"/>
    <w:rsid w:val="00786262"/>
    <w:rsid w:val="0078633A"/>
    <w:rsid w:val="00786440"/>
    <w:rsid w:val="00786456"/>
    <w:rsid w:val="00786505"/>
    <w:rsid w:val="007867C6"/>
    <w:rsid w:val="007867D1"/>
    <w:rsid w:val="00786807"/>
    <w:rsid w:val="00786A12"/>
    <w:rsid w:val="00786C1A"/>
    <w:rsid w:val="00786CEB"/>
    <w:rsid w:val="00786DEF"/>
    <w:rsid w:val="00787055"/>
    <w:rsid w:val="00787057"/>
    <w:rsid w:val="007872A1"/>
    <w:rsid w:val="007875BD"/>
    <w:rsid w:val="007879DA"/>
    <w:rsid w:val="00787B27"/>
    <w:rsid w:val="00787BE1"/>
    <w:rsid w:val="00787C19"/>
    <w:rsid w:val="00787C42"/>
    <w:rsid w:val="00787E45"/>
    <w:rsid w:val="00787F70"/>
    <w:rsid w:val="00787FF8"/>
    <w:rsid w:val="00790032"/>
    <w:rsid w:val="0079005A"/>
    <w:rsid w:val="00790167"/>
    <w:rsid w:val="007906A7"/>
    <w:rsid w:val="007907E3"/>
    <w:rsid w:val="0079084C"/>
    <w:rsid w:val="00790876"/>
    <w:rsid w:val="00790B77"/>
    <w:rsid w:val="00790C53"/>
    <w:rsid w:val="00790CD2"/>
    <w:rsid w:val="00790DCE"/>
    <w:rsid w:val="00790DE2"/>
    <w:rsid w:val="00790FDD"/>
    <w:rsid w:val="007910A7"/>
    <w:rsid w:val="007910F1"/>
    <w:rsid w:val="007911C6"/>
    <w:rsid w:val="007913CB"/>
    <w:rsid w:val="00791418"/>
    <w:rsid w:val="00791449"/>
    <w:rsid w:val="00791534"/>
    <w:rsid w:val="00791639"/>
    <w:rsid w:val="007916F7"/>
    <w:rsid w:val="0079170C"/>
    <w:rsid w:val="0079170E"/>
    <w:rsid w:val="00791810"/>
    <w:rsid w:val="007918E3"/>
    <w:rsid w:val="007919C8"/>
    <w:rsid w:val="00791A0C"/>
    <w:rsid w:val="00791A4E"/>
    <w:rsid w:val="00791A93"/>
    <w:rsid w:val="00791AE9"/>
    <w:rsid w:val="00791BB7"/>
    <w:rsid w:val="00791D28"/>
    <w:rsid w:val="00791E5A"/>
    <w:rsid w:val="00791EA9"/>
    <w:rsid w:val="00791F19"/>
    <w:rsid w:val="007921F0"/>
    <w:rsid w:val="00792289"/>
    <w:rsid w:val="0079245F"/>
    <w:rsid w:val="007924AB"/>
    <w:rsid w:val="0079256C"/>
    <w:rsid w:val="0079272E"/>
    <w:rsid w:val="00792756"/>
    <w:rsid w:val="0079286A"/>
    <w:rsid w:val="00792A64"/>
    <w:rsid w:val="00792A9D"/>
    <w:rsid w:val="00792ABD"/>
    <w:rsid w:val="00792B73"/>
    <w:rsid w:val="00792CC9"/>
    <w:rsid w:val="00792E80"/>
    <w:rsid w:val="00793041"/>
    <w:rsid w:val="007930E3"/>
    <w:rsid w:val="00793478"/>
    <w:rsid w:val="00793481"/>
    <w:rsid w:val="007936D4"/>
    <w:rsid w:val="007937C9"/>
    <w:rsid w:val="0079387F"/>
    <w:rsid w:val="00793920"/>
    <w:rsid w:val="00793A73"/>
    <w:rsid w:val="00793B10"/>
    <w:rsid w:val="00793D32"/>
    <w:rsid w:val="00793D37"/>
    <w:rsid w:val="00793F49"/>
    <w:rsid w:val="00793FE4"/>
    <w:rsid w:val="0079405A"/>
    <w:rsid w:val="00794351"/>
    <w:rsid w:val="00794382"/>
    <w:rsid w:val="00794619"/>
    <w:rsid w:val="00794859"/>
    <w:rsid w:val="007948EB"/>
    <w:rsid w:val="007949C6"/>
    <w:rsid w:val="00794B1F"/>
    <w:rsid w:val="00794CB1"/>
    <w:rsid w:val="00794DA6"/>
    <w:rsid w:val="007951CB"/>
    <w:rsid w:val="007951F8"/>
    <w:rsid w:val="0079521E"/>
    <w:rsid w:val="00795350"/>
    <w:rsid w:val="007954E8"/>
    <w:rsid w:val="00795B3A"/>
    <w:rsid w:val="00795C03"/>
    <w:rsid w:val="00795D59"/>
    <w:rsid w:val="00795DF6"/>
    <w:rsid w:val="00795F05"/>
    <w:rsid w:val="00796146"/>
    <w:rsid w:val="007961CB"/>
    <w:rsid w:val="007963C9"/>
    <w:rsid w:val="00796548"/>
    <w:rsid w:val="0079657A"/>
    <w:rsid w:val="00796798"/>
    <w:rsid w:val="007968CB"/>
    <w:rsid w:val="00796A1D"/>
    <w:rsid w:val="00796A47"/>
    <w:rsid w:val="00796E5C"/>
    <w:rsid w:val="00796FCC"/>
    <w:rsid w:val="0079719D"/>
    <w:rsid w:val="0079769B"/>
    <w:rsid w:val="007977D0"/>
    <w:rsid w:val="007977EF"/>
    <w:rsid w:val="00797865"/>
    <w:rsid w:val="00797888"/>
    <w:rsid w:val="0079790B"/>
    <w:rsid w:val="00797959"/>
    <w:rsid w:val="00797A83"/>
    <w:rsid w:val="00797CB3"/>
    <w:rsid w:val="00797E91"/>
    <w:rsid w:val="007A01EB"/>
    <w:rsid w:val="007A0209"/>
    <w:rsid w:val="007A0345"/>
    <w:rsid w:val="007A03F2"/>
    <w:rsid w:val="007A0522"/>
    <w:rsid w:val="007A05D4"/>
    <w:rsid w:val="007A05FC"/>
    <w:rsid w:val="007A0601"/>
    <w:rsid w:val="007A08B4"/>
    <w:rsid w:val="007A093C"/>
    <w:rsid w:val="007A0960"/>
    <w:rsid w:val="007A0B49"/>
    <w:rsid w:val="007A0D42"/>
    <w:rsid w:val="007A0D64"/>
    <w:rsid w:val="007A0DD9"/>
    <w:rsid w:val="007A0F30"/>
    <w:rsid w:val="007A1072"/>
    <w:rsid w:val="007A1087"/>
    <w:rsid w:val="007A11A5"/>
    <w:rsid w:val="007A11E2"/>
    <w:rsid w:val="007A133D"/>
    <w:rsid w:val="007A13CA"/>
    <w:rsid w:val="007A13CC"/>
    <w:rsid w:val="007A142D"/>
    <w:rsid w:val="007A1479"/>
    <w:rsid w:val="007A1722"/>
    <w:rsid w:val="007A192A"/>
    <w:rsid w:val="007A1938"/>
    <w:rsid w:val="007A1A49"/>
    <w:rsid w:val="007A1A9C"/>
    <w:rsid w:val="007A1C80"/>
    <w:rsid w:val="007A1D76"/>
    <w:rsid w:val="007A1DE3"/>
    <w:rsid w:val="007A203B"/>
    <w:rsid w:val="007A21B9"/>
    <w:rsid w:val="007A21CF"/>
    <w:rsid w:val="007A2390"/>
    <w:rsid w:val="007A2612"/>
    <w:rsid w:val="007A284D"/>
    <w:rsid w:val="007A28F9"/>
    <w:rsid w:val="007A2DB2"/>
    <w:rsid w:val="007A2DBA"/>
    <w:rsid w:val="007A2E19"/>
    <w:rsid w:val="007A305B"/>
    <w:rsid w:val="007A321A"/>
    <w:rsid w:val="007A332B"/>
    <w:rsid w:val="007A36F8"/>
    <w:rsid w:val="007A3764"/>
    <w:rsid w:val="007A382B"/>
    <w:rsid w:val="007A386E"/>
    <w:rsid w:val="007A38BB"/>
    <w:rsid w:val="007A3945"/>
    <w:rsid w:val="007A3959"/>
    <w:rsid w:val="007A39CF"/>
    <w:rsid w:val="007A3C54"/>
    <w:rsid w:val="007A3C88"/>
    <w:rsid w:val="007A3E72"/>
    <w:rsid w:val="007A4059"/>
    <w:rsid w:val="007A40F5"/>
    <w:rsid w:val="007A4367"/>
    <w:rsid w:val="007A4458"/>
    <w:rsid w:val="007A4520"/>
    <w:rsid w:val="007A4544"/>
    <w:rsid w:val="007A45D8"/>
    <w:rsid w:val="007A4611"/>
    <w:rsid w:val="007A4914"/>
    <w:rsid w:val="007A4A7F"/>
    <w:rsid w:val="007A4B6F"/>
    <w:rsid w:val="007A4C87"/>
    <w:rsid w:val="007A4D77"/>
    <w:rsid w:val="007A4DD3"/>
    <w:rsid w:val="007A4EC5"/>
    <w:rsid w:val="007A504B"/>
    <w:rsid w:val="007A5149"/>
    <w:rsid w:val="007A51BB"/>
    <w:rsid w:val="007A52DF"/>
    <w:rsid w:val="007A5447"/>
    <w:rsid w:val="007A5485"/>
    <w:rsid w:val="007A5798"/>
    <w:rsid w:val="007A58EB"/>
    <w:rsid w:val="007A5B14"/>
    <w:rsid w:val="007A5B82"/>
    <w:rsid w:val="007A5B88"/>
    <w:rsid w:val="007A5BA8"/>
    <w:rsid w:val="007A5D88"/>
    <w:rsid w:val="007A603C"/>
    <w:rsid w:val="007A6072"/>
    <w:rsid w:val="007A6436"/>
    <w:rsid w:val="007A66E2"/>
    <w:rsid w:val="007A67EE"/>
    <w:rsid w:val="007A687B"/>
    <w:rsid w:val="007A6928"/>
    <w:rsid w:val="007A6D12"/>
    <w:rsid w:val="007A78BE"/>
    <w:rsid w:val="007A7951"/>
    <w:rsid w:val="007A79E3"/>
    <w:rsid w:val="007A7A40"/>
    <w:rsid w:val="007A7B63"/>
    <w:rsid w:val="007A7DF4"/>
    <w:rsid w:val="007A7FCA"/>
    <w:rsid w:val="007A7FEF"/>
    <w:rsid w:val="007B0069"/>
    <w:rsid w:val="007B00E8"/>
    <w:rsid w:val="007B012F"/>
    <w:rsid w:val="007B0132"/>
    <w:rsid w:val="007B01AC"/>
    <w:rsid w:val="007B0322"/>
    <w:rsid w:val="007B0428"/>
    <w:rsid w:val="007B043A"/>
    <w:rsid w:val="007B0458"/>
    <w:rsid w:val="007B0740"/>
    <w:rsid w:val="007B08C7"/>
    <w:rsid w:val="007B08E9"/>
    <w:rsid w:val="007B093E"/>
    <w:rsid w:val="007B09FC"/>
    <w:rsid w:val="007B0AE2"/>
    <w:rsid w:val="007B0ED8"/>
    <w:rsid w:val="007B13B1"/>
    <w:rsid w:val="007B13D3"/>
    <w:rsid w:val="007B1421"/>
    <w:rsid w:val="007B1432"/>
    <w:rsid w:val="007B1476"/>
    <w:rsid w:val="007B1482"/>
    <w:rsid w:val="007B1660"/>
    <w:rsid w:val="007B16B1"/>
    <w:rsid w:val="007B1737"/>
    <w:rsid w:val="007B1864"/>
    <w:rsid w:val="007B1869"/>
    <w:rsid w:val="007B18E9"/>
    <w:rsid w:val="007B1A69"/>
    <w:rsid w:val="007B1B73"/>
    <w:rsid w:val="007B1BAF"/>
    <w:rsid w:val="007B1C8E"/>
    <w:rsid w:val="007B1D6C"/>
    <w:rsid w:val="007B1D80"/>
    <w:rsid w:val="007B1D8D"/>
    <w:rsid w:val="007B1DC1"/>
    <w:rsid w:val="007B1E13"/>
    <w:rsid w:val="007B1EB0"/>
    <w:rsid w:val="007B221C"/>
    <w:rsid w:val="007B23C9"/>
    <w:rsid w:val="007B2915"/>
    <w:rsid w:val="007B2A35"/>
    <w:rsid w:val="007B2F16"/>
    <w:rsid w:val="007B3048"/>
    <w:rsid w:val="007B30D2"/>
    <w:rsid w:val="007B3130"/>
    <w:rsid w:val="007B3231"/>
    <w:rsid w:val="007B3344"/>
    <w:rsid w:val="007B33AF"/>
    <w:rsid w:val="007B3DEF"/>
    <w:rsid w:val="007B3EA6"/>
    <w:rsid w:val="007B3FB4"/>
    <w:rsid w:val="007B3FCD"/>
    <w:rsid w:val="007B435A"/>
    <w:rsid w:val="007B43D1"/>
    <w:rsid w:val="007B4789"/>
    <w:rsid w:val="007B49B2"/>
    <w:rsid w:val="007B49D5"/>
    <w:rsid w:val="007B49FA"/>
    <w:rsid w:val="007B4A1C"/>
    <w:rsid w:val="007B4BB1"/>
    <w:rsid w:val="007B4C26"/>
    <w:rsid w:val="007B4D46"/>
    <w:rsid w:val="007B4F78"/>
    <w:rsid w:val="007B51BE"/>
    <w:rsid w:val="007B5213"/>
    <w:rsid w:val="007B5276"/>
    <w:rsid w:val="007B5325"/>
    <w:rsid w:val="007B5625"/>
    <w:rsid w:val="007B5912"/>
    <w:rsid w:val="007B595E"/>
    <w:rsid w:val="007B5A13"/>
    <w:rsid w:val="007B5B60"/>
    <w:rsid w:val="007B5BAE"/>
    <w:rsid w:val="007B5BB6"/>
    <w:rsid w:val="007B5BF9"/>
    <w:rsid w:val="007B5EA4"/>
    <w:rsid w:val="007B6197"/>
    <w:rsid w:val="007B6408"/>
    <w:rsid w:val="007B6426"/>
    <w:rsid w:val="007B6835"/>
    <w:rsid w:val="007B6880"/>
    <w:rsid w:val="007B6A3A"/>
    <w:rsid w:val="007B6B41"/>
    <w:rsid w:val="007B6BE8"/>
    <w:rsid w:val="007B6C2B"/>
    <w:rsid w:val="007B6D15"/>
    <w:rsid w:val="007B6D17"/>
    <w:rsid w:val="007B6D76"/>
    <w:rsid w:val="007B6D8F"/>
    <w:rsid w:val="007B6E03"/>
    <w:rsid w:val="007B722A"/>
    <w:rsid w:val="007B73C0"/>
    <w:rsid w:val="007B7542"/>
    <w:rsid w:val="007B775C"/>
    <w:rsid w:val="007B783D"/>
    <w:rsid w:val="007B787E"/>
    <w:rsid w:val="007B7A16"/>
    <w:rsid w:val="007B7A1D"/>
    <w:rsid w:val="007B7AB3"/>
    <w:rsid w:val="007B7B63"/>
    <w:rsid w:val="007B7C1D"/>
    <w:rsid w:val="007B7E2D"/>
    <w:rsid w:val="007B7E99"/>
    <w:rsid w:val="007B7F34"/>
    <w:rsid w:val="007C004E"/>
    <w:rsid w:val="007C0197"/>
    <w:rsid w:val="007C02B9"/>
    <w:rsid w:val="007C0402"/>
    <w:rsid w:val="007C0418"/>
    <w:rsid w:val="007C04D5"/>
    <w:rsid w:val="007C07FE"/>
    <w:rsid w:val="007C0A80"/>
    <w:rsid w:val="007C0AEC"/>
    <w:rsid w:val="007C0C50"/>
    <w:rsid w:val="007C0E7E"/>
    <w:rsid w:val="007C0F68"/>
    <w:rsid w:val="007C111E"/>
    <w:rsid w:val="007C11FA"/>
    <w:rsid w:val="007C1206"/>
    <w:rsid w:val="007C1385"/>
    <w:rsid w:val="007C13B7"/>
    <w:rsid w:val="007C148A"/>
    <w:rsid w:val="007C1499"/>
    <w:rsid w:val="007C1522"/>
    <w:rsid w:val="007C16EF"/>
    <w:rsid w:val="007C18FA"/>
    <w:rsid w:val="007C194C"/>
    <w:rsid w:val="007C1958"/>
    <w:rsid w:val="007C19DE"/>
    <w:rsid w:val="007C19E2"/>
    <w:rsid w:val="007C1A97"/>
    <w:rsid w:val="007C1C7A"/>
    <w:rsid w:val="007C23CB"/>
    <w:rsid w:val="007C2410"/>
    <w:rsid w:val="007C257D"/>
    <w:rsid w:val="007C25A9"/>
    <w:rsid w:val="007C27A6"/>
    <w:rsid w:val="007C27DC"/>
    <w:rsid w:val="007C282C"/>
    <w:rsid w:val="007C2834"/>
    <w:rsid w:val="007C2847"/>
    <w:rsid w:val="007C284D"/>
    <w:rsid w:val="007C294A"/>
    <w:rsid w:val="007C29D5"/>
    <w:rsid w:val="007C2A83"/>
    <w:rsid w:val="007C2A8E"/>
    <w:rsid w:val="007C2BDF"/>
    <w:rsid w:val="007C2F13"/>
    <w:rsid w:val="007C30CF"/>
    <w:rsid w:val="007C30F6"/>
    <w:rsid w:val="007C320D"/>
    <w:rsid w:val="007C322D"/>
    <w:rsid w:val="007C3234"/>
    <w:rsid w:val="007C33C5"/>
    <w:rsid w:val="007C344D"/>
    <w:rsid w:val="007C34F4"/>
    <w:rsid w:val="007C35F2"/>
    <w:rsid w:val="007C3633"/>
    <w:rsid w:val="007C3641"/>
    <w:rsid w:val="007C39D8"/>
    <w:rsid w:val="007C3A99"/>
    <w:rsid w:val="007C3AA1"/>
    <w:rsid w:val="007C3B0C"/>
    <w:rsid w:val="007C3C28"/>
    <w:rsid w:val="007C3C80"/>
    <w:rsid w:val="007C3ECF"/>
    <w:rsid w:val="007C3F64"/>
    <w:rsid w:val="007C4280"/>
    <w:rsid w:val="007C46AA"/>
    <w:rsid w:val="007C4842"/>
    <w:rsid w:val="007C48C3"/>
    <w:rsid w:val="007C48F5"/>
    <w:rsid w:val="007C496C"/>
    <w:rsid w:val="007C4B30"/>
    <w:rsid w:val="007C4C4D"/>
    <w:rsid w:val="007C4C6F"/>
    <w:rsid w:val="007C4CCD"/>
    <w:rsid w:val="007C4E1A"/>
    <w:rsid w:val="007C4F63"/>
    <w:rsid w:val="007C5034"/>
    <w:rsid w:val="007C5049"/>
    <w:rsid w:val="007C508F"/>
    <w:rsid w:val="007C523B"/>
    <w:rsid w:val="007C5424"/>
    <w:rsid w:val="007C54B2"/>
    <w:rsid w:val="007C5636"/>
    <w:rsid w:val="007C576C"/>
    <w:rsid w:val="007C585C"/>
    <w:rsid w:val="007C5882"/>
    <w:rsid w:val="007C5B02"/>
    <w:rsid w:val="007C5B1F"/>
    <w:rsid w:val="007C5C73"/>
    <w:rsid w:val="007C5D2B"/>
    <w:rsid w:val="007C5D3E"/>
    <w:rsid w:val="007C5D72"/>
    <w:rsid w:val="007C5D9A"/>
    <w:rsid w:val="007C5F3E"/>
    <w:rsid w:val="007C602F"/>
    <w:rsid w:val="007C60B9"/>
    <w:rsid w:val="007C62CE"/>
    <w:rsid w:val="007C6519"/>
    <w:rsid w:val="007C6590"/>
    <w:rsid w:val="007C65AB"/>
    <w:rsid w:val="007C6689"/>
    <w:rsid w:val="007C66F3"/>
    <w:rsid w:val="007C685A"/>
    <w:rsid w:val="007C68DB"/>
    <w:rsid w:val="007C68E6"/>
    <w:rsid w:val="007C6960"/>
    <w:rsid w:val="007C6984"/>
    <w:rsid w:val="007C6CE7"/>
    <w:rsid w:val="007C6D26"/>
    <w:rsid w:val="007C6D27"/>
    <w:rsid w:val="007C6DA6"/>
    <w:rsid w:val="007C6DB4"/>
    <w:rsid w:val="007C6E16"/>
    <w:rsid w:val="007C6EC2"/>
    <w:rsid w:val="007C6F15"/>
    <w:rsid w:val="007C6F16"/>
    <w:rsid w:val="007C71FA"/>
    <w:rsid w:val="007C735D"/>
    <w:rsid w:val="007C7445"/>
    <w:rsid w:val="007C7617"/>
    <w:rsid w:val="007C770A"/>
    <w:rsid w:val="007C7728"/>
    <w:rsid w:val="007C78BA"/>
    <w:rsid w:val="007C796B"/>
    <w:rsid w:val="007C7BB5"/>
    <w:rsid w:val="007C7BBE"/>
    <w:rsid w:val="007C7BE0"/>
    <w:rsid w:val="007C7D33"/>
    <w:rsid w:val="007C7D4E"/>
    <w:rsid w:val="007C7DBF"/>
    <w:rsid w:val="007C7DD0"/>
    <w:rsid w:val="007C7E05"/>
    <w:rsid w:val="007C7E67"/>
    <w:rsid w:val="007C7EAC"/>
    <w:rsid w:val="007C7F24"/>
    <w:rsid w:val="007D022E"/>
    <w:rsid w:val="007D035D"/>
    <w:rsid w:val="007D037A"/>
    <w:rsid w:val="007D051D"/>
    <w:rsid w:val="007D052E"/>
    <w:rsid w:val="007D0547"/>
    <w:rsid w:val="007D05A9"/>
    <w:rsid w:val="007D05B4"/>
    <w:rsid w:val="007D0722"/>
    <w:rsid w:val="007D07A8"/>
    <w:rsid w:val="007D0844"/>
    <w:rsid w:val="007D08DB"/>
    <w:rsid w:val="007D0B54"/>
    <w:rsid w:val="007D0C3E"/>
    <w:rsid w:val="007D0CED"/>
    <w:rsid w:val="007D0F74"/>
    <w:rsid w:val="007D116E"/>
    <w:rsid w:val="007D119D"/>
    <w:rsid w:val="007D127C"/>
    <w:rsid w:val="007D1512"/>
    <w:rsid w:val="007D162E"/>
    <w:rsid w:val="007D16D0"/>
    <w:rsid w:val="007D176B"/>
    <w:rsid w:val="007D1937"/>
    <w:rsid w:val="007D1B5E"/>
    <w:rsid w:val="007D1B6C"/>
    <w:rsid w:val="007D1BAF"/>
    <w:rsid w:val="007D2041"/>
    <w:rsid w:val="007D221D"/>
    <w:rsid w:val="007D247F"/>
    <w:rsid w:val="007D252C"/>
    <w:rsid w:val="007D2669"/>
    <w:rsid w:val="007D268D"/>
    <w:rsid w:val="007D271E"/>
    <w:rsid w:val="007D28DC"/>
    <w:rsid w:val="007D294C"/>
    <w:rsid w:val="007D298C"/>
    <w:rsid w:val="007D2A4B"/>
    <w:rsid w:val="007D2B8C"/>
    <w:rsid w:val="007D2BE6"/>
    <w:rsid w:val="007D2DED"/>
    <w:rsid w:val="007D2E52"/>
    <w:rsid w:val="007D2F4F"/>
    <w:rsid w:val="007D319E"/>
    <w:rsid w:val="007D32DE"/>
    <w:rsid w:val="007D35CC"/>
    <w:rsid w:val="007D3651"/>
    <w:rsid w:val="007D37A8"/>
    <w:rsid w:val="007D383E"/>
    <w:rsid w:val="007D38A6"/>
    <w:rsid w:val="007D38CA"/>
    <w:rsid w:val="007D38F5"/>
    <w:rsid w:val="007D3A5F"/>
    <w:rsid w:val="007D3BB4"/>
    <w:rsid w:val="007D3C92"/>
    <w:rsid w:val="007D3DFA"/>
    <w:rsid w:val="007D3E28"/>
    <w:rsid w:val="007D40EC"/>
    <w:rsid w:val="007D4397"/>
    <w:rsid w:val="007D43DE"/>
    <w:rsid w:val="007D44F4"/>
    <w:rsid w:val="007D451A"/>
    <w:rsid w:val="007D4697"/>
    <w:rsid w:val="007D477A"/>
    <w:rsid w:val="007D47EB"/>
    <w:rsid w:val="007D4AE9"/>
    <w:rsid w:val="007D4BB6"/>
    <w:rsid w:val="007D4E6F"/>
    <w:rsid w:val="007D4ED5"/>
    <w:rsid w:val="007D4F03"/>
    <w:rsid w:val="007D5054"/>
    <w:rsid w:val="007D53D1"/>
    <w:rsid w:val="007D55F7"/>
    <w:rsid w:val="007D56A6"/>
    <w:rsid w:val="007D5793"/>
    <w:rsid w:val="007D5A40"/>
    <w:rsid w:val="007D5C15"/>
    <w:rsid w:val="007D5D69"/>
    <w:rsid w:val="007D5DDD"/>
    <w:rsid w:val="007D5E89"/>
    <w:rsid w:val="007D6162"/>
    <w:rsid w:val="007D6164"/>
    <w:rsid w:val="007D61C7"/>
    <w:rsid w:val="007D62CB"/>
    <w:rsid w:val="007D642E"/>
    <w:rsid w:val="007D64A8"/>
    <w:rsid w:val="007D652B"/>
    <w:rsid w:val="007D6595"/>
    <w:rsid w:val="007D65CE"/>
    <w:rsid w:val="007D662D"/>
    <w:rsid w:val="007D6781"/>
    <w:rsid w:val="007D69E7"/>
    <w:rsid w:val="007D6B79"/>
    <w:rsid w:val="007D6CAF"/>
    <w:rsid w:val="007D6CB6"/>
    <w:rsid w:val="007D6EA6"/>
    <w:rsid w:val="007D6F14"/>
    <w:rsid w:val="007D70F9"/>
    <w:rsid w:val="007D714E"/>
    <w:rsid w:val="007D72A4"/>
    <w:rsid w:val="007D734A"/>
    <w:rsid w:val="007D73EE"/>
    <w:rsid w:val="007D780A"/>
    <w:rsid w:val="007D789D"/>
    <w:rsid w:val="007D78D2"/>
    <w:rsid w:val="007D7948"/>
    <w:rsid w:val="007D79BC"/>
    <w:rsid w:val="007D7B4D"/>
    <w:rsid w:val="007D7B77"/>
    <w:rsid w:val="007D7BA1"/>
    <w:rsid w:val="007D7D52"/>
    <w:rsid w:val="007D7DD1"/>
    <w:rsid w:val="007D7EA4"/>
    <w:rsid w:val="007E0053"/>
    <w:rsid w:val="007E0055"/>
    <w:rsid w:val="007E04B5"/>
    <w:rsid w:val="007E0744"/>
    <w:rsid w:val="007E07A3"/>
    <w:rsid w:val="007E07E4"/>
    <w:rsid w:val="007E07F7"/>
    <w:rsid w:val="007E092F"/>
    <w:rsid w:val="007E0A60"/>
    <w:rsid w:val="007E0A63"/>
    <w:rsid w:val="007E0B78"/>
    <w:rsid w:val="007E0C4F"/>
    <w:rsid w:val="007E0C8E"/>
    <w:rsid w:val="007E0ED1"/>
    <w:rsid w:val="007E0F1E"/>
    <w:rsid w:val="007E1198"/>
    <w:rsid w:val="007E12A1"/>
    <w:rsid w:val="007E12C4"/>
    <w:rsid w:val="007E1580"/>
    <w:rsid w:val="007E166E"/>
    <w:rsid w:val="007E17B5"/>
    <w:rsid w:val="007E187A"/>
    <w:rsid w:val="007E1920"/>
    <w:rsid w:val="007E1ABC"/>
    <w:rsid w:val="007E1ACF"/>
    <w:rsid w:val="007E1B05"/>
    <w:rsid w:val="007E1C08"/>
    <w:rsid w:val="007E1CE3"/>
    <w:rsid w:val="007E1E63"/>
    <w:rsid w:val="007E1EB2"/>
    <w:rsid w:val="007E2295"/>
    <w:rsid w:val="007E230B"/>
    <w:rsid w:val="007E2474"/>
    <w:rsid w:val="007E2488"/>
    <w:rsid w:val="007E250A"/>
    <w:rsid w:val="007E2681"/>
    <w:rsid w:val="007E27BA"/>
    <w:rsid w:val="007E2866"/>
    <w:rsid w:val="007E2944"/>
    <w:rsid w:val="007E29AB"/>
    <w:rsid w:val="007E2E6C"/>
    <w:rsid w:val="007E2FA4"/>
    <w:rsid w:val="007E2FDF"/>
    <w:rsid w:val="007E31F9"/>
    <w:rsid w:val="007E32FF"/>
    <w:rsid w:val="007E3307"/>
    <w:rsid w:val="007E335C"/>
    <w:rsid w:val="007E359A"/>
    <w:rsid w:val="007E3661"/>
    <w:rsid w:val="007E36FB"/>
    <w:rsid w:val="007E371E"/>
    <w:rsid w:val="007E37C7"/>
    <w:rsid w:val="007E39A1"/>
    <w:rsid w:val="007E3A0F"/>
    <w:rsid w:val="007E3A7A"/>
    <w:rsid w:val="007E3A9E"/>
    <w:rsid w:val="007E3C8C"/>
    <w:rsid w:val="007E3E1E"/>
    <w:rsid w:val="007E3F81"/>
    <w:rsid w:val="007E4068"/>
    <w:rsid w:val="007E427A"/>
    <w:rsid w:val="007E4421"/>
    <w:rsid w:val="007E44C2"/>
    <w:rsid w:val="007E4658"/>
    <w:rsid w:val="007E4677"/>
    <w:rsid w:val="007E495D"/>
    <w:rsid w:val="007E49DD"/>
    <w:rsid w:val="007E49F5"/>
    <w:rsid w:val="007E4B2D"/>
    <w:rsid w:val="007E4D05"/>
    <w:rsid w:val="007E4E49"/>
    <w:rsid w:val="007E4EE2"/>
    <w:rsid w:val="007E507B"/>
    <w:rsid w:val="007E51D2"/>
    <w:rsid w:val="007E5210"/>
    <w:rsid w:val="007E52D0"/>
    <w:rsid w:val="007E53F9"/>
    <w:rsid w:val="007E568A"/>
    <w:rsid w:val="007E57BE"/>
    <w:rsid w:val="007E59C5"/>
    <w:rsid w:val="007E59FB"/>
    <w:rsid w:val="007E5CEC"/>
    <w:rsid w:val="007E5DE3"/>
    <w:rsid w:val="007E5EEF"/>
    <w:rsid w:val="007E5F20"/>
    <w:rsid w:val="007E601C"/>
    <w:rsid w:val="007E624E"/>
    <w:rsid w:val="007E62B4"/>
    <w:rsid w:val="007E645F"/>
    <w:rsid w:val="007E6790"/>
    <w:rsid w:val="007E6893"/>
    <w:rsid w:val="007E69E5"/>
    <w:rsid w:val="007E6AE6"/>
    <w:rsid w:val="007E6B33"/>
    <w:rsid w:val="007E7109"/>
    <w:rsid w:val="007E719E"/>
    <w:rsid w:val="007E7441"/>
    <w:rsid w:val="007E7483"/>
    <w:rsid w:val="007E7547"/>
    <w:rsid w:val="007E760E"/>
    <w:rsid w:val="007E7746"/>
    <w:rsid w:val="007E78DC"/>
    <w:rsid w:val="007E78FC"/>
    <w:rsid w:val="007E79BF"/>
    <w:rsid w:val="007E7A4F"/>
    <w:rsid w:val="007E7C4E"/>
    <w:rsid w:val="007E7C8F"/>
    <w:rsid w:val="007F008F"/>
    <w:rsid w:val="007F00D9"/>
    <w:rsid w:val="007F0273"/>
    <w:rsid w:val="007F02E0"/>
    <w:rsid w:val="007F06FE"/>
    <w:rsid w:val="007F07A9"/>
    <w:rsid w:val="007F0CA4"/>
    <w:rsid w:val="007F0D3E"/>
    <w:rsid w:val="007F0E6B"/>
    <w:rsid w:val="007F0EB3"/>
    <w:rsid w:val="007F0EBD"/>
    <w:rsid w:val="007F126A"/>
    <w:rsid w:val="007F12B4"/>
    <w:rsid w:val="007F13A4"/>
    <w:rsid w:val="007F141E"/>
    <w:rsid w:val="007F1424"/>
    <w:rsid w:val="007F156B"/>
    <w:rsid w:val="007F158D"/>
    <w:rsid w:val="007F178E"/>
    <w:rsid w:val="007F1AFE"/>
    <w:rsid w:val="007F1B84"/>
    <w:rsid w:val="007F1F39"/>
    <w:rsid w:val="007F20DC"/>
    <w:rsid w:val="007F21E8"/>
    <w:rsid w:val="007F25E8"/>
    <w:rsid w:val="007F260C"/>
    <w:rsid w:val="007F2677"/>
    <w:rsid w:val="007F2969"/>
    <w:rsid w:val="007F29DF"/>
    <w:rsid w:val="007F2AFD"/>
    <w:rsid w:val="007F2B98"/>
    <w:rsid w:val="007F2C14"/>
    <w:rsid w:val="007F2C1B"/>
    <w:rsid w:val="007F2CFF"/>
    <w:rsid w:val="007F2D23"/>
    <w:rsid w:val="007F2DD5"/>
    <w:rsid w:val="007F2F96"/>
    <w:rsid w:val="007F3047"/>
    <w:rsid w:val="007F304C"/>
    <w:rsid w:val="007F3052"/>
    <w:rsid w:val="007F3099"/>
    <w:rsid w:val="007F3653"/>
    <w:rsid w:val="007F36D0"/>
    <w:rsid w:val="007F37D9"/>
    <w:rsid w:val="007F37E4"/>
    <w:rsid w:val="007F38BF"/>
    <w:rsid w:val="007F3A05"/>
    <w:rsid w:val="007F3A56"/>
    <w:rsid w:val="007F3C52"/>
    <w:rsid w:val="007F3FD1"/>
    <w:rsid w:val="007F4152"/>
    <w:rsid w:val="007F42D7"/>
    <w:rsid w:val="007F42F9"/>
    <w:rsid w:val="007F4446"/>
    <w:rsid w:val="007F4449"/>
    <w:rsid w:val="007F4450"/>
    <w:rsid w:val="007F44BE"/>
    <w:rsid w:val="007F460A"/>
    <w:rsid w:val="007F4670"/>
    <w:rsid w:val="007F467A"/>
    <w:rsid w:val="007F479F"/>
    <w:rsid w:val="007F48C4"/>
    <w:rsid w:val="007F4918"/>
    <w:rsid w:val="007F4A1F"/>
    <w:rsid w:val="007F4AED"/>
    <w:rsid w:val="007F4DB2"/>
    <w:rsid w:val="007F4E59"/>
    <w:rsid w:val="007F4E5C"/>
    <w:rsid w:val="007F4EC0"/>
    <w:rsid w:val="007F50BE"/>
    <w:rsid w:val="007F50DD"/>
    <w:rsid w:val="007F5391"/>
    <w:rsid w:val="007F53A8"/>
    <w:rsid w:val="007F53BA"/>
    <w:rsid w:val="007F562A"/>
    <w:rsid w:val="007F580E"/>
    <w:rsid w:val="007F583C"/>
    <w:rsid w:val="007F58B8"/>
    <w:rsid w:val="007F58E7"/>
    <w:rsid w:val="007F59DC"/>
    <w:rsid w:val="007F5BB3"/>
    <w:rsid w:val="007F5D2E"/>
    <w:rsid w:val="007F627C"/>
    <w:rsid w:val="007F63E9"/>
    <w:rsid w:val="007F65AC"/>
    <w:rsid w:val="007F677F"/>
    <w:rsid w:val="007F6824"/>
    <w:rsid w:val="007F68FA"/>
    <w:rsid w:val="007F69C2"/>
    <w:rsid w:val="007F6C81"/>
    <w:rsid w:val="007F6D58"/>
    <w:rsid w:val="007F6EF2"/>
    <w:rsid w:val="007F6FD1"/>
    <w:rsid w:val="007F6FDF"/>
    <w:rsid w:val="007F7033"/>
    <w:rsid w:val="007F70B5"/>
    <w:rsid w:val="007F7153"/>
    <w:rsid w:val="007F72CB"/>
    <w:rsid w:val="007F72F2"/>
    <w:rsid w:val="007F73CF"/>
    <w:rsid w:val="007F7432"/>
    <w:rsid w:val="007F7457"/>
    <w:rsid w:val="007F745C"/>
    <w:rsid w:val="007F75B8"/>
    <w:rsid w:val="007F7628"/>
    <w:rsid w:val="007F766F"/>
    <w:rsid w:val="007F76B0"/>
    <w:rsid w:val="007F76B3"/>
    <w:rsid w:val="007F779B"/>
    <w:rsid w:val="007F77C2"/>
    <w:rsid w:val="007F7847"/>
    <w:rsid w:val="007F78AD"/>
    <w:rsid w:val="007F79F7"/>
    <w:rsid w:val="007F7A8B"/>
    <w:rsid w:val="007F7EE8"/>
    <w:rsid w:val="007F7F97"/>
    <w:rsid w:val="008001CD"/>
    <w:rsid w:val="008005D5"/>
    <w:rsid w:val="00800738"/>
    <w:rsid w:val="00800797"/>
    <w:rsid w:val="00800930"/>
    <w:rsid w:val="00800CCB"/>
    <w:rsid w:val="00800CF3"/>
    <w:rsid w:val="00800E62"/>
    <w:rsid w:val="00800EE6"/>
    <w:rsid w:val="00800FB8"/>
    <w:rsid w:val="008010B5"/>
    <w:rsid w:val="008010DF"/>
    <w:rsid w:val="008013E8"/>
    <w:rsid w:val="00801474"/>
    <w:rsid w:val="008015D7"/>
    <w:rsid w:val="008015DF"/>
    <w:rsid w:val="008016B9"/>
    <w:rsid w:val="0080174A"/>
    <w:rsid w:val="00801944"/>
    <w:rsid w:val="00801A8A"/>
    <w:rsid w:val="00801B6F"/>
    <w:rsid w:val="00801C22"/>
    <w:rsid w:val="00801DF0"/>
    <w:rsid w:val="00801DF4"/>
    <w:rsid w:val="00802056"/>
    <w:rsid w:val="0080224E"/>
    <w:rsid w:val="008024C3"/>
    <w:rsid w:val="0080257F"/>
    <w:rsid w:val="008026DD"/>
    <w:rsid w:val="0080272B"/>
    <w:rsid w:val="008028C9"/>
    <w:rsid w:val="008029F0"/>
    <w:rsid w:val="00802B86"/>
    <w:rsid w:val="00802DFB"/>
    <w:rsid w:val="00802E1F"/>
    <w:rsid w:val="00802F5F"/>
    <w:rsid w:val="008030F2"/>
    <w:rsid w:val="008031F0"/>
    <w:rsid w:val="00803224"/>
    <w:rsid w:val="008033C1"/>
    <w:rsid w:val="008035E9"/>
    <w:rsid w:val="00803651"/>
    <w:rsid w:val="00803679"/>
    <w:rsid w:val="0080369B"/>
    <w:rsid w:val="008036AC"/>
    <w:rsid w:val="0080388D"/>
    <w:rsid w:val="008039AC"/>
    <w:rsid w:val="00803A02"/>
    <w:rsid w:val="00803B31"/>
    <w:rsid w:val="00803B54"/>
    <w:rsid w:val="00803B6B"/>
    <w:rsid w:val="00803C3D"/>
    <w:rsid w:val="00803CA7"/>
    <w:rsid w:val="00803F05"/>
    <w:rsid w:val="00804050"/>
    <w:rsid w:val="00804070"/>
    <w:rsid w:val="00804145"/>
    <w:rsid w:val="008041E0"/>
    <w:rsid w:val="008041F3"/>
    <w:rsid w:val="0080431F"/>
    <w:rsid w:val="00804481"/>
    <w:rsid w:val="008049A1"/>
    <w:rsid w:val="00804C16"/>
    <w:rsid w:val="00804C8D"/>
    <w:rsid w:val="00804DF2"/>
    <w:rsid w:val="00805039"/>
    <w:rsid w:val="0080543E"/>
    <w:rsid w:val="008055B4"/>
    <w:rsid w:val="0080565F"/>
    <w:rsid w:val="00805744"/>
    <w:rsid w:val="00805777"/>
    <w:rsid w:val="008057D8"/>
    <w:rsid w:val="008058B8"/>
    <w:rsid w:val="008058C9"/>
    <w:rsid w:val="0080593F"/>
    <w:rsid w:val="00805AFE"/>
    <w:rsid w:val="00805C28"/>
    <w:rsid w:val="00805C4D"/>
    <w:rsid w:val="00805CCB"/>
    <w:rsid w:val="00805EF5"/>
    <w:rsid w:val="00806347"/>
    <w:rsid w:val="008063F1"/>
    <w:rsid w:val="00806433"/>
    <w:rsid w:val="008064B7"/>
    <w:rsid w:val="0080657E"/>
    <w:rsid w:val="00806643"/>
    <w:rsid w:val="00806657"/>
    <w:rsid w:val="008067AE"/>
    <w:rsid w:val="008068BD"/>
    <w:rsid w:val="00806911"/>
    <w:rsid w:val="0080696A"/>
    <w:rsid w:val="00806EA0"/>
    <w:rsid w:val="00806F6E"/>
    <w:rsid w:val="00807074"/>
    <w:rsid w:val="00807101"/>
    <w:rsid w:val="00807253"/>
    <w:rsid w:val="008072AB"/>
    <w:rsid w:val="008073A8"/>
    <w:rsid w:val="0080754A"/>
    <w:rsid w:val="0080759F"/>
    <w:rsid w:val="00807730"/>
    <w:rsid w:val="0080778D"/>
    <w:rsid w:val="00807C16"/>
    <w:rsid w:val="00807DB0"/>
    <w:rsid w:val="00807F5A"/>
    <w:rsid w:val="00810161"/>
    <w:rsid w:val="008101F4"/>
    <w:rsid w:val="008102D4"/>
    <w:rsid w:val="008106EA"/>
    <w:rsid w:val="0081089E"/>
    <w:rsid w:val="00810A12"/>
    <w:rsid w:val="00810A51"/>
    <w:rsid w:val="00810AA9"/>
    <w:rsid w:val="00810B50"/>
    <w:rsid w:val="00810C73"/>
    <w:rsid w:val="00810CDE"/>
    <w:rsid w:val="00810D38"/>
    <w:rsid w:val="00810D4C"/>
    <w:rsid w:val="00810DB4"/>
    <w:rsid w:val="00810E4B"/>
    <w:rsid w:val="008110A4"/>
    <w:rsid w:val="008111A2"/>
    <w:rsid w:val="008111CA"/>
    <w:rsid w:val="008112B1"/>
    <w:rsid w:val="0081160F"/>
    <w:rsid w:val="008116B9"/>
    <w:rsid w:val="008116FA"/>
    <w:rsid w:val="00811754"/>
    <w:rsid w:val="008118B2"/>
    <w:rsid w:val="008118CB"/>
    <w:rsid w:val="00811AA4"/>
    <w:rsid w:val="00811C89"/>
    <w:rsid w:val="00811F03"/>
    <w:rsid w:val="008122F2"/>
    <w:rsid w:val="008123DD"/>
    <w:rsid w:val="00812803"/>
    <w:rsid w:val="00812815"/>
    <w:rsid w:val="008128E2"/>
    <w:rsid w:val="008129D4"/>
    <w:rsid w:val="00812C4F"/>
    <w:rsid w:val="00812CB4"/>
    <w:rsid w:val="00813049"/>
    <w:rsid w:val="0081320E"/>
    <w:rsid w:val="00813324"/>
    <w:rsid w:val="00813415"/>
    <w:rsid w:val="0081347A"/>
    <w:rsid w:val="00813485"/>
    <w:rsid w:val="008136BC"/>
    <w:rsid w:val="008136F8"/>
    <w:rsid w:val="00813898"/>
    <w:rsid w:val="00813F50"/>
    <w:rsid w:val="00813FCD"/>
    <w:rsid w:val="0081404D"/>
    <w:rsid w:val="008141EB"/>
    <w:rsid w:val="008142BE"/>
    <w:rsid w:val="008144E5"/>
    <w:rsid w:val="00814574"/>
    <w:rsid w:val="008148CD"/>
    <w:rsid w:val="00814918"/>
    <w:rsid w:val="00814928"/>
    <w:rsid w:val="00814C41"/>
    <w:rsid w:val="00814C6D"/>
    <w:rsid w:val="00814EA9"/>
    <w:rsid w:val="008150D6"/>
    <w:rsid w:val="008152EB"/>
    <w:rsid w:val="008153CD"/>
    <w:rsid w:val="00815413"/>
    <w:rsid w:val="0081554C"/>
    <w:rsid w:val="008155E6"/>
    <w:rsid w:val="0081561F"/>
    <w:rsid w:val="00815716"/>
    <w:rsid w:val="00815DE7"/>
    <w:rsid w:val="00815E01"/>
    <w:rsid w:val="00815E10"/>
    <w:rsid w:val="00815ED3"/>
    <w:rsid w:val="00815F6E"/>
    <w:rsid w:val="008161D8"/>
    <w:rsid w:val="00816205"/>
    <w:rsid w:val="00816362"/>
    <w:rsid w:val="008163E7"/>
    <w:rsid w:val="008163FD"/>
    <w:rsid w:val="00816487"/>
    <w:rsid w:val="008164F0"/>
    <w:rsid w:val="00816874"/>
    <w:rsid w:val="00816876"/>
    <w:rsid w:val="008168C4"/>
    <w:rsid w:val="00816914"/>
    <w:rsid w:val="00816A4B"/>
    <w:rsid w:val="00816B7C"/>
    <w:rsid w:val="00816BE2"/>
    <w:rsid w:val="00816D8E"/>
    <w:rsid w:val="00816E11"/>
    <w:rsid w:val="00816F68"/>
    <w:rsid w:val="00816FE5"/>
    <w:rsid w:val="00817052"/>
    <w:rsid w:val="0081732B"/>
    <w:rsid w:val="0081778C"/>
    <w:rsid w:val="008177FF"/>
    <w:rsid w:val="00817C7B"/>
    <w:rsid w:val="00817CB2"/>
    <w:rsid w:val="00817D07"/>
    <w:rsid w:val="00817E68"/>
    <w:rsid w:val="00817F38"/>
    <w:rsid w:val="008200D0"/>
    <w:rsid w:val="0082016F"/>
    <w:rsid w:val="0082023B"/>
    <w:rsid w:val="0082031D"/>
    <w:rsid w:val="00820344"/>
    <w:rsid w:val="008205A8"/>
    <w:rsid w:val="00820649"/>
    <w:rsid w:val="00820651"/>
    <w:rsid w:val="0082084F"/>
    <w:rsid w:val="00820990"/>
    <w:rsid w:val="00820A26"/>
    <w:rsid w:val="00820A56"/>
    <w:rsid w:val="00820AF8"/>
    <w:rsid w:val="00820B10"/>
    <w:rsid w:val="00820B7E"/>
    <w:rsid w:val="00820E22"/>
    <w:rsid w:val="0082112D"/>
    <w:rsid w:val="008211A3"/>
    <w:rsid w:val="008212D3"/>
    <w:rsid w:val="0082133D"/>
    <w:rsid w:val="008213F9"/>
    <w:rsid w:val="008215AA"/>
    <w:rsid w:val="00821610"/>
    <w:rsid w:val="00821707"/>
    <w:rsid w:val="00821816"/>
    <w:rsid w:val="00821900"/>
    <w:rsid w:val="00821B4A"/>
    <w:rsid w:val="00821CEF"/>
    <w:rsid w:val="00821D6D"/>
    <w:rsid w:val="00821D9B"/>
    <w:rsid w:val="00821DB8"/>
    <w:rsid w:val="00821ED4"/>
    <w:rsid w:val="00822385"/>
    <w:rsid w:val="008223C4"/>
    <w:rsid w:val="00822478"/>
    <w:rsid w:val="008225E2"/>
    <w:rsid w:val="00822704"/>
    <w:rsid w:val="008227CE"/>
    <w:rsid w:val="00822917"/>
    <w:rsid w:val="00822958"/>
    <w:rsid w:val="008229AE"/>
    <w:rsid w:val="008229DD"/>
    <w:rsid w:val="00822A8A"/>
    <w:rsid w:val="00822B83"/>
    <w:rsid w:val="00822C1D"/>
    <w:rsid w:val="00822EEA"/>
    <w:rsid w:val="00822F34"/>
    <w:rsid w:val="00822FC5"/>
    <w:rsid w:val="008230E1"/>
    <w:rsid w:val="00823188"/>
    <w:rsid w:val="008231EF"/>
    <w:rsid w:val="008233A0"/>
    <w:rsid w:val="0082350A"/>
    <w:rsid w:val="0082351B"/>
    <w:rsid w:val="008235A1"/>
    <w:rsid w:val="008238C5"/>
    <w:rsid w:val="00823A04"/>
    <w:rsid w:val="00823AF4"/>
    <w:rsid w:val="00823B2D"/>
    <w:rsid w:val="00823DAA"/>
    <w:rsid w:val="0082425B"/>
    <w:rsid w:val="0082446F"/>
    <w:rsid w:val="00824601"/>
    <w:rsid w:val="00824615"/>
    <w:rsid w:val="008246C0"/>
    <w:rsid w:val="00824740"/>
    <w:rsid w:val="00824B9A"/>
    <w:rsid w:val="00824CF2"/>
    <w:rsid w:val="00824D14"/>
    <w:rsid w:val="00824D67"/>
    <w:rsid w:val="00824EC6"/>
    <w:rsid w:val="008251F6"/>
    <w:rsid w:val="00825296"/>
    <w:rsid w:val="008252DD"/>
    <w:rsid w:val="0082559D"/>
    <w:rsid w:val="008256AE"/>
    <w:rsid w:val="00825820"/>
    <w:rsid w:val="00825923"/>
    <w:rsid w:val="0082595D"/>
    <w:rsid w:val="00825B32"/>
    <w:rsid w:val="00825E5D"/>
    <w:rsid w:val="00825FCB"/>
    <w:rsid w:val="00826198"/>
    <w:rsid w:val="008261D8"/>
    <w:rsid w:val="0082624B"/>
    <w:rsid w:val="00826304"/>
    <w:rsid w:val="00826414"/>
    <w:rsid w:val="00826521"/>
    <w:rsid w:val="00826579"/>
    <w:rsid w:val="00826781"/>
    <w:rsid w:val="008267B6"/>
    <w:rsid w:val="0082683A"/>
    <w:rsid w:val="00826941"/>
    <w:rsid w:val="00826968"/>
    <w:rsid w:val="00826A25"/>
    <w:rsid w:val="00826ABC"/>
    <w:rsid w:val="00826CE8"/>
    <w:rsid w:val="00826D29"/>
    <w:rsid w:val="00826E1D"/>
    <w:rsid w:val="00826E67"/>
    <w:rsid w:val="00827014"/>
    <w:rsid w:val="0082702A"/>
    <w:rsid w:val="008270DE"/>
    <w:rsid w:val="00827317"/>
    <w:rsid w:val="00827A8E"/>
    <w:rsid w:val="00827BBB"/>
    <w:rsid w:val="00827BC6"/>
    <w:rsid w:val="00827C5B"/>
    <w:rsid w:val="00827CE7"/>
    <w:rsid w:val="00827D19"/>
    <w:rsid w:val="00827DFC"/>
    <w:rsid w:val="00827E55"/>
    <w:rsid w:val="00827E86"/>
    <w:rsid w:val="00830154"/>
    <w:rsid w:val="008301A8"/>
    <w:rsid w:val="00830200"/>
    <w:rsid w:val="00830272"/>
    <w:rsid w:val="008304E9"/>
    <w:rsid w:val="00830788"/>
    <w:rsid w:val="00830AD5"/>
    <w:rsid w:val="00830B41"/>
    <w:rsid w:val="00830BF1"/>
    <w:rsid w:val="00830C49"/>
    <w:rsid w:val="00830CF2"/>
    <w:rsid w:val="00830D6E"/>
    <w:rsid w:val="00830FAE"/>
    <w:rsid w:val="00831218"/>
    <w:rsid w:val="008316E0"/>
    <w:rsid w:val="00831755"/>
    <w:rsid w:val="008318F1"/>
    <w:rsid w:val="00831A5D"/>
    <w:rsid w:val="00831AC1"/>
    <w:rsid w:val="00831ADC"/>
    <w:rsid w:val="00831B1C"/>
    <w:rsid w:val="00831DF5"/>
    <w:rsid w:val="00832007"/>
    <w:rsid w:val="00832030"/>
    <w:rsid w:val="00832399"/>
    <w:rsid w:val="008323F5"/>
    <w:rsid w:val="008325D1"/>
    <w:rsid w:val="008325DC"/>
    <w:rsid w:val="008326E3"/>
    <w:rsid w:val="0083277E"/>
    <w:rsid w:val="00832904"/>
    <w:rsid w:val="00832C5A"/>
    <w:rsid w:val="00832D86"/>
    <w:rsid w:val="00832EE2"/>
    <w:rsid w:val="00832EED"/>
    <w:rsid w:val="008331DB"/>
    <w:rsid w:val="008331FA"/>
    <w:rsid w:val="00833252"/>
    <w:rsid w:val="008332A1"/>
    <w:rsid w:val="008332EC"/>
    <w:rsid w:val="00833432"/>
    <w:rsid w:val="008336B8"/>
    <w:rsid w:val="00833895"/>
    <w:rsid w:val="008338CA"/>
    <w:rsid w:val="00833957"/>
    <w:rsid w:val="00833C55"/>
    <w:rsid w:val="00833E45"/>
    <w:rsid w:val="00833EF6"/>
    <w:rsid w:val="008341DC"/>
    <w:rsid w:val="008341F6"/>
    <w:rsid w:val="0083453D"/>
    <w:rsid w:val="008345B8"/>
    <w:rsid w:val="00834657"/>
    <w:rsid w:val="00834706"/>
    <w:rsid w:val="00834724"/>
    <w:rsid w:val="00834A3A"/>
    <w:rsid w:val="00834AD3"/>
    <w:rsid w:val="00834C2D"/>
    <w:rsid w:val="00834D66"/>
    <w:rsid w:val="00834DC8"/>
    <w:rsid w:val="00834EF3"/>
    <w:rsid w:val="00835167"/>
    <w:rsid w:val="008352AF"/>
    <w:rsid w:val="008354D9"/>
    <w:rsid w:val="00835628"/>
    <w:rsid w:val="008359B6"/>
    <w:rsid w:val="00835A86"/>
    <w:rsid w:val="00835BEE"/>
    <w:rsid w:val="00835C39"/>
    <w:rsid w:val="00835DCE"/>
    <w:rsid w:val="00835FCE"/>
    <w:rsid w:val="008360CE"/>
    <w:rsid w:val="00836B23"/>
    <w:rsid w:val="00836BF6"/>
    <w:rsid w:val="00836D81"/>
    <w:rsid w:val="00836E8D"/>
    <w:rsid w:val="00836FF0"/>
    <w:rsid w:val="008370DB"/>
    <w:rsid w:val="008370FE"/>
    <w:rsid w:val="008371AC"/>
    <w:rsid w:val="00837317"/>
    <w:rsid w:val="008373D4"/>
    <w:rsid w:val="0083763A"/>
    <w:rsid w:val="008378A6"/>
    <w:rsid w:val="0083793B"/>
    <w:rsid w:val="00837C39"/>
    <w:rsid w:val="00837CA4"/>
    <w:rsid w:val="00837CC1"/>
    <w:rsid w:val="00837D86"/>
    <w:rsid w:val="00840241"/>
    <w:rsid w:val="00840554"/>
    <w:rsid w:val="00840871"/>
    <w:rsid w:val="00840898"/>
    <w:rsid w:val="00840A2F"/>
    <w:rsid w:val="00840A57"/>
    <w:rsid w:val="00840D2F"/>
    <w:rsid w:val="00840D86"/>
    <w:rsid w:val="00840E77"/>
    <w:rsid w:val="00840F13"/>
    <w:rsid w:val="00840F97"/>
    <w:rsid w:val="008411DD"/>
    <w:rsid w:val="008411E1"/>
    <w:rsid w:val="008412EC"/>
    <w:rsid w:val="0084167D"/>
    <w:rsid w:val="008416FC"/>
    <w:rsid w:val="008418BC"/>
    <w:rsid w:val="0084191F"/>
    <w:rsid w:val="008419ED"/>
    <w:rsid w:val="00841BCD"/>
    <w:rsid w:val="00841C1D"/>
    <w:rsid w:val="00841DE4"/>
    <w:rsid w:val="00841EDA"/>
    <w:rsid w:val="00841F8D"/>
    <w:rsid w:val="008422BF"/>
    <w:rsid w:val="00842371"/>
    <w:rsid w:val="0084247D"/>
    <w:rsid w:val="00842511"/>
    <w:rsid w:val="0084257F"/>
    <w:rsid w:val="0084282D"/>
    <w:rsid w:val="00842928"/>
    <w:rsid w:val="00842A2A"/>
    <w:rsid w:val="00842A86"/>
    <w:rsid w:val="00842ACC"/>
    <w:rsid w:val="00842CD5"/>
    <w:rsid w:val="00842D07"/>
    <w:rsid w:val="00842D7B"/>
    <w:rsid w:val="00842D99"/>
    <w:rsid w:val="00842DD1"/>
    <w:rsid w:val="00842DE8"/>
    <w:rsid w:val="00842E9A"/>
    <w:rsid w:val="00842EB4"/>
    <w:rsid w:val="00842EDE"/>
    <w:rsid w:val="00843035"/>
    <w:rsid w:val="00843229"/>
    <w:rsid w:val="00843477"/>
    <w:rsid w:val="00843608"/>
    <w:rsid w:val="0084381D"/>
    <w:rsid w:val="00843929"/>
    <w:rsid w:val="00843B7C"/>
    <w:rsid w:val="00843BCA"/>
    <w:rsid w:val="00843CF6"/>
    <w:rsid w:val="0084403A"/>
    <w:rsid w:val="00844056"/>
    <w:rsid w:val="00844548"/>
    <w:rsid w:val="0084466B"/>
    <w:rsid w:val="00844785"/>
    <w:rsid w:val="008447B0"/>
    <w:rsid w:val="008448DA"/>
    <w:rsid w:val="00844919"/>
    <w:rsid w:val="008449FF"/>
    <w:rsid w:val="00844CBF"/>
    <w:rsid w:val="00844E62"/>
    <w:rsid w:val="0084507C"/>
    <w:rsid w:val="00845126"/>
    <w:rsid w:val="008452A5"/>
    <w:rsid w:val="0084532F"/>
    <w:rsid w:val="008453AD"/>
    <w:rsid w:val="0084540F"/>
    <w:rsid w:val="008456EC"/>
    <w:rsid w:val="0084585C"/>
    <w:rsid w:val="00845982"/>
    <w:rsid w:val="008459FA"/>
    <w:rsid w:val="00845A42"/>
    <w:rsid w:val="00845A82"/>
    <w:rsid w:val="00845ADA"/>
    <w:rsid w:val="00845D53"/>
    <w:rsid w:val="00845E95"/>
    <w:rsid w:val="008460DB"/>
    <w:rsid w:val="008461B6"/>
    <w:rsid w:val="00846216"/>
    <w:rsid w:val="008464B0"/>
    <w:rsid w:val="008466C6"/>
    <w:rsid w:val="00846798"/>
    <w:rsid w:val="00846954"/>
    <w:rsid w:val="00846AC9"/>
    <w:rsid w:val="00846B21"/>
    <w:rsid w:val="00846D9E"/>
    <w:rsid w:val="00846E22"/>
    <w:rsid w:val="00847011"/>
    <w:rsid w:val="00847230"/>
    <w:rsid w:val="008473E5"/>
    <w:rsid w:val="00847422"/>
    <w:rsid w:val="008474CC"/>
    <w:rsid w:val="008475D4"/>
    <w:rsid w:val="00847790"/>
    <w:rsid w:val="00847A12"/>
    <w:rsid w:val="00847CDE"/>
    <w:rsid w:val="00847E27"/>
    <w:rsid w:val="00847EA8"/>
    <w:rsid w:val="00847ECA"/>
    <w:rsid w:val="00850171"/>
    <w:rsid w:val="0085028A"/>
    <w:rsid w:val="00850318"/>
    <w:rsid w:val="0085038B"/>
    <w:rsid w:val="008503F1"/>
    <w:rsid w:val="00850452"/>
    <w:rsid w:val="00850532"/>
    <w:rsid w:val="0085062C"/>
    <w:rsid w:val="00850652"/>
    <w:rsid w:val="008506C0"/>
    <w:rsid w:val="0085099E"/>
    <w:rsid w:val="00850B30"/>
    <w:rsid w:val="00850BBF"/>
    <w:rsid w:val="00850C77"/>
    <w:rsid w:val="00850CF8"/>
    <w:rsid w:val="00850E23"/>
    <w:rsid w:val="00850E43"/>
    <w:rsid w:val="00850F33"/>
    <w:rsid w:val="00851048"/>
    <w:rsid w:val="00851057"/>
    <w:rsid w:val="00851092"/>
    <w:rsid w:val="0085109A"/>
    <w:rsid w:val="008510E7"/>
    <w:rsid w:val="00851428"/>
    <w:rsid w:val="0085143A"/>
    <w:rsid w:val="00851510"/>
    <w:rsid w:val="0085180E"/>
    <w:rsid w:val="00851BD2"/>
    <w:rsid w:val="00851CEF"/>
    <w:rsid w:val="00851D64"/>
    <w:rsid w:val="00851F2F"/>
    <w:rsid w:val="00852025"/>
    <w:rsid w:val="008520CE"/>
    <w:rsid w:val="008522F3"/>
    <w:rsid w:val="00852332"/>
    <w:rsid w:val="008523AB"/>
    <w:rsid w:val="008523CD"/>
    <w:rsid w:val="0085266B"/>
    <w:rsid w:val="008526BA"/>
    <w:rsid w:val="008528F7"/>
    <w:rsid w:val="0085297F"/>
    <w:rsid w:val="00852A14"/>
    <w:rsid w:val="00852A31"/>
    <w:rsid w:val="00852AC5"/>
    <w:rsid w:val="00852BA2"/>
    <w:rsid w:val="00852C7F"/>
    <w:rsid w:val="00852C9E"/>
    <w:rsid w:val="00852E6C"/>
    <w:rsid w:val="00852F94"/>
    <w:rsid w:val="00853043"/>
    <w:rsid w:val="0085336A"/>
    <w:rsid w:val="00853A8B"/>
    <w:rsid w:val="00853D36"/>
    <w:rsid w:val="00853DB1"/>
    <w:rsid w:val="00853F27"/>
    <w:rsid w:val="00853F81"/>
    <w:rsid w:val="00854097"/>
    <w:rsid w:val="008541AE"/>
    <w:rsid w:val="008544A1"/>
    <w:rsid w:val="008544B6"/>
    <w:rsid w:val="008545E1"/>
    <w:rsid w:val="008546C0"/>
    <w:rsid w:val="00854803"/>
    <w:rsid w:val="008549FD"/>
    <w:rsid w:val="00854BA5"/>
    <w:rsid w:val="00854BC6"/>
    <w:rsid w:val="00854C81"/>
    <w:rsid w:val="00854CC9"/>
    <w:rsid w:val="00854EE2"/>
    <w:rsid w:val="0085506C"/>
    <w:rsid w:val="008550ED"/>
    <w:rsid w:val="0085524B"/>
    <w:rsid w:val="00855294"/>
    <w:rsid w:val="008556C5"/>
    <w:rsid w:val="00855939"/>
    <w:rsid w:val="00855A3B"/>
    <w:rsid w:val="00855C98"/>
    <w:rsid w:val="00855CA1"/>
    <w:rsid w:val="00855DA6"/>
    <w:rsid w:val="00856075"/>
    <w:rsid w:val="008561A0"/>
    <w:rsid w:val="008561E4"/>
    <w:rsid w:val="00856226"/>
    <w:rsid w:val="00856939"/>
    <w:rsid w:val="00856976"/>
    <w:rsid w:val="00856BF7"/>
    <w:rsid w:val="00856BFF"/>
    <w:rsid w:val="00856CCE"/>
    <w:rsid w:val="00857125"/>
    <w:rsid w:val="00857253"/>
    <w:rsid w:val="00857282"/>
    <w:rsid w:val="0085735B"/>
    <w:rsid w:val="0085741F"/>
    <w:rsid w:val="0085749D"/>
    <w:rsid w:val="00857576"/>
    <w:rsid w:val="008575FD"/>
    <w:rsid w:val="008576BE"/>
    <w:rsid w:val="00857859"/>
    <w:rsid w:val="00857880"/>
    <w:rsid w:val="008579A3"/>
    <w:rsid w:val="00857A99"/>
    <w:rsid w:val="00857B5D"/>
    <w:rsid w:val="00857CE3"/>
    <w:rsid w:val="00857DBF"/>
    <w:rsid w:val="00857E0B"/>
    <w:rsid w:val="00857F11"/>
    <w:rsid w:val="00857FC8"/>
    <w:rsid w:val="0086008D"/>
    <w:rsid w:val="00860223"/>
    <w:rsid w:val="0086026C"/>
    <w:rsid w:val="0086033C"/>
    <w:rsid w:val="008603D9"/>
    <w:rsid w:val="00860491"/>
    <w:rsid w:val="008604CC"/>
    <w:rsid w:val="00860743"/>
    <w:rsid w:val="00860749"/>
    <w:rsid w:val="008608C5"/>
    <w:rsid w:val="00860A37"/>
    <w:rsid w:val="00860EB0"/>
    <w:rsid w:val="00860ECA"/>
    <w:rsid w:val="00860FC9"/>
    <w:rsid w:val="00860FD8"/>
    <w:rsid w:val="008613BF"/>
    <w:rsid w:val="00861504"/>
    <w:rsid w:val="0086158A"/>
    <w:rsid w:val="008616D3"/>
    <w:rsid w:val="00861955"/>
    <w:rsid w:val="00861978"/>
    <w:rsid w:val="008619A5"/>
    <w:rsid w:val="008619B2"/>
    <w:rsid w:val="008619C5"/>
    <w:rsid w:val="008619DC"/>
    <w:rsid w:val="00861A3A"/>
    <w:rsid w:val="00861AF5"/>
    <w:rsid w:val="00861BD3"/>
    <w:rsid w:val="00861CCD"/>
    <w:rsid w:val="00861CE3"/>
    <w:rsid w:val="00861D96"/>
    <w:rsid w:val="00861DB2"/>
    <w:rsid w:val="00861EFC"/>
    <w:rsid w:val="00862064"/>
    <w:rsid w:val="008623FC"/>
    <w:rsid w:val="0086259B"/>
    <w:rsid w:val="00862867"/>
    <w:rsid w:val="008629FB"/>
    <w:rsid w:val="00862C0C"/>
    <w:rsid w:val="00862C8D"/>
    <w:rsid w:val="008631B7"/>
    <w:rsid w:val="00863211"/>
    <w:rsid w:val="0086349E"/>
    <w:rsid w:val="008634B7"/>
    <w:rsid w:val="008634EF"/>
    <w:rsid w:val="0086361C"/>
    <w:rsid w:val="00863693"/>
    <w:rsid w:val="008637D2"/>
    <w:rsid w:val="00863872"/>
    <w:rsid w:val="00863947"/>
    <w:rsid w:val="00863B36"/>
    <w:rsid w:val="00863D85"/>
    <w:rsid w:val="00863EEA"/>
    <w:rsid w:val="00863EF3"/>
    <w:rsid w:val="008640BC"/>
    <w:rsid w:val="00864242"/>
    <w:rsid w:val="0086432F"/>
    <w:rsid w:val="008647C7"/>
    <w:rsid w:val="008647D7"/>
    <w:rsid w:val="008649AB"/>
    <w:rsid w:val="00864B74"/>
    <w:rsid w:val="00864CBC"/>
    <w:rsid w:val="00864D1D"/>
    <w:rsid w:val="00864DFF"/>
    <w:rsid w:val="00864F8F"/>
    <w:rsid w:val="0086506B"/>
    <w:rsid w:val="00865870"/>
    <w:rsid w:val="0086594C"/>
    <w:rsid w:val="00865A12"/>
    <w:rsid w:val="00865B78"/>
    <w:rsid w:val="00865C77"/>
    <w:rsid w:val="00865CB0"/>
    <w:rsid w:val="00865CC9"/>
    <w:rsid w:val="00865D69"/>
    <w:rsid w:val="00865D79"/>
    <w:rsid w:val="00865E19"/>
    <w:rsid w:val="00865EDF"/>
    <w:rsid w:val="00865FB7"/>
    <w:rsid w:val="008661FC"/>
    <w:rsid w:val="00866626"/>
    <w:rsid w:val="008666E7"/>
    <w:rsid w:val="00866936"/>
    <w:rsid w:val="00866940"/>
    <w:rsid w:val="00866997"/>
    <w:rsid w:val="008669FE"/>
    <w:rsid w:val="00866A5D"/>
    <w:rsid w:val="00866ACE"/>
    <w:rsid w:val="00866C37"/>
    <w:rsid w:val="00866CCB"/>
    <w:rsid w:val="00866DEA"/>
    <w:rsid w:val="00866F30"/>
    <w:rsid w:val="00866F4E"/>
    <w:rsid w:val="0086721D"/>
    <w:rsid w:val="00867327"/>
    <w:rsid w:val="0086732D"/>
    <w:rsid w:val="0086736C"/>
    <w:rsid w:val="00867498"/>
    <w:rsid w:val="008674CB"/>
    <w:rsid w:val="0086753D"/>
    <w:rsid w:val="0086763A"/>
    <w:rsid w:val="00867714"/>
    <w:rsid w:val="0086778C"/>
    <w:rsid w:val="008677F0"/>
    <w:rsid w:val="0086781E"/>
    <w:rsid w:val="00867CE0"/>
    <w:rsid w:val="00867D50"/>
    <w:rsid w:val="00867E4C"/>
    <w:rsid w:val="00867E60"/>
    <w:rsid w:val="00870035"/>
    <w:rsid w:val="008701A4"/>
    <w:rsid w:val="008704B9"/>
    <w:rsid w:val="0087057A"/>
    <w:rsid w:val="008705B7"/>
    <w:rsid w:val="00870992"/>
    <w:rsid w:val="008709FD"/>
    <w:rsid w:val="00870A0E"/>
    <w:rsid w:val="00870A1E"/>
    <w:rsid w:val="00870C67"/>
    <w:rsid w:val="00870C9B"/>
    <w:rsid w:val="00870EA6"/>
    <w:rsid w:val="00871234"/>
    <w:rsid w:val="008712F1"/>
    <w:rsid w:val="00871389"/>
    <w:rsid w:val="0087158F"/>
    <w:rsid w:val="008715CC"/>
    <w:rsid w:val="00871760"/>
    <w:rsid w:val="008717B3"/>
    <w:rsid w:val="008718D8"/>
    <w:rsid w:val="00871953"/>
    <w:rsid w:val="00871CC3"/>
    <w:rsid w:val="00871F79"/>
    <w:rsid w:val="0087217E"/>
    <w:rsid w:val="008721E1"/>
    <w:rsid w:val="0087239A"/>
    <w:rsid w:val="00872B24"/>
    <w:rsid w:val="00872BC5"/>
    <w:rsid w:val="00872E77"/>
    <w:rsid w:val="008730FE"/>
    <w:rsid w:val="008732DC"/>
    <w:rsid w:val="0087345D"/>
    <w:rsid w:val="00873496"/>
    <w:rsid w:val="00873995"/>
    <w:rsid w:val="00873AFF"/>
    <w:rsid w:val="00873B1F"/>
    <w:rsid w:val="00873B58"/>
    <w:rsid w:val="00874074"/>
    <w:rsid w:val="008743C2"/>
    <w:rsid w:val="00874556"/>
    <w:rsid w:val="00874699"/>
    <w:rsid w:val="0087471E"/>
    <w:rsid w:val="008747C1"/>
    <w:rsid w:val="008748C0"/>
    <w:rsid w:val="00874C4E"/>
    <w:rsid w:val="00874D7A"/>
    <w:rsid w:val="00874E8F"/>
    <w:rsid w:val="00874F04"/>
    <w:rsid w:val="0087506D"/>
    <w:rsid w:val="00875152"/>
    <w:rsid w:val="00875312"/>
    <w:rsid w:val="00875314"/>
    <w:rsid w:val="0087543E"/>
    <w:rsid w:val="008754BA"/>
    <w:rsid w:val="008756D8"/>
    <w:rsid w:val="00875834"/>
    <w:rsid w:val="00875992"/>
    <w:rsid w:val="008759B1"/>
    <w:rsid w:val="00875A15"/>
    <w:rsid w:val="00875AB7"/>
    <w:rsid w:val="00875AC3"/>
    <w:rsid w:val="00875B12"/>
    <w:rsid w:val="00875B3F"/>
    <w:rsid w:val="00875B71"/>
    <w:rsid w:val="00875C50"/>
    <w:rsid w:val="00875FE7"/>
    <w:rsid w:val="008760F1"/>
    <w:rsid w:val="0087614E"/>
    <w:rsid w:val="008762EC"/>
    <w:rsid w:val="00876339"/>
    <w:rsid w:val="00876394"/>
    <w:rsid w:val="00876498"/>
    <w:rsid w:val="008765B8"/>
    <w:rsid w:val="008765E1"/>
    <w:rsid w:val="0087670D"/>
    <w:rsid w:val="00876879"/>
    <w:rsid w:val="008768CB"/>
    <w:rsid w:val="0087691D"/>
    <w:rsid w:val="0087692A"/>
    <w:rsid w:val="0087694C"/>
    <w:rsid w:val="00876998"/>
    <w:rsid w:val="008769D4"/>
    <w:rsid w:val="00876A3B"/>
    <w:rsid w:val="00876B2E"/>
    <w:rsid w:val="00876B87"/>
    <w:rsid w:val="00876CA7"/>
    <w:rsid w:val="00876D2F"/>
    <w:rsid w:val="00876DFC"/>
    <w:rsid w:val="00876E21"/>
    <w:rsid w:val="00876F30"/>
    <w:rsid w:val="00876F40"/>
    <w:rsid w:val="008773D1"/>
    <w:rsid w:val="008774FE"/>
    <w:rsid w:val="008775D3"/>
    <w:rsid w:val="00877973"/>
    <w:rsid w:val="0087798C"/>
    <w:rsid w:val="00877C8C"/>
    <w:rsid w:val="00877CAF"/>
    <w:rsid w:val="00877D0F"/>
    <w:rsid w:val="00877E32"/>
    <w:rsid w:val="00877EB6"/>
    <w:rsid w:val="00877F7A"/>
    <w:rsid w:val="00880379"/>
    <w:rsid w:val="008803ED"/>
    <w:rsid w:val="0088041F"/>
    <w:rsid w:val="00880480"/>
    <w:rsid w:val="00880489"/>
    <w:rsid w:val="008804DC"/>
    <w:rsid w:val="008805BF"/>
    <w:rsid w:val="00880932"/>
    <w:rsid w:val="008809D3"/>
    <w:rsid w:val="00880B72"/>
    <w:rsid w:val="00880F76"/>
    <w:rsid w:val="00881079"/>
    <w:rsid w:val="008810AC"/>
    <w:rsid w:val="008813DA"/>
    <w:rsid w:val="008817E2"/>
    <w:rsid w:val="008817EB"/>
    <w:rsid w:val="00881862"/>
    <w:rsid w:val="00881C9B"/>
    <w:rsid w:val="00881EE0"/>
    <w:rsid w:val="00882014"/>
    <w:rsid w:val="00882107"/>
    <w:rsid w:val="00882232"/>
    <w:rsid w:val="0088231F"/>
    <w:rsid w:val="00882740"/>
    <w:rsid w:val="00882BD6"/>
    <w:rsid w:val="00882C8C"/>
    <w:rsid w:val="008830AF"/>
    <w:rsid w:val="0088334C"/>
    <w:rsid w:val="00883761"/>
    <w:rsid w:val="0088390B"/>
    <w:rsid w:val="008839AA"/>
    <w:rsid w:val="00883BAD"/>
    <w:rsid w:val="00883C3C"/>
    <w:rsid w:val="00883C86"/>
    <w:rsid w:val="00883CFE"/>
    <w:rsid w:val="00883F9A"/>
    <w:rsid w:val="0088413C"/>
    <w:rsid w:val="00884145"/>
    <w:rsid w:val="00884156"/>
    <w:rsid w:val="008841A5"/>
    <w:rsid w:val="008845DB"/>
    <w:rsid w:val="0088489A"/>
    <w:rsid w:val="00884928"/>
    <w:rsid w:val="00884960"/>
    <w:rsid w:val="0088496C"/>
    <w:rsid w:val="00884AE1"/>
    <w:rsid w:val="00884C19"/>
    <w:rsid w:val="00884C8B"/>
    <w:rsid w:val="00884DD6"/>
    <w:rsid w:val="00885161"/>
    <w:rsid w:val="00885175"/>
    <w:rsid w:val="0088536D"/>
    <w:rsid w:val="008855BC"/>
    <w:rsid w:val="00885914"/>
    <w:rsid w:val="00885DAD"/>
    <w:rsid w:val="00885F2F"/>
    <w:rsid w:val="00886032"/>
    <w:rsid w:val="00886598"/>
    <w:rsid w:val="0088675B"/>
    <w:rsid w:val="008867AB"/>
    <w:rsid w:val="00886C4A"/>
    <w:rsid w:val="00886ED6"/>
    <w:rsid w:val="00886F70"/>
    <w:rsid w:val="008872B4"/>
    <w:rsid w:val="0088730F"/>
    <w:rsid w:val="0088749C"/>
    <w:rsid w:val="00887504"/>
    <w:rsid w:val="00887544"/>
    <w:rsid w:val="008875E0"/>
    <w:rsid w:val="0088776C"/>
    <w:rsid w:val="00887773"/>
    <w:rsid w:val="00887AF8"/>
    <w:rsid w:val="00887C0C"/>
    <w:rsid w:val="00887CAA"/>
    <w:rsid w:val="0089011C"/>
    <w:rsid w:val="00890149"/>
    <w:rsid w:val="00890474"/>
    <w:rsid w:val="00890527"/>
    <w:rsid w:val="00890754"/>
    <w:rsid w:val="00890929"/>
    <w:rsid w:val="00890D02"/>
    <w:rsid w:val="00890D31"/>
    <w:rsid w:val="00890D5F"/>
    <w:rsid w:val="00890DF3"/>
    <w:rsid w:val="00890FF1"/>
    <w:rsid w:val="008911F0"/>
    <w:rsid w:val="00891278"/>
    <w:rsid w:val="008913BA"/>
    <w:rsid w:val="008913E4"/>
    <w:rsid w:val="0089148C"/>
    <w:rsid w:val="008914D1"/>
    <w:rsid w:val="0089150E"/>
    <w:rsid w:val="00891609"/>
    <w:rsid w:val="008916C7"/>
    <w:rsid w:val="00891924"/>
    <w:rsid w:val="00891BF2"/>
    <w:rsid w:val="00891C3E"/>
    <w:rsid w:val="00891D85"/>
    <w:rsid w:val="00891DE9"/>
    <w:rsid w:val="00891E6B"/>
    <w:rsid w:val="00891FE9"/>
    <w:rsid w:val="00892200"/>
    <w:rsid w:val="0089226D"/>
    <w:rsid w:val="008923B7"/>
    <w:rsid w:val="008924D9"/>
    <w:rsid w:val="00892880"/>
    <w:rsid w:val="008928AF"/>
    <w:rsid w:val="00892AD7"/>
    <w:rsid w:val="00892B4A"/>
    <w:rsid w:val="00892E1F"/>
    <w:rsid w:val="00892F0F"/>
    <w:rsid w:val="0089307A"/>
    <w:rsid w:val="00893265"/>
    <w:rsid w:val="00893355"/>
    <w:rsid w:val="008935E0"/>
    <w:rsid w:val="00893620"/>
    <w:rsid w:val="0089362F"/>
    <w:rsid w:val="00893AB0"/>
    <w:rsid w:val="00893CE3"/>
    <w:rsid w:val="00893F4C"/>
    <w:rsid w:val="00894308"/>
    <w:rsid w:val="008943A0"/>
    <w:rsid w:val="008943C2"/>
    <w:rsid w:val="00894525"/>
    <w:rsid w:val="008945CB"/>
    <w:rsid w:val="0089491B"/>
    <w:rsid w:val="00894A61"/>
    <w:rsid w:val="00894AEF"/>
    <w:rsid w:val="00894D0D"/>
    <w:rsid w:val="00894DA7"/>
    <w:rsid w:val="00894E2A"/>
    <w:rsid w:val="00894F62"/>
    <w:rsid w:val="00894FD8"/>
    <w:rsid w:val="008950CC"/>
    <w:rsid w:val="008955A7"/>
    <w:rsid w:val="008955DA"/>
    <w:rsid w:val="008957C8"/>
    <w:rsid w:val="008958A7"/>
    <w:rsid w:val="00895B2D"/>
    <w:rsid w:val="00895F1C"/>
    <w:rsid w:val="00895F96"/>
    <w:rsid w:val="00896145"/>
    <w:rsid w:val="008961FF"/>
    <w:rsid w:val="00896308"/>
    <w:rsid w:val="0089631F"/>
    <w:rsid w:val="00896567"/>
    <w:rsid w:val="00896625"/>
    <w:rsid w:val="008966CD"/>
    <w:rsid w:val="00896771"/>
    <w:rsid w:val="0089679B"/>
    <w:rsid w:val="00896822"/>
    <w:rsid w:val="00896BCC"/>
    <w:rsid w:val="00896DAA"/>
    <w:rsid w:val="00896E57"/>
    <w:rsid w:val="00896E71"/>
    <w:rsid w:val="00896FBD"/>
    <w:rsid w:val="008970C4"/>
    <w:rsid w:val="00897154"/>
    <w:rsid w:val="008972D0"/>
    <w:rsid w:val="0089736B"/>
    <w:rsid w:val="00897580"/>
    <w:rsid w:val="0089758E"/>
    <w:rsid w:val="00897805"/>
    <w:rsid w:val="00897D5A"/>
    <w:rsid w:val="00897D8C"/>
    <w:rsid w:val="008A0098"/>
    <w:rsid w:val="008A060A"/>
    <w:rsid w:val="008A0684"/>
    <w:rsid w:val="008A06CC"/>
    <w:rsid w:val="008A0808"/>
    <w:rsid w:val="008A0911"/>
    <w:rsid w:val="008A09CF"/>
    <w:rsid w:val="008A0A41"/>
    <w:rsid w:val="008A0B2F"/>
    <w:rsid w:val="008A0B71"/>
    <w:rsid w:val="008A0BCE"/>
    <w:rsid w:val="008A0C2B"/>
    <w:rsid w:val="008A0E02"/>
    <w:rsid w:val="008A0FED"/>
    <w:rsid w:val="008A10D7"/>
    <w:rsid w:val="008A1165"/>
    <w:rsid w:val="008A121D"/>
    <w:rsid w:val="008A1234"/>
    <w:rsid w:val="008A128E"/>
    <w:rsid w:val="008A132F"/>
    <w:rsid w:val="008A147B"/>
    <w:rsid w:val="008A15BC"/>
    <w:rsid w:val="008A1794"/>
    <w:rsid w:val="008A17A0"/>
    <w:rsid w:val="008A183E"/>
    <w:rsid w:val="008A1878"/>
    <w:rsid w:val="008A196B"/>
    <w:rsid w:val="008A19B1"/>
    <w:rsid w:val="008A1A3B"/>
    <w:rsid w:val="008A1B41"/>
    <w:rsid w:val="008A1BC6"/>
    <w:rsid w:val="008A1DA1"/>
    <w:rsid w:val="008A20A2"/>
    <w:rsid w:val="008A2316"/>
    <w:rsid w:val="008A237F"/>
    <w:rsid w:val="008A26A6"/>
    <w:rsid w:val="008A2975"/>
    <w:rsid w:val="008A29BA"/>
    <w:rsid w:val="008A29C4"/>
    <w:rsid w:val="008A2B30"/>
    <w:rsid w:val="008A2BA5"/>
    <w:rsid w:val="008A3034"/>
    <w:rsid w:val="008A306F"/>
    <w:rsid w:val="008A30D0"/>
    <w:rsid w:val="008A314F"/>
    <w:rsid w:val="008A3370"/>
    <w:rsid w:val="008A3414"/>
    <w:rsid w:val="008A364E"/>
    <w:rsid w:val="008A36A8"/>
    <w:rsid w:val="008A3725"/>
    <w:rsid w:val="008A3B43"/>
    <w:rsid w:val="008A3BE5"/>
    <w:rsid w:val="008A3E0E"/>
    <w:rsid w:val="008A3F38"/>
    <w:rsid w:val="008A3F43"/>
    <w:rsid w:val="008A3FAA"/>
    <w:rsid w:val="008A40B9"/>
    <w:rsid w:val="008A43E2"/>
    <w:rsid w:val="008A4495"/>
    <w:rsid w:val="008A449C"/>
    <w:rsid w:val="008A45FD"/>
    <w:rsid w:val="008A468E"/>
    <w:rsid w:val="008A4D12"/>
    <w:rsid w:val="008A4D16"/>
    <w:rsid w:val="008A4E9A"/>
    <w:rsid w:val="008A50B6"/>
    <w:rsid w:val="008A5118"/>
    <w:rsid w:val="008A51C4"/>
    <w:rsid w:val="008A5399"/>
    <w:rsid w:val="008A5414"/>
    <w:rsid w:val="008A59CC"/>
    <w:rsid w:val="008A5CEF"/>
    <w:rsid w:val="008A5F2D"/>
    <w:rsid w:val="008A605D"/>
    <w:rsid w:val="008A62A4"/>
    <w:rsid w:val="008A62D7"/>
    <w:rsid w:val="008A6361"/>
    <w:rsid w:val="008A639A"/>
    <w:rsid w:val="008A6435"/>
    <w:rsid w:val="008A6464"/>
    <w:rsid w:val="008A6606"/>
    <w:rsid w:val="008A67D5"/>
    <w:rsid w:val="008A689B"/>
    <w:rsid w:val="008A6AC2"/>
    <w:rsid w:val="008A6C64"/>
    <w:rsid w:val="008A6C6B"/>
    <w:rsid w:val="008A70C5"/>
    <w:rsid w:val="008A7162"/>
    <w:rsid w:val="008A71F2"/>
    <w:rsid w:val="008A7215"/>
    <w:rsid w:val="008A73D6"/>
    <w:rsid w:val="008A7430"/>
    <w:rsid w:val="008A7484"/>
    <w:rsid w:val="008A753B"/>
    <w:rsid w:val="008A77CC"/>
    <w:rsid w:val="008A799F"/>
    <w:rsid w:val="008A7A90"/>
    <w:rsid w:val="008A7B59"/>
    <w:rsid w:val="008A7B5C"/>
    <w:rsid w:val="008A7FEC"/>
    <w:rsid w:val="008B0037"/>
    <w:rsid w:val="008B033D"/>
    <w:rsid w:val="008B041D"/>
    <w:rsid w:val="008B048D"/>
    <w:rsid w:val="008B072C"/>
    <w:rsid w:val="008B08CE"/>
    <w:rsid w:val="008B0BAC"/>
    <w:rsid w:val="008B0BE3"/>
    <w:rsid w:val="008B0BE4"/>
    <w:rsid w:val="008B0C2E"/>
    <w:rsid w:val="008B0D2D"/>
    <w:rsid w:val="008B0E3F"/>
    <w:rsid w:val="008B0EB2"/>
    <w:rsid w:val="008B10A7"/>
    <w:rsid w:val="008B11F8"/>
    <w:rsid w:val="008B123C"/>
    <w:rsid w:val="008B13CE"/>
    <w:rsid w:val="008B13E0"/>
    <w:rsid w:val="008B14B9"/>
    <w:rsid w:val="008B19D2"/>
    <w:rsid w:val="008B1B72"/>
    <w:rsid w:val="008B1C68"/>
    <w:rsid w:val="008B1D12"/>
    <w:rsid w:val="008B1F6A"/>
    <w:rsid w:val="008B1FE9"/>
    <w:rsid w:val="008B2118"/>
    <w:rsid w:val="008B21E9"/>
    <w:rsid w:val="008B2236"/>
    <w:rsid w:val="008B22DD"/>
    <w:rsid w:val="008B23B9"/>
    <w:rsid w:val="008B262E"/>
    <w:rsid w:val="008B26F4"/>
    <w:rsid w:val="008B29DF"/>
    <w:rsid w:val="008B29ED"/>
    <w:rsid w:val="008B2A34"/>
    <w:rsid w:val="008B2ADE"/>
    <w:rsid w:val="008B2AE0"/>
    <w:rsid w:val="008B2BF2"/>
    <w:rsid w:val="008B2D63"/>
    <w:rsid w:val="008B2E3C"/>
    <w:rsid w:val="008B2E45"/>
    <w:rsid w:val="008B2F4B"/>
    <w:rsid w:val="008B2FA5"/>
    <w:rsid w:val="008B2FC6"/>
    <w:rsid w:val="008B305D"/>
    <w:rsid w:val="008B30E6"/>
    <w:rsid w:val="008B30F2"/>
    <w:rsid w:val="008B31C8"/>
    <w:rsid w:val="008B32EE"/>
    <w:rsid w:val="008B33AE"/>
    <w:rsid w:val="008B3433"/>
    <w:rsid w:val="008B35E6"/>
    <w:rsid w:val="008B377A"/>
    <w:rsid w:val="008B379D"/>
    <w:rsid w:val="008B3CB0"/>
    <w:rsid w:val="008B3CEA"/>
    <w:rsid w:val="008B3FF9"/>
    <w:rsid w:val="008B3FFA"/>
    <w:rsid w:val="008B40D3"/>
    <w:rsid w:val="008B41B9"/>
    <w:rsid w:val="008B41C8"/>
    <w:rsid w:val="008B4279"/>
    <w:rsid w:val="008B43EE"/>
    <w:rsid w:val="008B44A1"/>
    <w:rsid w:val="008B4540"/>
    <w:rsid w:val="008B46BD"/>
    <w:rsid w:val="008B479C"/>
    <w:rsid w:val="008B47DC"/>
    <w:rsid w:val="008B4A94"/>
    <w:rsid w:val="008B4FDC"/>
    <w:rsid w:val="008B52D4"/>
    <w:rsid w:val="008B557A"/>
    <w:rsid w:val="008B5876"/>
    <w:rsid w:val="008B5A04"/>
    <w:rsid w:val="008B5B71"/>
    <w:rsid w:val="008B5C18"/>
    <w:rsid w:val="008B5CBF"/>
    <w:rsid w:val="008B5D96"/>
    <w:rsid w:val="008B62D4"/>
    <w:rsid w:val="008B651C"/>
    <w:rsid w:val="008B6826"/>
    <w:rsid w:val="008B68C0"/>
    <w:rsid w:val="008B69A7"/>
    <w:rsid w:val="008B69B0"/>
    <w:rsid w:val="008B6A45"/>
    <w:rsid w:val="008B6AF2"/>
    <w:rsid w:val="008B6C28"/>
    <w:rsid w:val="008B6E57"/>
    <w:rsid w:val="008B6EE9"/>
    <w:rsid w:val="008B7022"/>
    <w:rsid w:val="008B7211"/>
    <w:rsid w:val="008B7336"/>
    <w:rsid w:val="008B741F"/>
    <w:rsid w:val="008B7464"/>
    <w:rsid w:val="008B751E"/>
    <w:rsid w:val="008B756D"/>
    <w:rsid w:val="008B75A1"/>
    <w:rsid w:val="008B7600"/>
    <w:rsid w:val="008B766D"/>
    <w:rsid w:val="008B7745"/>
    <w:rsid w:val="008B7862"/>
    <w:rsid w:val="008B79D9"/>
    <w:rsid w:val="008B7BAD"/>
    <w:rsid w:val="008B7D1F"/>
    <w:rsid w:val="008B7D64"/>
    <w:rsid w:val="008B7E11"/>
    <w:rsid w:val="008B7F0B"/>
    <w:rsid w:val="008B7F1B"/>
    <w:rsid w:val="008B7FF5"/>
    <w:rsid w:val="008C00B7"/>
    <w:rsid w:val="008C040B"/>
    <w:rsid w:val="008C04AE"/>
    <w:rsid w:val="008C09EA"/>
    <w:rsid w:val="008C0B79"/>
    <w:rsid w:val="008C0DFB"/>
    <w:rsid w:val="008C1017"/>
    <w:rsid w:val="008C1128"/>
    <w:rsid w:val="008C1178"/>
    <w:rsid w:val="008C1564"/>
    <w:rsid w:val="008C169F"/>
    <w:rsid w:val="008C16B7"/>
    <w:rsid w:val="008C16E0"/>
    <w:rsid w:val="008C1765"/>
    <w:rsid w:val="008C198C"/>
    <w:rsid w:val="008C1A2B"/>
    <w:rsid w:val="008C1A5A"/>
    <w:rsid w:val="008C1B5E"/>
    <w:rsid w:val="008C1BAC"/>
    <w:rsid w:val="008C1CE5"/>
    <w:rsid w:val="008C1D1E"/>
    <w:rsid w:val="008C1E34"/>
    <w:rsid w:val="008C1E88"/>
    <w:rsid w:val="008C2096"/>
    <w:rsid w:val="008C24B3"/>
    <w:rsid w:val="008C257A"/>
    <w:rsid w:val="008C25BA"/>
    <w:rsid w:val="008C2681"/>
    <w:rsid w:val="008C2A56"/>
    <w:rsid w:val="008C2B58"/>
    <w:rsid w:val="008C2D8B"/>
    <w:rsid w:val="008C2E91"/>
    <w:rsid w:val="008C3427"/>
    <w:rsid w:val="008C35F5"/>
    <w:rsid w:val="008C36D8"/>
    <w:rsid w:val="008C3864"/>
    <w:rsid w:val="008C393B"/>
    <w:rsid w:val="008C3C34"/>
    <w:rsid w:val="008C3FF3"/>
    <w:rsid w:val="008C4021"/>
    <w:rsid w:val="008C4174"/>
    <w:rsid w:val="008C426A"/>
    <w:rsid w:val="008C42CB"/>
    <w:rsid w:val="008C4363"/>
    <w:rsid w:val="008C43A0"/>
    <w:rsid w:val="008C43E7"/>
    <w:rsid w:val="008C4700"/>
    <w:rsid w:val="008C4999"/>
    <w:rsid w:val="008C49F8"/>
    <w:rsid w:val="008C4A8A"/>
    <w:rsid w:val="008C4B24"/>
    <w:rsid w:val="008C4BE2"/>
    <w:rsid w:val="008C4DA7"/>
    <w:rsid w:val="008C4EBD"/>
    <w:rsid w:val="008C50C5"/>
    <w:rsid w:val="008C5134"/>
    <w:rsid w:val="008C5136"/>
    <w:rsid w:val="008C5297"/>
    <w:rsid w:val="008C5509"/>
    <w:rsid w:val="008C555B"/>
    <w:rsid w:val="008C561F"/>
    <w:rsid w:val="008C5652"/>
    <w:rsid w:val="008C584F"/>
    <w:rsid w:val="008C5888"/>
    <w:rsid w:val="008C595A"/>
    <w:rsid w:val="008C59EE"/>
    <w:rsid w:val="008C5D98"/>
    <w:rsid w:val="008C5E69"/>
    <w:rsid w:val="008C5F06"/>
    <w:rsid w:val="008C601E"/>
    <w:rsid w:val="008C6086"/>
    <w:rsid w:val="008C60B9"/>
    <w:rsid w:val="008C60F3"/>
    <w:rsid w:val="008C6189"/>
    <w:rsid w:val="008C62AB"/>
    <w:rsid w:val="008C63FA"/>
    <w:rsid w:val="008C65A5"/>
    <w:rsid w:val="008C65D7"/>
    <w:rsid w:val="008C6718"/>
    <w:rsid w:val="008C67B9"/>
    <w:rsid w:val="008C68AA"/>
    <w:rsid w:val="008C68D4"/>
    <w:rsid w:val="008C6920"/>
    <w:rsid w:val="008C6C1D"/>
    <w:rsid w:val="008C6D64"/>
    <w:rsid w:val="008C6D83"/>
    <w:rsid w:val="008C6DB5"/>
    <w:rsid w:val="008C6E4C"/>
    <w:rsid w:val="008C6F96"/>
    <w:rsid w:val="008C6FAE"/>
    <w:rsid w:val="008C700F"/>
    <w:rsid w:val="008C70FB"/>
    <w:rsid w:val="008C7183"/>
    <w:rsid w:val="008C71D1"/>
    <w:rsid w:val="008C73FE"/>
    <w:rsid w:val="008C740F"/>
    <w:rsid w:val="008C745E"/>
    <w:rsid w:val="008C7548"/>
    <w:rsid w:val="008C759A"/>
    <w:rsid w:val="008C7646"/>
    <w:rsid w:val="008C766E"/>
    <w:rsid w:val="008C78A5"/>
    <w:rsid w:val="008C7C77"/>
    <w:rsid w:val="008C7D1C"/>
    <w:rsid w:val="008C7DA5"/>
    <w:rsid w:val="008C7E33"/>
    <w:rsid w:val="008C7E41"/>
    <w:rsid w:val="008D018B"/>
    <w:rsid w:val="008D0425"/>
    <w:rsid w:val="008D04DD"/>
    <w:rsid w:val="008D0515"/>
    <w:rsid w:val="008D056F"/>
    <w:rsid w:val="008D09ED"/>
    <w:rsid w:val="008D0C6E"/>
    <w:rsid w:val="008D0CBA"/>
    <w:rsid w:val="008D0E8C"/>
    <w:rsid w:val="008D0EB3"/>
    <w:rsid w:val="008D118A"/>
    <w:rsid w:val="008D13E2"/>
    <w:rsid w:val="008D140A"/>
    <w:rsid w:val="008D16B7"/>
    <w:rsid w:val="008D16CB"/>
    <w:rsid w:val="008D1889"/>
    <w:rsid w:val="008D1A96"/>
    <w:rsid w:val="008D1E32"/>
    <w:rsid w:val="008D1F16"/>
    <w:rsid w:val="008D20DF"/>
    <w:rsid w:val="008D21F0"/>
    <w:rsid w:val="008D23E1"/>
    <w:rsid w:val="008D2472"/>
    <w:rsid w:val="008D24CB"/>
    <w:rsid w:val="008D2AF2"/>
    <w:rsid w:val="008D2B3D"/>
    <w:rsid w:val="008D2EFF"/>
    <w:rsid w:val="008D2FA5"/>
    <w:rsid w:val="008D2FB4"/>
    <w:rsid w:val="008D3087"/>
    <w:rsid w:val="008D3117"/>
    <w:rsid w:val="008D3202"/>
    <w:rsid w:val="008D3553"/>
    <w:rsid w:val="008D3896"/>
    <w:rsid w:val="008D3A97"/>
    <w:rsid w:val="008D3AB2"/>
    <w:rsid w:val="008D3B73"/>
    <w:rsid w:val="008D3BED"/>
    <w:rsid w:val="008D3EB6"/>
    <w:rsid w:val="008D3FB7"/>
    <w:rsid w:val="008D403C"/>
    <w:rsid w:val="008D40CE"/>
    <w:rsid w:val="008D416A"/>
    <w:rsid w:val="008D455A"/>
    <w:rsid w:val="008D4577"/>
    <w:rsid w:val="008D4590"/>
    <w:rsid w:val="008D459A"/>
    <w:rsid w:val="008D47EC"/>
    <w:rsid w:val="008D4827"/>
    <w:rsid w:val="008D4843"/>
    <w:rsid w:val="008D4AAB"/>
    <w:rsid w:val="008D4C5C"/>
    <w:rsid w:val="008D4C90"/>
    <w:rsid w:val="008D4CE9"/>
    <w:rsid w:val="008D4D76"/>
    <w:rsid w:val="008D4E3A"/>
    <w:rsid w:val="008D511A"/>
    <w:rsid w:val="008D533A"/>
    <w:rsid w:val="008D5395"/>
    <w:rsid w:val="008D55FB"/>
    <w:rsid w:val="008D5A97"/>
    <w:rsid w:val="008D5B6A"/>
    <w:rsid w:val="008D5DB1"/>
    <w:rsid w:val="008D5E7A"/>
    <w:rsid w:val="008D6134"/>
    <w:rsid w:val="008D618E"/>
    <w:rsid w:val="008D623F"/>
    <w:rsid w:val="008D6478"/>
    <w:rsid w:val="008D649D"/>
    <w:rsid w:val="008D6573"/>
    <w:rsid w:val="008D670C"/>
    <w:rsid w:val="008D68AF"/>
    <w:rsid w:val="008D6DAE"/>
    <w:rsid w:val="008D6EE4"/>
    <w:rsid w:val="008D6EE5"/>
    <w:rsid w:val="008D6F02"/>
    <w:rsid w:val="008D6FA5"/>
    <w:rsid w:val="008D7096"/>
    <w:rsid w:val="008D74FA"/>
    <w:rsid w:val="008D7588"/>
    <w:rsid w:val="008D7638"/>
    <w:rsid w:val="008D78CE"/>
    <w:rsid w:val="008D78D9"/>
    <w:rsid w:val="008D7A7C"/>
    <w:rsid w:val="008D7BBC"/>
    <w:rsid w:val="008D7C57"/>
    <w:rsid w:val="008D7F62"/>
    <w:rsid w:val="008E005C"/>
    <w:rsid w:val="008E0131"/>
    <w:rsid w:val="008E0182"/>
    <w:rsid w:val="008E018F"/>
    <w:rsid w:val="008E01DD"/>
    <w:rsid w:val="008E0645"/>
    <w:rsid w:val="008E06DB"/>
    <w:rsid w:val="008E0710"/>
    <w:rsid w:val="008E0AF4"/>
    <w:rsid w:val="008E0B90"/>
    <w:rsid w:val="008E0C06"/>
    <w:rsid w:val="008E0CB7"/>
    <w:rsid w:val="008E0E6F"/>
    <w:rsid w:val="008E0FC4"/>
    <w:rsid w:val="008E1237"/>
    <w:rsid w:val="008E1527"/>
    <w:rsid w:val="008E155C"/>
    <w:rsid w:val="008E1583"/>
    <w:rsid w:val="008E17D1"/>
    <w:rsid w:val="008E17FD"/>
    <w:rsid w:val="008E181E"/>
    <w:rsid w:val="008E1A49"/>
    <w:rsid w:val="008E1AC8"/>
    <w:rsid w:val="008E1B3D"/>
    <w:rsid w:val="008E1B54"/>
    <w:rsid w:val="008E1C92"/>
    <w:rsid w:val="008E1D21"/>
    <w:rsid w:val="008E1E7B"/>
    <w:rsid w:val="008E1EF4"/>
    <w:rsid w:val="008E1F92"/>
    <w:rsid w:val="008E2164"/>
    <w:rsid w:val="008E29A7"/>
    <w:rsid w:val="008E2B35"/>
    <w:rsid w:val="008E2C67"/>
    <w:rsid w:val="008E3053"/>
    <w:rsid w:val="008E30E6"/>
    <w:rsid w:val="008E32D1"/>
    <w:rsid w:val="008E3507"/>
    <w:rsid w:val="008E3A27"/>
    <w:rsid w:val="008E3BF3"/>
    <w:rsid w:val="008E3DB6"/>
    <w:rsid w:val="008E40AC"/>
    <w:rsid w:val="008E4171"/>
    <w:rsid w:val="008E4211"/>
    <w:rsid w:val="008E4261"/>
    <w:rsid w:val="008E42DB"/>
    <w:rsid w:val="008E42EB"/>
    <w:rsid w:val="008E433C"/>
    <w:rsid w:val="008E4389"/>
    <w:rsid w:val="008E441D"/>
    <w:rsid w:val="008E44BC"/>
    <w:rsid w:val="008E4724"/>
    <w:rsid w:val="008E4A53"/>
    <w:rsid w:val="008E4C8E"/>
    <w:rsid w:val="008E4C9B"/>
    <w:rsid w:val="008E4D04"/>
    <w:rsid w:val="008E4D7D"/>
    <w:rsid w:val="008E4FE7"/>
    <w:rsid w:val="008E5695"/>
    <w:rsid w:val="008E57D9"/>
    <w:rsid w:val="008E5916"/>
    <w:rsid w:val="008E5950"/>
    <w:rsid w:val="008E5964"/>
    <w:rsid w:val="008E5A1A"/>
    <w:rsid w:val="008E5ABE"/>
    <w:rsid w:val="008E5B60"/>
    <w:rsid w:val="008E5BF7"/>
    <w:rsid w:val="008E5EAA"/>
    <w:rsid w:val="008E623F"/>
    <w:rsid w:val="008E62DC"/>
    <w:rsid w:val="008E6386"/>
    <w:rsid w:val="008E63AE"/>
    <w:rsid w:val="008E6512"/>
    <w:rsid w:val="008E65DC"/>
    <w:rsid w:val="008E6782"/>
    <w:rsid w:val="008E67FA"/>
    <w:rsid w:val="008E68CB"/>
    <w:rsid w:val="008E69F6"/>
    <w:rsid w:val="008E6A48"/>
    <w:rsid w:val="008E6D29"/>
    <w:rsid w:val="008E6D8B"/>
    <w:rsid w:val="008E6EC9"/>
    <w:rsid w:val="008E700E"/>
    <w:rsid w:val="008E701C"/>
    <w:rsid w:val="008E7166"/>
    <w:rsid w:val="008E71A8"/>
    <w:rsid w:val="008E73B4"/>
    <w:rsid w:val="008E758D"/>
    <w:rsid w:val="008E766A"/>
    <w:rsid w:val="008E78A4"/>
    <w:rsid w:val="008E7916"/>
    <w:rsid w:val="008E7951"/>
    <w:rsid w:val="008E7B30"/>
    <w:rsid w:val="008E7BCD"/>
    <w:rsid w:val="008E7BD3"/>
    <w:rsid w:val="008E7C49"/>
    <w:rsid w:val="008E7CE7"/>
    <w:rsid w:val="008E7DB6"/>
    <w:rsid w:val="008E7DC3"/>
    <w:rsid w:val="008E7F3E"/>
    <w:rsid w:val="008F00A6"/>
    <w:rsid w:val="008F0251"/>
    <w:rsid w:val="008F035A"/>
    <w:rsid w:val="008F03BA"/>
    <w:rsid w:val="008F046F"/>
    <w:rsid w:val="008F0491"/>
    <w:rsid w:val="008F0592"/>
    <w:rsid w:val="008F05B3"/>
    <w:rsid w:val="008F0A2B"/>
    <w:rsid w:val="008F0B84"/>
    <w:rsid w:val="008F0BEC"/>
    <w:rsid w:val="008F0C81"/>
    <w:rsid w:val="008F0EB0"/>
    <w:rsid w:val="008F0F2A"/>
    <w:rsid w:val="008F101C"/>
    <w:rsid w:val="008F1147"/>
    <w:rsid w:val="008F11EF"/>
    <w:rsid w:val="008F12AF"/>
    <w:rsid w:val="008F1327"/>
    <w:rsid w:val="008F136D"/>
    <w:rsid w:val="008F1382"/>
    <w:rsid w:val="008F1718"/>
    <w:rsid w:val="008F182C"/>
    <w:rsid w:val="008F185F"/>
    <w:rsid w:val="008F18A5"/>
    <w:rsid w:val="008F1B9F"/>
    <w:rsid w:val="008F1CBC"/>
    <w:rsid w:val="008F1CBD"/>
    <w:rsid w:val="008F1F08"/>
    <w:rsid w:val="008F1FCA"/>
    <w:rsid w:val="008F2157"/>
    <w:rsid w:val="008F219C"/>
    <w:rsid w:val="008F21DE"/>
    <w:rsid w:val="008F2702"/>
    <w:rsid w:val="008F271D"/>
    <w:rsid w:val="008F29FD"/>
    <w:rsid w:val="008F2A3B"/>
    <w:rsid w:val="008F2AC1"/>
    <w:rsid w:val="008F2B50"/>
    <w:rsid w:val="008F2C69"/>
    <w:rsid w:val="008F2E7A"/>
    <w:rsid w:val="008F2EE2"/>
    <w:rsid w:val="008F3048"/>
    <w:rsid w:val="008F30E6"/>
    <w:rsid w:val="008F3153"/>
    <w:rsid w:val="008F321C"/>
    <w:rsid w:val="008F32C7"/>
    <w:rsid w:val="008F3323"/>
    <w:rsid w:val="008F3398"/>
    <w:rsid w:val="008F33C4"/>
    <w:rsid w:val="008F3504"/>
    <w:rsid w:val="008F354B"/>
    <w:rsid w:val="008F3677"/>
    <w:rsid w:val="008F3688"/>
    <w:rsid w:val="008F37BA"/>
    <w:rsid w:val="008F37EC"/>
    <w:rsid w:val="008F39BE"/>
    <w:rsid w:val="008F3AAC"/>
    <w:rsid w:val="008F3E38"/>
    <w:rsid w:val="008F4045"/>
    <w:rsid w:val="008F426D"/>
    <w:rsid w:val="008F4292"/>
    <w:rsid w:val="008F433E"/>
    <w:rsid w:val="008F43C8"/>
    <w:rsid w:val="008F45FD"/>
    <w:rsid w:val="008F464A"/>
    <w:rsid w:val="008F4755"/>
    <w:rsid w:val="008F493B"/>
    <w:rsid w:val="008F4A13"/>
    <w:rsid w:val="008F4A72"/>
    <w:rsid w:val="008F4DCC"/>
    <w:rsid w:val="008F4EB7"/>
    <w:rsid w:val="008F5036"/>
    <w:rsid w:val="008F509F"/>
    <w:rsid w:val="008F5163"/>
    <w:rsid w:val="008F51C2"/>
    <w:rsid w:val="008F521A"/>
    <w:rsid w:val="008F53B3"/>
    <w:rsid w:val="008F54F0"/>
    <w:rsid w:val="008F5703"/>
    <w:rsid w:val="008F5721"/>
    <w:rsid w:val="008F580B"/>
    <w:rsid w:val="008F586E"/>
    <w:rsid w:val="008F5891"/>
    <w:rsid w:val="008F59DD"/>
    <w:rsid w:val="008F5A03"/>
    <w:rsid w:val="008F5ADC"/>
    <w:rsid w:val="008F5B10"/>
    <w:rsid w:val="008F5B66"/>
    <w:rsid w:val="008F5B91"/>
    <w:rsid w:val="008F5B96"/>
    <w:rsid w:val="008F5C09"/>
    <w:rsid w:val="008F5DD1"/>
    <w:rsid w:val="008F5FA7"/>
    <w:rsid w:val="008F60C0"/>
    <w:rsid w:val="008F60E2"/>
    <w:rsid w:val="008F63D0"/>
    <w:rsid w:val="008F6432"/>
    <w:rsid w:val="008F6460"/>
    <w:rsid w:val="008F6712"/>
    <w:rsid w:val="008F6715"/>
    <w:rsid w:val="008F67E4"/>
    <w:rsid w:val="008F68FE"/>
    <w:rsid w:val="008F6A42"/>
    <w:rsid w:val="008F6C42"/>
    <w:rsid w:val="008F706A"/>
    <w:rsid w:val="008F729E"/>
    <w:rsid w:val="008F72C1"/>
    <w:rsid w:val="008F73B2"/>
    <w:rsid w:val="008F7883"/>
    <w:rsid w:val="008F79A0"/>
    <w:rsid w:val="008F7B2B"/>
    <w:rsid w:val="008F7B2E"/>
    <w:rsid w:val="008F7B69"/>
    <w:rsid w:val="008F7D23"/>
    <w:rsid w:val="008F7E1A"/>
    <w:rsid w:val="008F7FD3"/>
    <w:rsid w:val="00900020"/>
    <w:rsid w:val="00900044"/>
    <w:rsid w:val="009004E1"/>
    <w:rsid w:val="0090054B"/>
    <w:rsid w:val="009005E3"/>
    <w:rsid w:val="00900A00"/>
    <w:rsid w:val="00900AC8"/>
    <w:rsid w:val="00900B0D"/>
    <w:rsid w:val="00900DB6"/>
    <w:rsid w:val="00900FC7"/>
    <w:rsid w:val="00901005"/>
    <w:rsid w:val="00901147"/>
    <w:rsid w:val="009012B8"/>
    <w:rsid w:val="00901327"/>
    <w:rsid w:val="0090137D"/>
    <w:rsid w:val="009013D6"/>
    <w:rsid w:val="00901739"/>
    <w:rsid w:val="00901771"/>
    <w:rsid w:val="009017DE"/>
    <w:rsid w:val="009018AD"/>
    <w:rsid w:val="00901920"/>
    <w:rsid w:val="00901CFE"/>
    <w:rsid w:val="00901E41"/>
    <w:rsid w:val="00901FCF"/>
    <w:rsid w:val="0090216E"/>
    <w:rsid w:val="00902191"/>
    <w:rsid w:val="009022CA"/>
    <w:rsid w:val="00902314"/>
    <w:rsid w:val="00902410"/>
    <w:rsid w:val="0090247F"/>
    <w:rsid w:val="009024EB"/>
    <w:rsid w:val="009025B1"/>
    <w:rsid w:val="00902681"/>
    <w:rsid w:val="00902817"/>
    <w:rsid w:val="00902899"/>
    <w:rsid w:val="009028F7"/>
    <w:rsid w:val="00902A1A"/>
    <w:rsid w:val="00902B0F"/>
    <w:rsid w:val="00902BBF"/>
    <w:rsid w:val="00902DF2"/>
    <w:rsid w:val="00902EEF"/>
    <w:rsid w:val="00903043"/>
    <w:rsid w:val="0090315B"/>
    <w:rsid w:val="00903195"/>
    <w:rsid w:val="0090330C"/>
    <w:rsid w:val="00903317"/>
    <w:rsid w:val="009033D3"/>
    <w:rsid w:val="0090363E"/>
    <w:rsid w:val="00903846"/>
    <w:rsid w:val="00903CA3"/>
    <w:rsid w:val="00903FB9"/>
    <w:rsid w:val="009040E9"/>
    <w:rsid w:val="00904296"/>
    <w:rsid w:val="00904376"/>
    <w:rsid w:val="00904432"/>
    <w:rsid w:val="00904563"/>
    <w:rsid w:val="009046A0"/>
    <w:rsid w:val="00904994"/>
    <w:rsid w:val="009049EC"/>
    <w:rsid w:val="00904A4D"/>
    <w:rsid w:val="00904B8F"/>
    <w:rsid w:val="00904DE6"/>
    <w:rsid w:val="00904E3E"/>
    <w:rsid w:val="00904E5B"/>
    <w:rsid w:val="00904EED"/>
    <w:rsid w:val="00904EEF"/>
    <w:rsid w:val="00904F8C"/>
    <w:rsid w:val="00905242"/>
    <w:rsid w:val="00905250"/>
    <w:rsid w:val="009052BC"/>
    <w:rsid w:val="00905440"/>
    <w:rsid w:val="0090544B"/>
    <w:rsid w:val="00905608"/>
    <w:rsid w:val="009057FB"/>
    <w:rsid w:val="00905FA3"/>
    <w:rsid w:val="0090612D"/>
    <w:rsid w:val="00906156"/>
    <w:rsid w:val="009062BF"/>
    <w:rsid w:val="00906302"/>
    <w:rsid w:val="009063ED"/>
    <w:rsid w:val="009064E9"/>
    <w:rsid w:val="009064F4"/>
    <w:rsid w:val="00906550"/>
    <w:rsid w:val="00906598"/>
    <w:rsid w:val="009065A0"/>
    <w:rsid w:val="0090680B"/>
    <w:rsid w:val="009068CB"/>
    <w:rsid w:val="009069A4"/>
    <w:rsid w:val="00906AC5"/>
    <w:rsid w:val="00906C98"/>
    <w:rsid w:val="00906D07"/>
    <w:rsid w:val="00906E89"/>
    <w:rsid w:val="00907195"/>
    <w:rsid w:val="0090723D"/>
    <w:rsid w:val="00907278"/>
    <w:rsid w:val="00907556"/>
    <w:rsid w:val="0090763B"/>
    <w:rsid w:val="0090772C"/>
    <w:rsid w:val="0090779D"/>
    <w:rsid w:val="009078C9"/>
    <w:rsid w:val="00907C6C"/>
    <w:rsid w:val="00907D13"/>
    <w:rsid w:val="00907F0D"/>
    <w:rsid w:val="00907FA1"/>
    <w:rsid w:val="00907FFE"/>
    <w:rsid w:val="00910151"/>
    <w:rsid w:val="00910240"/>
    <w:rsid w:val="00910579"/>
    <w:rsid w:val="0091090D"/>
    <w:rsid w:val="00910918"/>
    <w:rsid w:val="00910934"/>
    <w:rsid w:val="00910A0A"/>
    <w:rsid w:val="00910BD6"/>
    <w:rsid w:val="00910C2F"/>
    <w:rsid w:val="00910D8F"/>
    <w:rsid w:val="00910D97"/>
    <w:rsid w:val="00910E8A"/>
    <w:rsid w:val="00910FB9"/>
    <w:rsid w:val="009111EE"/>
    <w:rsid w:val="009112D7"/>
    <w:rsid w:val="009113A9"/>
    <w:rsid w:val="00911423"/>
    <w:rsid w:val="0091143D"/>
    <w:rsid w:val="009114ED"/>
    <w:rsid w:val="00911676"/>
    <w:rsid w:val="00911692"/>
    <w:rsid w:val="00911726"/>
    <w:rsid w:val="0091175A"/>
    <w:rsid w:val="00911A32"/>
    <w:rsid w:val="00911BC7"/>
    <w:rsid w:val="00911C51"/>
    <w:rsid w:val="00911C8B"/>
    <w:rsid w:val="00911CD4"/>
    <w:rsid w:val="00911CEC"/>
    <w:rsid w:val="00911F51"/>
    <w:rsid w:val="0091227B"/>
    <w:rsid w:val="00912328"/>
    <w:rsid w:val="00912484"/>
    <w:rsid w:val="00912559"/>
    <w:rsid w:val="0091284B"/>
    <w:rsid w:val="00912855"/>
    <w:rsid w:val="00912938"/>
    <w:rsid w:val="009129A7"/>
    <w:rsid w:val="00912BB3"/>
    <w:rsid w:val="00912D87"/>
    <w:rsid w:val="00912DBD"/>
    <w:rsid w:val="009131A3"/>
    <w:rsid w:val="009131F3"/>
    <w:rsid w:val="00913299"/>
    <w:rsid w:val="0091332A"/>
    <w:rsid w:val="009133A7"/>
    <w:rsid w:val="009133CF"/>
    <w:rsid w:val="0091341D"/>
    <w:rsid w:val="00913423"/>
    <w:rsid w:val="0091368E"/>
    <w:rsid w:val="00913713"/>
    <w:rsid w:val="00913899"/>
    <w:rsid w:val="00913999"/>
    <w:rsid w:val="009139EB"/>
    <w:rsid w:val="00913A06"/>
    <w:rsid w:val="00913DF5"/>
    <w:rsid w:val="00913E87"/>
    <w:rsid w:val="00913EA8"/>
    <w:rsid w:val="00914023"/>
    <w:rsid w:val="00914138"/>
    <w:rsid w:val="0091413A"/>
    <w:rsid w:val="00914225"/>
    <w:rsid w:val="009145D3"/>
    <w:rsid w:val="009145D6"/>
    <w:rsid w:val="009145F5"/>
    <w:rsid w:val="00914732"/>
    <w:rsid w:val="009147A6"/>
    <w:rsid w:val="00914C52"/>
    <w:rsid w:val="00914CB0"/>
    <w:rsid w:val="00914D82"/>
    <w:rsid w:val="00914EE5"/>
    <w:rsid w:val="00915172"/>
    <w:rsid w:val="0091520E"/>
    <w:rsid w:val="0091530E"/>
    <w:rsid w:val="009153EA"/>
    <w:rsid w:val="00915582"/>
    <w:rsid w:val="00915704"/>
    <w:rsid w:val="00915807"/>
    <w:rsid w:val="0091593C"/>
    <w:rsid w:val="00915971"/>
    <w:rsid w:val="00915C01"/>
    <w:rsid w:val="00915D1B"/>
    <w:rsid w:val="00915F11"/>
    <w:rsid w:val="00916223"/>
    <w:rsid w:val="009162D3"/>
    <w:rsid w:val="0091632E"/>
    <w:rsid w:val="009165D8"/>
    <w:rsid w:val="0091682F"/>
    <w:rsid w:val="0091694D"/>
    <w:rsid w:val="00916970"/>
    <w:rsid w:val="00916A1A"/>
    <w:rsid w:val="00916AB7"/>
    <w:rsid w:val="00916BCB"/>
    <w:rsid w:val="00916C26"/>
    <w:rsid w:val="00916C6C"/>
    <w:rsid w:val="00916C8F"/>
    <w:rsid w:val="00916DF3"/>
    <w:rsid w:val="00916F22"/>
    <w:rsid w:val="00916F40"/>
    <w:rsid w:val="00916F9C"/>
    <w:rsid w:val="00917000"/>
    <w:rsid w:val="00917076"/>
    <w:rsid w:val="009174AF"/>
    <w:rsid w:val="0091755E"/>
    <w:rsid w:val="009175F2"/>
    <w:rsid w:val="00917728"/>
    <w:rsid w:val="009177E4"/>
    <w:rsid w:val="00917809"/>
    <w:rsid w:val="0091782D"/>
    <w:rsid w:val="0091788F"/>
    <w:rsid w:val="00917893"/>
    <w:rsid w:val="0091793F"/>
    <w:rsid w:val="00917B53"/>
    <w:rsid w:val="00917BC9"/>
    <w:rsid w:val="00917CBB"/>
    <w:rsid w:val="00917DDB"/>
    <w:rsid w:val="00917E9B"/>
    <w:rsid w:val="009200DE"/>
    <w:rsid w:val="009201F1"/>
    <w:rsid w:val="00920335"/>
    <w:rsid w:val="009203C8"/>
    <w:rsid w:val="009203E6"/>
    <w:rsid w:val="0092046F"/>
    <w:rsid w:val="0092048A"/>
    <w:rsid w:val="00920504"/>
    <w:rsid w:val="00920765"/>
    <w:rsid w:val="00920777"/>
    <w:rsid w:val="0092077D"/>
    <w:rsid w:val="00920792"/>
    <w:rsid w:val="009207C6"/>
    <w:rsid w:val="009208E5"/>
    <w:rsid w:val="009209BB"/>
    <w:rsid w:val="00920AE0"/>
    <w:rsid w:val="00920B5E"/>
    <w:rsid w:val="00920C8C"/>
    <w:rsid w:val="00920C90"/>
    <w:rsid w:val="00920EC5"/>
    <w:rsid w:val="00920ED9"/>
    <w:rsid w:val="00920EFC"/>
    <w:rsid w:val="00920F39"/>
    <w:rsid w:val="00920FC7"/>
    <w:rsid w:val="00921004"/>
    <w:rsid w:val="0092102C"/>
    <w:rsid w:val="009210CC"/>
    <w:rsid w:val="0092150E"/>
    <w:rsid w:val="00921698"/>
    <w:rsid w:val="009216E3"/>
    <w:rsid w:val="00921778"/>
    <w:rsid w:val="0092187E"/>
    <w:rsid w:val="009218B3"/>
    <w:rsid w:val="009218F6"/>
    <w:rsid w:val="0092191E"/>
    <w:rsid w:val="00921A12"/>
    <w:rsid w:val="00921A60"/>
    <w:rsid w:val="00921AC5"/>
    <w:rsid w:val="00921AEE"/>
    <w:rsid w:val="00921B15"/>
    <w:rsid w:val="00921B2B"/>
    <w:rsid w:val="00921C9F"/>
    <w:rsid w:val="00921D5F"/>
    <w:rsid w:val="00921DDF"/>
    <w:rsid w:val="00921F60"/>
    <w:rsid w:val="0092228D"/>
    <w:rsid w:val="009222E2"/>
    <w:rsid w:val="00922457"/>
    <w:rsid w:val="009224A9"/>
    <w:rsid w:val="00922659"/>
    <w:rsid w:val="00922764"/>
    <w:rsid w:val="00922888"/>
    <w:rsid w:val="0092299B"/>
    <w:rsid w:val="00922A00"/>
    <w:rsid w:val="00922A4C"/>
    <w:rsid w:val="00922AA2"/>
    <w:rsid w:val="00922C7E"/>
    <w:rsid w:val="00922D80"/>
    <w:rsid w:val="00922D9F"/>
    <w:rsid w:val="00922DB7"/>
    <w:rsid w:val="00922E88"/>
    <w:rsid w:val="0092309A"/>
    <w:rsid w:val="00923107"/>
    <w:rsid w:val="009233FA"/>
    <w:rsid w:val="0092355D"/>
    <w:rsid w:val="0092357E"/>
    <w:rsid w:val="00923583"/>
    <w:rsid w:val="009235DC"/>
    <w:rsid w:val="00923780"/>
    <w:rsid w:val="00923820"/>
    <w:rsid w:val="0092389C"/>
    <w:rsid w:val="0092393F"/>
    <w:rsid w:val="009239DD"/>
    <w:rsid w:val="00923D77"/>
    <w:rsid w:val="00923E7B"/>
    <w:rsid w:val="00924130"/>
    <w:rsid w:val="0092422C"/>
    <w:rsid w:val="00924346"/>
    <w:rsid w:val="009243D2"/>
    <w:rsid w:val="00924592"/>
    <w:rsid w:val="009247F7"/>
    <w:rsid w:val="00924C4B"/>
    <w:rsid w:val="00924CBA"/>
    <w:rsid w:val="00924CE1"/>
    <w:rsid w:val="00925049"/>
    <w:rsid w:val="009250D6"/>
    <w:rsid w:val="0092512A"/>
    <w:rsid w:val="00925307"/>
    <w:rsid w:val="00925460"/>
    <w:rsid w:val="00925490"/>
    <w:rsid w:val="009254C4"/>
    <w:rsid w:val="009254EC"/>
    <w:rsid w:val="009257BE"/>
    <w:rsid w:val="009257D4"/>
    <w:rsid w:val="00925955"/>
    <w:rsid w:val="00925A0D"/>
    <w:rsid w:val="00925D18"/>
    <w:rsid w:val="00925E64"/>
    <w:rsid w:val="00926163"/>
    <w:rsid w:val="009262AD"/>
    <w:rsid w:val="009264FB"/>
    <w:rsid w:val="009266DA"/>
    <w:rsid w:val="0092676C"/>
    <w:rsid w:val="00926A86"/>
    <w:rsid w:val="00926E42"/>
    <w:rsid w:val="00926EEF"/>
    <w:rsid w:val="00926FD1"/>
    <w:rsid w:val="0092707B"/>
    <w:rsid w:val="009271E3"/>
    <w:rsid w:val="00927349"/>
    <w:rsid w:val="009273DC"/>
    <w:rsid w:val="0092758A"/>
    <w:rsid w:val="00927595"/>
    <w:rsid w:val="009276DE"/>
    <w:rsid w:val="00927959"/>
    <w:rsid w:val="00927BBA"/>
    <w:rsid w:val="00927BE2"/>
    <w:rsid w:val="00927C28"/>
    <w:rsid w:val="00927F8A"/>
    <w:rsid w:val="00927FAA"/>
    <w:rsid w:val="00927FFE"/>
    <w:rsid w:val="00930036"/>
    <w:rsid w:val="009301B6"/>
    <w:rsid w:val="009301E4"/>
    <w:rsid w:val="009303E0"/>
    <w:rsid w:val="00930628"/>
    <w:rsid w:val="00930742"/>
    <w:rsid w:val="00930849"/>
    <w:rsid w:val="009309E0"/>
    <w:rsid w:val="00930A4D"/>
    <w:rsid w:val="00930AF0"/>
    <w:rsid w:val="00930BCF"/>
    <w:rsid w:val="00930F5E"/>
    <w:rsid w:val="00930F64"/>
    <w:rsid w:val="009310EC"/>
    <w:rsid w:val="009311B1"/>
    <w:rsid w:val="009312DF"/>
    <w:rsid w:val="00931389"/>
    <w:rsid w:val="009313D2"/>
    <w:rsid w:val="009313FA"/>
    <w:rsid w:val="00931701"/>
    <w:rsid w:val="00931D72"/>
    <w:rsid w:val="00931EA3"/>
    <w:rsid w:val="00931F33"/>
    <w:rsid w:val="0093216A"/>
    <w:rsid w:val="009322DA"/>
    <w:rsid w:val="0093237D"/>
    <w:rsid w:val="00932705"/>
    <w:rsid w:val="00932796"/>
    <w:rsid w:val="009327C7"/>
    <w:rsid w:val="00932925"/>
    <w:rsid w:val="00932A84"/>
    <w:rsid w:val="00932AAC"/>
    <w:rsid w:val="00932B7B"/>
    <w:rsid w:val="00932B89"/>
    <w:rsid w:val="00932C18"/>
    <w:rsid w:val="00932DB3"/>
    <w:rsid w:val="00932F3E"/>
    <w:rsid w:val="0093319D"/>
    <w:rsid w:val="009333E9"/>
    <w:rsid w:val="0093349D"/>
    <w:rsid w:val="0093365C"/>
    <w:rsid w:val="00933705"/>
    <w:rsid w:val="009337AF"/>
    <w:rsid w:val="00933800"/>
    <w:rsid w:val="0093392E"/>
    <w:rsid w:val="00933C2F"/>
    <w:rsid w:val="00933C54"/>
    <w:rsid w:val="00933CAD"/>
    <w:rsid w:val="00933D4D"/>
    <w:rsid w:val="00934141"/>
    <w:rsid w:val="009342C1"/>
    <w:rsid w:val="0093453A"/>
    <w:rsid w:val="00934595"/>
    <w:rsid w:val="0093464F"/>
    <w:rsid w:val="00934767"/>
    <w:rsid w:val="00934949"/>
    <w:rsid w:val="0093496F"/>
    <w:rsid w:val="00934A26"/>
    <w:rsid w:val="00934AAA"/>
    <w:rsid w:val="00934B10"/>
    <w:rsid w:val="00934B86"/>
    <w:rsid w:val="00934D8F"/>
    <w:rsid w:val="00934DB8"/>
    <w:rsid w:val="00934EAA"/>
    <w:rsid w:val="00935104"/>
    <w:rsid w:val="00935298"/>
    <w:rsid w:val="009352DB"/>
    <w:rsid w:val="009352EE"/>
    <w:rsid w:val="009352FE"/>
    <w:rsid w:val="00935396"/>
    <w:rsid w:val="0093584A"/>
    <w:rsid w:val="00935B57"/>
    <w:rsid w:val="00935CB5"/>
    <w:rsid w:val="00935FF8"/>
    <w:rsid w:val="00936041"/>
    <w:rsid w:val="0093608A"/>
    <w:rsid w:val="0093636E"/>
    <w:rsid w:val="009364F4"/>
    <w:rsid w:val="00936B77"/>
    <w:rsid w:val="00936B78"/>
    <w:rsid w:val="00936D2B"/>
    <w:rsid w:val="00936D4A"/>
    <w:rsid w:val="00936EA9"/>
    <w:rsid w:val="00936FC8"/>
    <w:rsid w:val="00936FF1"/>
    <w:rsid w:val="00937044"/>
    <w:rsid w:val="00937138"/>
    <w:rsid w:val="00937191"/>
    <w:rsid w:val="009371C0"/>
    <w:rsid w:val="00937336"/>
    <w:rsid w:val="00937577"/>
    <w:rsid w:val="0093762B"/>
    <w:rsid w:val="009377B0"/>
    <w:rsid w:val="0093785B"/>
    <w:rsid w:val="009378A7"/>
    <w:rsid w:val="009379DD"/>
    <w:rsid w:val="009379F9"/>
    <w:rsid w:val="00937A54"/>
    <w:rsid w:val="00937B84"/>
    <w:rsid w:val="00937C01"/>
    <w:rsid w:val="00937EA9"/>
    <w:rsid w:val="00937ED9"/>
    <w:rsid w:val="00937F34"/>
    <w:rsid w:val="009400A0"/>
    <w:rsid w:val="009401B2"/>
    <w:rsid w:val="009401D4"/>
    <w:rsid w:val="00940600"/>
    <w:rsid w:val="00940836"/>
    <w:rsid w:val="00940861"/>
    <w:rsid w:val="00940912"/>
    <w:rsid w:val="00940AAB"/>
    <w:rsid w:val="00940BE4"/>
    <w:rsid w:val="00940D4D"/>
    <w:rsid w:val="00940E09"/>
    <w:rsid w:val="00940F5D"/>
    <w:rsid w:val="00941087"/>
    <w:rsid w:val="0094123F"/>
    <w:rsid w:val="00941307"/>
    <w:rsid w:val="0094134D"/>
    <w:rsid w:val="009413FF"/>
    <w:rsid w:val="009415B1"/>
    <w:rsid w:val="009416D4"/>
    <w:rsid w:val="00941712"/>
    <w:rsid w:val="0094179B"/>
    <w:rsid w:val="0094179C"/>
    <w:rsid w:val="00941EB4"/>
    <w:rsid w:val="00941FAD"/>
    <w:rsid w:val="00942003"/>
    <w:rsid w:val="0094217A"/>
    <w:rsid w:val="009425EC"/>
    <w:rsid w:val="009426C3"/>
    <w:rsid w:val="0094272B"/>
    <w:rsid w:val="009427C6"/>
    <w:rsid w:val="009427F0"/>
    <w:rsid w:val="00942891"/>
    <w:rsid w:val="00942969"/>
    <w:rsid w:val="009429A5"/>
    <w:rsid w:val="00942ADE"/>
    <w:rsid w:val="00942B63"/>
    <w:rsid w:val="00942C11"/>
    <w:rsid w:val="00942C3A"/>
    <w:rsid w:val="00942D6C"/>
    <w:rsid w:val="00942D74"/>
    <w:rsid w:val="00942D77"/>
    <w:rsid w:val="00942DB5"/>
    <w:rsid w:val="00942EA1"/>
    <w:rsid w:val="00942FC2"/>
    <w:rsid w:val="00942FFA"/>
    <w:rsid w:val="009431A9"/>
    <w:rsid w:val="0094323B"/>
    <w:rsid w:val="00943277"/>
    <w:rsid w:val="0094340B"/>
    <w:rsid w:val="009435C3"/>
    <w:rsid w:val="009436F9"/>
    <w:rsid w:val="00943772"/>
    <w:rsid w:val="00943ACC"/>
    <w:rsid w:val="00943BDA"/>
    <w:rsid w:val="00943D82"/>
    <w:rsid w:val="00943D9D"/>
    <w:rsid w:val="00943DBE"/>
    <w:rsid w:val="00943E6C"/>
    <w:rsid w:val="00943E9D"/>
    <w:rsid w:val="00943F62"/>
    <w:rsid w:val="00943FF8"/>
    <w:rsid w:val="009441A9"/>
    <w:rsid w:val="00944228"/>
    <w:rsid w:val="009443D2"/>
    <w:rsid w:val="00944429"/>
    <w:rsid w:val="00944457"/>
    <w:rsid w:val="00944478"/>
    <w:rsid w:val="00944589"/>
    <w:rsid w:val="00944740"/>
    <w:rsid w:val="00944784"/>
    <w:rsid w:val="009447A3"/>
    <w:rsid w:val="009449CD"/>
    <w:rsid w:val="00944A1C"/>
    <w:rsid w:val="00944B0C"/>
    <w:rsid w:val="00944BCA"/>
    <w:rsid w:val="00944CE4"/>
    <w:rsid w:val="00944DD2"/>
    <w:rsid w:val="00944DD6"/>
    <w:rsid w:val="00944E9F"/>
    <w:rsid w:val="00944FDB"/>
    <w:rsid w:val="009451C7"/>
    <w:rsid w:val="00945287"/>
    <w:rsid w:val="009452F1"/>
    <w:rsid w:val="00945391"/>
    <w:rsid w:val="009454AD"/>
    <w:rsid w:val="009454D9"/>
    <w:rsid w:val="00945612"/>
    <w:rsid w:val="0094567C"/>
    <w:rsid w:val="00945980"/>
    <w:rsid w:val="00945D4F"/>
    <w:rsid w:val="00945D6C"/>
    <w:rsid w:val="00945E15"/>
    <w:rsid w:val="00945E7A"/>
    <w:rsid w:val="00946072"/>
    <w:rsid w:val="00946106"/>
    <w:rsid w:val="009462AB"/>
    <w:rsid w:val="00946303"/>
    <w:rsid w:val="009463DE"/>
    <w:rsid w:val="00946460"/>
    <w:rsid w:val="009464FA"/>
    <w:rsid w:val="00946772"/>
    <w:rsid w:val="009469DE"/>
    <w:rsid w:val="00946A51"/>
    <w:rsid w:val="00946B50"/>
    <w:rsid w:val="00946BF0"/>
    <w:rsid w:val="00946D29"/>
    <w:rsid w:val="00946E3D"/>
    <w:rsid w:val="009470F8"/>
    <w:rsid w:val="00947192"/>
    <w:rsid w:val="009471F8"/>
    <w:rsid w:val="0094728C"/>
    <w:rsid w:val="00947346"/>
    <w:rsid w:val="00947371"/>
    <w:rsid w:val="00947391"/>
    <w:rsid w:val="0094757F"/>
    <w:rsid w:val="00947831"/>
    <w:rsid w:val="009478D8"/>
    <w:rsid w:val="009478F5"/>
    <w:rsid w:val="009479EA"/>
    <w:rsid w:val="00947AF5"/>
    <w:rsid w:val="00947B04"/>
    <w:rsid w:val="00947C46"/>
    <w:rsid w:val="00947E7E"/>
    <w:rsid w:val="00947FB9"/>
    <w:rsid w:val="009503B4"/>
    <w:rsid w:val="009503D6"/>
    <w:rsid w:val="00950606"/>
    <w:rsid w:val="009507D7"/>
    <w:rsid w:val="00950859"/>
    <w:rsid w:val="009509D0"/>
    <w:rsid w:val="00950CCB"/>
    <w:rsid w:val="00950CE2"/>
    <w:rsid w:val="00950E02"/>
    <w:rsid w:val="00950EA0"/>
    <w:rsid w:val="00950FDC"/>
    <w:rsid w:val="00951017"/>
    <w:rsid w:val="009510C0"/>
    <w:rsid w:val="009511FB"/>
    <w:rsid w:val="009515A6"/>
    <w:rsid w:val="009517BE"/>
    <w:rsid w:val="009517EC"/>
    <w:rsid w:val="009519A8"/>
    <w:rsid w:val="00951B34"/>
    <w:rsid w:val="00951B4F"/>
    <w:rsid w:val="00951B94"/>
    <w:rsid w:val="00951BBD"/>
    <w:rsid w:val="00951D04"/>
    <w:rsid w:val="00951E11"/>
    <w:rsid w:val="00951EE3"/>
    <w:rsid w:val="00951F1F"/>
    <w:rsid w:val="00951F3E"/>
    <w:rsid w:val="00951F84"/>
    <w:rsid w:val="00952047"/>
    <w:rsid w:val="009520D7"/>
    <w:rsid w:val="009524A7"/>
    <w:rsid w:val="00952758"/>
    <w:rsid w:val="0095278E"/>
    <w:rsid w:val="00952958"/>
    <w:rsid w:val="00952A75"/>
    <w:rsid w:val="00952CB7"/>
    <w:rsid w:val="00952D62"/>
    <w:rsid w:val="00952FEE"/>
    <w:rsid w:val="00953063"/>
    <w:rsid w:val="00953140"/>
    <w:rsid w:val="00953372"/>
    <w:rsid w:val="009533F3"/>
    <w:rsid w:val="0095350F"/>
    <w:rsid w:val="00953629"/>
    <w:rsid w:val="0095362C"/>
    <w:rsid w:val="00953831"/>
    <w:rsid w:val="009538EB"/>
    <w:rsid w:val="0095398E"/>
    <w:rsid w:val="00953CDA"/>
    <w:rsid w:val="00953E7E"/>
    <w:rsid w:val="00953ECC"/>
    <w:rsid w:val="00954239"/>
    <w:rsid w:val="00954343"/>
    <w:rsid w:val="009544E0"/>
    <w:rsid w:val="0095453D"/>
    <w:rsid w:val="0095463C"/>
    <w:rsid w:val="0095480A"/>
    <w:rsid w:val="009548E5"/>
    <w:rsid w:val="00954EA6"/>
    <w:rsid w:val="00954EAC"/>
    <w:rsid w:val="00954FFB"/>
    <w:rsid w:val="00955038"/>
    <w:rsid w:val="00955075"/>
    <w:rsid w:val="00955585"/>
    <w:rsid w:val="00955662"/>
    <w:rsid w:val="0095579C"/>
    <w:rsid w:val="00955822"/>
    <w:rsid w:val="00955A5F"/>
    <w:rsid w:val="00955AAC"/>
    <w:rsid w:val="00955AB0"/>
    <w:rsid w:val="00955ACC"/>
    <w:rsid w:val="00955B00"/>
    <w:rsid w:val="00955BAC"/>
    <w:rsid w:val="00955C13"/>
    <w:rsid w:val="00955C9B"/>
    <w:rsid w:val="00955D2F"/>
    <w:rsid w:val="00955E20"/>
    <w:rsid w:val="00955F3F"/>
    <w:rsid w:val="00956346"/>
    <w:rsid w:val="00956476"/>
    <w:rsid w:val="00956602"/>
    <w:rsid w:val="00956793"/>
    <w:rsid w:val="00956865"/>
    <w:rsid w:val="009568A5"/>
    <w:rsid w:val="00956A09"/>
    <w:rsid w:val="00956C2C"/>
    <w:rsid w:val="00956E92"/>
    <w:rsid w:val="009571E8"/>
    <w:rsid w:val="009576FF"/>
    <w:rsid w:val="009577E2"/>
    <w:rsid w:val="009578B0"/>
    <w:rsid w:val="0095796C"/>
    <w:rsid w:val="009579D4"/>
    <w:rsid w:val="00957C19"/>
    <w:rsid w:val="00957D17"/>
    <w:rsid w:val="00957E5D"/>
    <w:rsid w:val="00957FD0"/>
    <w:rsid w:val="00960502"/>
    <w:rsid w:val="00960570"/>
    <w:rsid w:val="009605AB"/>
    <w:rsid w:val="00960750"/>
    <w:rsid w:val="00960816"/>
    <w:rsid w:val="009609C9"/>
    <w:rsid w:val="00960B77"/>
    <w:rsid w:val="00961092"/>
    <w:rsid w:val="00961206"/>
    <w:rsid w:val="00961238"/>
    <w:rsid w:val="00961344"/>
    <w:rsid w:val="009613DF"/>
    <w:rsid w:val="009618F7"/>
    <w:rsid w:val="00961B1C"/>
    <w:rsid w:val="00961B99"/>
    <w:rsid w:val="00961CE0"/>
    <w:rsid w:val="00961CE1"/>
    <w:rsid w:val="00961D4C"/>
    <w:rsid w:val="00961DFC"/>
    <w:rsid w:val="00962043"/>
    <w:rsid w:val="00962365"/>
    <w:rsid w:val="009623C7"/>
    <w:rsid w:val="009624B5"/>
    <w:rsid w:val="00962532"/>
    <w:rsid w:val="009625AA"/>
    <w:rsid w:val="00962609"/>
    <w:rsid w:val="00962652"/>
    <w:rsid w:val="009626BC"/>
    <w:rsid w:val="0096283A"/>
    <w:rsid w:val="00962C6E"/>
    <w:rsid w:val="00962CA1"/>
    <w:rsid w:val="00962E5F"/>
    <w:rsid w:val="00962F0E"/>
    <w:rsid w:val="00962F11"/>
    <w:rsid w:val="00962F55"/>
    <w:rsid w:val="009630CA"/>
    <w:rsid w:val="00963351"/>
    <w:rsid w:val="009635F4"/>
    <w:rsid w:val="0096362E"/>
    <w:rsid w:val="00963768"/>
    <w:rsid w:val="0096389C"/>
    <w:rsid w:val="00963C07"/>
    <w:rsid w:val="00963E53"/>
    <w:rsid w:val="00963F41"/>
    <w:rsid w:val="00964180"/>
    <w:rsid w:val="0096420C"/>
    <w:rsid w:val="00964629"/>
    <w:rsid w:val="009647D5"/>
    <w:rsid w:val="009648AB"/>
    <w:rsid w:val="00964952"/>
    <w:rsid w:val="009649CE"/>
    <w:rsid w:val="009649F8"/>
    <w:rsid w:val="00964CA5"/>
    <w:rsid w:val="00964CC5"/>
    <w:rsid w:val="009651D6"/>
    <w:rsid w:val="009652C3"/>
    <w:rsid w:val="009652F3"/>
    <w:rsid w:val="0096534C"/>
    <w:rsid w:val="0096539D"/>
    <w:rsid w:val="00965417"/>
    <w:rsid w:val="00965453"/>
    <w:rsid w:val="0096551D"/>
    <w:rsid w:val="00965576"/>
    <w:rsid w:val="00965865"/>
    <w:rsid w:val="00965911"/>
    <w:rsid w:val="00965A7B"/>
    <w:rsid w:val="00965B68"/>
    <w:rsid w:val="00965C63"/>
    <w:rsid w:val="00965E63"/>
    <w:rsid w:val="00965EA3"/>
    <w:rsid w:val="0096613D"/>
    <w:rsid w:val="00966142"/>
    <w:rsid w:val="0096644A"/>
    <w:rsid w:val="009664E0"/>
    <w:rsid w:val="009665F9"/>
    <w:rsid w:val="009668D5"/>
    <w:rsid w:val="00966972"/>
    <w:rsid w:val="009669D1"/>
    <w:rsid w:val="00966AA7"/>
    <w:rsid w:val="00966AD9"/>
    <w:rsid w:val="00966D77"/>
    <w:rsid w:val="00967178"/>
    <w:rsid w:val="009674EB"/>
    <w:rsid w:val="00967733"/>
    <w:rsid w:val="00967799"/>
    <w:rsid w:val="0096779B"/>
    <w:rsid w:val="00967861"/>
    <w:rsid w:val="00967933"/>
    <w:rsid w:val="0096794A"/>
    <w:rsid w:val="00967A73"/>
    <w:rsid w:val="00967AB2"/>
    <w:rsid w:val="00967E60"/>
    <w:rsid w:val="00967F5B"/>
    <w:rsid w:val="009700C8"/>
    <w:rsid w:val="009703E4"/>
    <w:rsid w:val="00970477"/>
    <w:rsid w:val="009705E6"/>
    <w:rsid w:val="00970733"/>
    <w:rsid w:val="00970AB2"/>
    <w:rsid w:val="00970B79"/>
    <w:rsid w:val="00970BB1"/>
    <w:rsid w:val="00970D56"/>
    <w:rsid w:val="00970E78"/>
    <w:rsid w:val="00970EA8"/>
    <w:rsid w:val="00970EB8"/>
    <w:rsid w:val="00970F60"/>
    <w:rsid w:val="00971379"/>
    <w:rsid w:val="00971385"/>
    <w:rsid w:val="009714EC"/>
    <w:rsid w:val="0097162C"/>
    <w:rsid w:val="009716FB"/>
    <w:rsid w:val="009717F1"/>
    <w:rsid w:val="00971B32"/>
    <w:rsid w:val="00971BFD"/>
    <w:rsid w:val="00971CD6"/>
    <w:rsid w:val="00971CFA"/>
    <w:rsid w:val="00971DE8"/>
    <w:rsid w:val="00971F3A"/>
    <w:rsid w:val="0097219D"/>
    <w:rsid w:val="009721CB"/>
    <w:rsid w:val="009722B8"/>
    <w:rsid w:val="00972343"/>
    <w:rsid w:val="00972344"/>
    <w:rsid w:val="0097267C"/>
    <w:rsid w:val="009726EE"/>
    <w:rsid w:val="00972736"/>
    <w:rsid w:val="00972A23"/>
    <w:rsid w:val="00972A66"/>
    <w:rsid w:val="00972B52"/>
    <w:rsid w:val="00972C1D"/>
    <w:rsid w:val="00972CF6"/>
    <w:rsid w:val="00972D38"/>
    <w:rsid w:val="00972E7A"/>
    <w:rsid w:val="00972F93"/>
    <w:rsid w:val="0097313E"/>
    <w:rsid w:val="00973494"/>
    <w:rsid w:val="009734B2"/>
    <w:rsid w:val="00973582"/>
    <w:rsid w:val="0097359D"/>
    <w:rsid w:val="009735A0"/>
    <w:rsid w:val="00973710"/>
    <w:rsid w:val="009738C1"/>
    <w:rsid w:val="00973D33"/>
    <w:rsid w:val="0097423B"/>
    <w:rsid w:val="00974256"/>
    <w:rsid w:val="00974413"/>
    <w:rsid w:val="009745EA"/>
    <w:rsid w:val="0097469D"/>
    <w:rsid w:val="009746C9"/>
    <w:rsid w:val="009747C3"/>
    <w:rsid w:val="00974946"/>
    <w:rsid w:val="009749AB"/>
    <w:rsid w:val="00974A19"/>
    <w:rsid w:val="00974A23"/>
    <w:rsid w:val="00974A39"/>
    <w:rsid w:val="00974ABB"/>
    <w:rsid w:val="00974C00"/>
    <w:rsid w:val="009750C8"/>
    <w:rsid w:val="009750DE"/>
    <w:rsid w:val="00975125"/>
    <w:rsid w:val="009751FA"/>
    <w:rsid w:val="0097537F"/>
    <w:rsid w:val="00975603"/>
    <w:rsid w:val="00975873"/>
    <w:rsid w:val="00975A34"/>
    <w:rsid w:val="00975C3D"/>
    <w:rsid w:val="009764DC"/>
    <w:rsid w:val="00976526"/>
    <w:rsid w:val="0097661F"/>
    <w:rsid w:val="009766B4"/>
    <w:rsid w:val="00976831"/>
    <w:rsid w:val="0097683E"/>
    <w:rsid w:val="00976B95"/>
    <w:rsid w:val="00976CC2"/>
    <w:rsid w:val="00977170"/>
    <w:rsid w:val="00977307"/>
    <w:rsid w:val="00977375"/>
    <w:rsid w:val="009773F9"/>
    <w:rsid w:val="0097741A"/>
    <w:rsid w:val="00977621"/>
    <w:rsid w:val="0097784E"/>
    <w:rsid w:val="00977A01"/>
    <w:rsid w:val="00977AD1"/>
    <w:rsid w:val="00977B51"/>
    <w:rsid w:val="00977B6A"/>
    <w:rsid w:val="00977C91"/>
    <w:rsid w:val="00977D93"/>
    <w:rsid w:val="00977DA4"/>
    <w:rsid w:val="009800E5"/>
    <w:rsid w:val="009800F2"/>
    <w:rsid w:val="00980267"/>
    <w:rsid w:val="00980277"/>
    <w:rsid w:val="00980280"/>
    <w:rsid w:val="0098036D"/>
    <w:rsid w:val="0098059E"/>
    <w:rsid w:val="0098072A"/>
    <w:rsid w:val="009807AB"/>
    <w:rsid w:val="00980858"/>
    <w:rsid w:val="00980877"/>
    <w:rsid w:val="009809CE"/>
    <w:rsid w:val="00980DE9"/>
    <w:rsid w:val="00980E76"/>
    <w:rsid w:val="00980F2C"/>
    <w:rsid w:val="0098109C"/>
    <w:rsid w:val="00981131"/>
    <w:rsid w:val="009811C4"/>
    <w:rsid w:val="0098133F"/>
    <w:rsid w:val="009815A0"/>
    <w:rsid w:val="009816CB"/>
    <w:rsid w:val="009816CD"/>
    <w:rsid w:val="0098172C"/>
    <w:rsid w:val="0098188D"/>
    <w:rsid w:val="0098190D"/>
    <w:rsid w:val="009819B0"/>
    <w:rsid w:val="00981A71"/>
    <w:rsid w:val="00981B10"/>
    <w:rsid w:val="00981BFE"/>
    <w:rsid w:val="00981C06"/>
    <w:rsid w:val="0098218C"/>
    <w:rsid w:val="009824C5"/>
    <w:rsid w:val="00982600"/>
    <w:rsid w:val="009826C0"/>
    <w:rsid w:val="009826C2"/>
    <w:rsid w:val="00982762"/>
    <w:rsid w:val="00982818"/>
    <w:rsid w:val="00982C79"/>
    <w:rsid w:val="00983027"/>
    <w:rsid w:val="0098303F"/>
    <w:rsid w:val="0098304C"/>
    <w:rsid w:val="00983335"/>
    <w:rsid w:val="00983384"/>
    <w:rsid w:val="009834EB"/>
    <w:rsid w:val="009835A2"/>
    <w:rsid w:val="00983742"/>
    <w:rsid w:val="009837BC"/>
    <w:rsid w:val="0098390D"/>
    <w:rsid w:val="00983969"/>
    <w:rsid w:val="00983C5F"/>
    <w:rsid w:val="00983CCF"/>
    <w:rsid w:val="00983CF2"/>
    <w:rsid w:val="00983D71"/>
    <w:rsid w:val="00983DAA"/>
    <w:rsid w:val="00983E38"/>
    <w:rsid w:val="0098400B"/>
    <w:rsid w:val="009840E1"/>
    <w:rsid w:val="0098415C"/>
    <w:rsid w:val="009843CC"/>
    <w:rsid w:val="00984486"/>
    <w:rsid w:val="009845C0"/>
    <w:rsid w:val="009845D9"/>
    <w:rsid w:val="0098498D"/>
    <w:rsid w:val="00984C3F"/>
    <w:rsid w:val="00984C81"/>
    <w:rsid w:val="00984C8C"/>
    <w:rsid w:val="00984CD6"/>
    <w:rsid w:val="00984E17"/>
    <w:rsid w:val="00984E2F"/>
    <w:rsid w:val="00984E5F"/>
    <w:rsid w:val="00984EAB"/>
    <w:rsid w:val="00984FD5"/>
    <w:rsid w:val="009851C9"/>
    <w:rsid w:val="0098529D"/>
    <w:rsid w:val="00985516"/>
    <w:rsid w:val="009856AD"/>
    <w:rsid w:val="009857DA"/>
    <w:rsid w:val="00985957"/>
    <w:rsid w:val="00985E67"/>
    <w:rsid w:val="0098600A"/>
    <w:rsid w:val="009860C9"/>
    <w:rsid w:val="009864BC"/>
    <w:rsid w:val="00986A52"/>
    <w:rsid w:val="00986BD5"/>
    <w:rsid w:val="00986C58"/>
    <w:rsid w:val="00986C6C"/>
    <w:rsid w:val="00986E85"/>
    <w:rsid w:val="0098701C"/>
    <w:rsid w:val="009870B4"/>
    <w:rsid w:val="009873D4"/>
    <w:rsid w:val="00987A71"/>
    <w:rsid w:val="00987A85"/>
    <w:rsid w:val="00987B82"/>
    <w:rsid w:val="00987DAA"/>
    <w:rsid w:val="00987EC7"/>
    <w:rsid w:val="00987F3E"/>
    <w:rsid w:val="009901C2"/>
    <w:rsid w:val="009901CC"/>
    <w:rsid w:val="009901DD"/>
    <w:rsid w:val="00990251"/>
    <w:rsid w:val="00990348"/>
    <w:rsid w:val="009906EF"/>
    <w:rsid w:val="0099073E"/>
    <w:rsid w:val="009908BB"/>
    <w:rsid w:val="009908DC"/>
    <w:rsid w:val="00990995"/>
    <w:rsid w:val="00990A69"/>
    <w:rsid w:val="0099119C"/>
    <w:rsid w:val="0099128F"/>
    <w:rsid w:val="009912AA"/>
    <w:rsid w:val="00991719"/>
    <w:rsid w:val="00991724"/>
    <w:rsid w:val="00991779"/>
    <w:rsid w:val="009918A5"/>
    <w:rsid w:val="00991FD9"/>
    <w:rsid w:val="00992353"/>
    <w:rsid w:val="00992923"/>
    <w:rsid w:val="00992CB2"/>
    <w:rsid w:val="00992CD3"/>
    <w:rsid w:val="00992CD9"/>
    <w:rsid w:val="00993022"/>
    <w:rsid w:val="009933F5"/>
    <w:rsid w:val="00993636"/>
    <w:rsid w:val="00993688"/>
    <w:rsid w:val="0099373D"/>
    <w:rsid w:val="0099374D"/>
    <w:rsid w:val="009937B7"/>
    <w:rsid w:val="009937DF"/>
    <w:rsid w:val="009938B9"/>
    <w:rsid w:val="0099399F"/>
    <w:rsid w:val="00993A28"/>
    <w:rsid w:val="00993BA7"/>
    <w:rsid w:val="00993F2B"/>
    <w:rsid w:val="00994011"/>
    <w:rsid w:val="00994058"/>
    <w:rsid w:val="00994098"/>
    <w:rsid w:val="0099410B"/>
    <w:rsid w:val="00994144"/>
    <w:rsid w:val="00994238"/>
    <w:rsid w:val="0099441A"/>
    <w:rsid w:val="00994485"/>
    <w:rsid w:val="00994709"/>
    <w:rsid w:val="009948EE"/>
    <w:rsid w:val="00994A9D"/>
    <w:rsid w:val="00994AB7"/>
    <w:rsid w:val="00994BB7"/>
    <w:rsid w:val="00994D66"/>
    <w:rsid w:val="00994E82"/>
    <w:rsid w:val="00995257"/>
    <w:rsid w:val="00995304"/>
    <w:rsid w:val="00995707"/>
    <w:rsid w:val="00995725"/>
    <w:rsid w:val="009957DC"/>
    <w:rsid w:val="00995A6A"/>
    <w:rsid w:val="00995B50"/>
    <w:rsid w:val="00995C1A"/>
    <w:rsid w:val="00995E1B"/>
    <w:rsid w:val="00995E26"/>
    <w:rsid w:val="00995E76"/>
    <w:rsid w:val="00995F5B"/>
    <w:rsid w:val="00996032"/>
    <w:rsid w:val="009960C2"/>
    <w:rsid w:val="009962AB"/>
    <w:rsid w:val="009963C5"/>
    <w:rsid w:val="00996565"/>
    <w:rsid w:val="00996676"/>
    <w:rsid w:val="009967AC"/>
    <w:rsid w:val="0099682A"/>
    <w:rsid w:val="0099697F"/>
    <w:rsid w:val="00996A82"/>
    <w:rsid w:val="00996CF0"/>
    <w:rsid w:val="00996CFF"/>
    <w:rsid w:val="00996DDC"/>
    <w:rsid w:val="00996F49"/>
    <w:rsid w:val="0099715D"/>
    <w:rsid w:val="009972A9"/>
    <w:rsid w:val="00997469"/>
    <w:rsid w:val="0099753F"/>
    <w:rsid w:val="00997554"/>
    <w:rsid w:val="0099773B"/>
    <w:rsid w:val="00997791"/>
    <w:rsid w:val="00997887"/>
    <w:rsid w:val="009979E3"/>
    <w:rsid w:val="00997B3F"/>
    <w:rsid w:val="00997B5F"/>
    <w:rsid w:val="00997B9C"/>
    <w:rsid w:val="00997C0C"/>
    <w:rsid w:val="00997C4C"/>
    <w:rsid w:val="00997CC5"/>
    <w:rsid w:val="00997E85"/>
    <w:rsid w:val="009A02C2"/>
    <w:rsid w:val="009A0443"/>
    <w:rsid w:val="009A044C"/>
    <w:rsid w:val="009A049D"/>
    <w:rsid w:val="009A05FE"/>
    <w:rsid w:val="009A07B6"/>
    <w:rsid w:val="009A07E7"/>
    <w:rsid w:val="009A09AE"/>
    <w:rsid w:val="009A0ABC"/>
    <w:rsid w:val="009A0B3B"/>
    <w:rsid w:val="009A0BAE"/>
    <w:rsid w:val="009A0BF1"/>
    <w:rsid w:val="009A0CF9"/>
    <w:rsid w:val="009A1096"/>
    <w:rsid w:val="009A10C6"/>
    <w:rsid w:val="009A11FE"/>
    <w:rsid w:val="009A1232"/>
    <w:rsid w:val="009A143E"/>
    <w:rsid w:val="009A1600"/>
    <w:rsid w:val="009A1DEC"/>
    <w:rsid w:val="009A1DFC"/>
    <w:rsid w:val="009A1E5C"/>
    <w:rsid w:val="009A1F13"/>
    <w:rsid w:val="009A20A2"/>
    <w:rsid w:val="009A2267"/>
    <w:rsid w:val="009A233E"/>
    <w:rsid w:val="009A23EE"/>
    <w:rsid w:val="009A24E4"/>
    <w:rsid w:val="009A2510"/>
    <w:rsid w:val="009A26DF"/>
    <w:rsid w:val="009A27CC"/>
    <w:rsid w:val="009A27F6"/>
    <w:rsid w:val="009A2879"/>
    <w:rsid w:val="009A2CAF"/>
    <w:rsid w:val="009A2D36"/>
    <w:rsid w:val="009A309D"/>
    <w:rsid w:val="009A31E9"/>
    <w:rsid w:val="009A327D"/>
    <w:rsid w:val="009A32A4"/>
    <w:rsid w:val="009A336F"/>
    <w:rsid w:val="009A3477"/>
    <w:rsid w:val="009A363A"/>
    <w:rsid w:val="009A368A"/>
    <w:rsid w:val="009A3737"/>
    <w:rsid w:val="009A398F"/>
    <w:rsid w:val="009A3E2A"/>
    <w:rsid w:val="009A4106"/>
    <w:rsid w:val="009A444F"/>
    <w:rsid w:val="009A452F"/>
    <w:rsid w:val="009A4649"/>
    <w:rsid w:val="009A46DC"/>
    <w:rsid w:val="009A49E6"/>
    <w:rsid w:val="009A4A71"/>
    <w:rsid w:val="009A4AB9"/>
    <w:rsid w:val="009A4AD2"/>
    <w:rsid w:val="009A4C0D"/>
    <w:rsid w:val="009A4D59"/>
    <w:rsid w:val="009A4F02"/>
    <w:rsid w:val="009A5174"/>
    <w:rsid w:val="009A51B0"/>
    <w:rsid w:val="009A51BD"/>
    <w:rsid w:val="009A5277"/>
    <w:rsid w:val="009A56AD"/>
    <w:rsid w:val="009A56C2"/>
    <w:rsid w:val="009A57E7"/>
    <w:rsid w:val="009A5854"/>
    <w:rsid w:val="009A5863"/>
    <w:rsid w:val="009A587A"/>
    <w:rsid w:val="009A5971"/>
    <w:rsid w:val="009A5ADD"/>
    <w:rsid w:val="009A5BAF"/>
    <w:rsid w:val="009A5DFC"/>
    <w:rsid w:val="009A5E8A"/>
    <w:rsid w:val="009A5EC0"/>
    <w:rsid w:val="009A5ED0"/>
    <w:rsid w:val="009A6168"/>
    <w:rsid w:val="009A665D"/>
    <w:rsid w:val="009A6697"/>
    <w:rsid w:val="009A68E3"/>
    <w:rsid w:val="009A697F"/>
    <w:rsid w:val="009A6A7D"/>
    <w:rsid w:val="009A6C92"/>
    <w:rsid w:val="009A6D06"/>
    <w:rsid w:val="009A6D81"/>
    <w:rsid w:val="009A6DD7"/>
    <w:rsid w:val="009A705D"/>
    <w:rsid w:val="009A7134"/>
    <w:rsid w:val="009A717E"/>
    <w:rsid w:val="009A7534"/>
    <w:rsid w:val="009A7599"/>
    <w:rsid w:val="009A7601"/>
    <w:rsid w:val="009A7693"/>
    <w:rsid w:val="009A76DD"/>
    <w:rsid w:val="009A771A"/>
    <w:rsid w:val="009A7951"/>
    <w:rsid w:val="009A7A2A"/>
    <w:rsid w:val="009A7AB2"/>
    <w:rsid w:val="009A7B1C"/>
    <w:rsid w:val="009A7BA3"/>
    <w:rsid w:val="009A7BCC"/>
    <w:rsid w:val="009A7C94"/>
    <w:rsid w:val="009A7E05"/>
    <w:rsid w:val="009A7F85"/>
    <w:rsid w:val="009A7F9B"/>
    <w:rsid w:val="009B0176"/>
    <w:rsid w:val="009B022E"/>
    <w:rsid w:val="009B02EB"/>
    <w:rsid w:val="009B037C"/>
    <w:rsid w:val="009B03EF"/>
    <w:rsid w:val="009B0941"/>
    <w:rsid w:val="009B0955"/>
    <w:rsid w:val="009B0B49"/>
    <w:rsid w:val="009B0C7A"/>
    <w:rsid w:val="009B0CC2"/>
    <w:rsid w:val="009B0DD1"/>
    <w:rsid w:val="009B0E01"/>
    <w:rsid w:val="009B0E26"/>
    <w:rsid w:val="009B0F25"/>
    <w:rsid w:val="009B0FFA"/>
    <w:rsid w:val="009B11D8"/>
    <w:rsid w:val="009B12E4"/>
    <w:rsid w:val="009B1303"/>
    <w:rsid w:val="009B1385"/>
    <w:rsid w:val="009B138B"/>
    <w:rsid w:val="009B1573"/>
    <w:rsid w:val="009B1647"/>
    <w:rsid w:val="009B16ED"/>
    <w:rsid w:val="009B1AD4"/>
    <w:rsid w:val="009B1BF0"/>
    <w:rsid w:val="009B1C0A"/>
    <w:rsid w:val="009B1D8A"/>
    <w:rsid w:val="009B1E21"/>
    <w:rsid w:val="009B1E41"/>
    <w:rsid w:val="009B1E48"/>
    <w:rsid w:val="009B1E85"/>
    <w:rsid w:val="009B2053"/>
    <w:rsid w:val="009B2166"/>
    <w:rsid w:val="009B2179"/>
    <w:rsid w:val="009B21F9"/>
    <w:rsid w:val="009B23EA"/>
    <w:rsid w:val="009B2457"/>
    <w:rsid w:val="009B2563"/>
    <w:rsid w:val="009B262D"/>
    <w:rsid w:val="009B2A84"/>
    <w:rsid w:val="009B2CA0"/>
    <w:rsid w:val="009B2D78"/>
    <w:rsid w:val="009B2FEC"/>
    <w:rsid w:val="009B3111"/>
    <w:rsid w:val="009B3123"/>
    <w:rsid w:val="009B313F"/>
    <w:rsid w:val="009B322A"/>
    <w:rsid w:val="009B32A5"/>
    <w:rsid w:val="009B32DA"/>
    <w:rsid w:val="009B3476"/>
    <w:rsid w:val="009B3536"/>
    <w:rsid w:val="009B381A"/>
    <w:rsid w:val="009B391E"/>
    <w:rsid w:val="009B3A36"/>
    <w:rsid w:val="009B3D4C"/>
    <w:rsid w:val="009B3DAC"/>
    <w:rsid w:val="009B3E66"/>
    <w:rsid w:val="009B429A"/>
    <w:rsid w:val="009B4480"/>
    <w:rsid w:val="009B45CE"/>
    <w:rsid w:val="009B4612"/>
    <w:rsid w:val="009B47E3"/>
    <w:rsid w:val="009B4A21"/>
    <w:rsid w:val="009B4A42"/>
    <w:rsid w:val="009B4B66"/>
    <w:rsid w:val="009B4D14"/>
    <w:rsid w:val="009B4DD2"/>
    <w:rsid w:val="009B4E82"/>
    <w:rsid w:val="009B4EF2"/>
    <w:rsid w:val="009B4FD6"/>
    <w:rsid w:val="009B505B"/>
    <w:rsid w:val="009B517E"/>
    <w:rsid w:val="009B51B5"/>
    <w:rsid w:val="009B527D"/>
    <w:rsid w:val="009B5404"/>
    <w:rsid w:val="009B5416"/>
    <w:rsid w:val="009B54C0"/>
    <w:rsid w:val="009B56B9"/>
    <w:rsid w:val="009B56BD"/>
    <w:rsid w:val="009B5716"/>
    <w:rsid w:val="009B5843"/>
    <w:rsid w:val="009B58D6"/>
    <w:rsid w:val="009B59BA"/>
    <w:rsid w:val="009B5A0D"/>
    <w:rsid w:val="009B5B52"/>
    <w:rsid w:val="009B5BB8"/>
    <w:rsid w:val="009B5C2B"/>
    <w:rsid w:val="009B5E7C"/>
    <w:rsid w:val="009B5EB2"/>
    <w:rsid w:val="009B5ED1"/>
    <w:rsid w:val="009B5EF5"/>
    <w:rsid w:val="009B605A"/>
    <w:rsid w:val="009B6203"/>
    <w:rsid w:val="009B62A2"/>
    <w:rsid w:val="009B654E"/>
    <w:rsid w:val="009B6559"/>
    <w:rsid w:val="009B67A2"/>
    <w:rsid w:val="009B67AF"/>
    <w:rsid w:val="009B6D25"/>
    <w:rsid w:val="009B6F09"/>
    <w:rsid w:val="009B6F1D"/>
    <w:rsid w:val="009B6F9B"/>
    <w:rsid w:val="009B735C"/>
    <w:rsid w:val="009B745F"/>
    <w:rsid w:val="009B747F"/>
    <w:rsid w:val="009B74CE"/>
    <w:rsid w:val="009B7A38"/>
    <w:rsid w:val="009B7BDD"/>
    <w:rsid w:val="009B7C9E"/>
    <w:rsid w:val="009B7D27"/>
    <w:rsid w:val="009B7F2F"/>
    <w:rsid w:val="009B7FD3"/>
    <w:rsid w:val="009C00A2"/>
    <w:rsid w:val="009C00A5"/>
    <w:rsid w:val="009C0258"/>
    <w:rsid w:val="009C054E"/>
    <w:rsid w:val="009C0670"/>
    <w:rsid w:val="009C0782"/>
    <w:rsid w:val="009C0CE1"/>
    <w:rsid w:val="009C0E81"/>
    <w:rsid w:val="009C0F5B"/>
    <w:rsid w:val="009C132F"/>
    <w:rsid w:val="009C1331"/>
    <w:rsid w:val="009C161E"/>
    <w:rsid w:val="009C16E6"/>
    <w:rsid w:val="009C1752"/>
    <w:rsid w:val="009C1912"/>
    <w:rsid w:val="009C1B6A"/>
    <w:rsid w:val="009C1F27"/>
    <w:rsid w:val="009C2095"/>
    <w:rsid w:val="009C219C"/>
    <w:rsid w:val="009C2228"/>
    <w:rsid w:val="009C2288"/>
    <w:rsid w:val="009C22C5"/>
    <w:rsid w:val="009C2342"/>
    <w:rsid w:val="009C2522"/>
    <w:rsid w:val="009C25B4"/>
    <w:rsid w:val="009C27B2"/>
    <w:rsid w:val="009C2940"/>
    <w:rsid w:val="009C2A3F"/>
    <w:rsid w:val="009C2A75"/>
    <w:rsid w:val="009C2D66"/>
    <w:rsid w:val="009C306D"/>
    <w:rsid w:val="009C3072"/>
    <w:rsid w:val="009C3584"/>
    <w:rsid w:val="009C368B"/>
    <w:rsid w:val="009C374F"/>
    <w:rsid w:val="009C3787"/>
    <w:rsid w:val="009C379D"/>
    <w:rsid w:val="009C37AD"/>
    <w:rsid w:val="009C3864"/>
    <w:rsid w:val="009C38E9"/>
    <w:rsid w:val="009C3A73"/>
    <w:rsid w:val="009C3D70"/>
    <w:rsid w:val="009C3D7D"/>
    <w:rsid w:val="009C3D8C"/>
    <w:rsid w:val="009C3F9C"/>
    <w:rsid w:val="009C3FB8"/>
    <w:rsid w:val="009C40CD"/>
    <w:rsid w:val="009C414A"/>
    <w:rsid w:val="009C45C8"/>
    <w:rsid w:val="009C4722"/>
    <w:rsid w:val="009C49D2"/>
    <w:rsid w:val="009C4C08"/>
    <w:rsid w:val="009C4D4A"/>
    <w:rsid w:val="009C4F1B"/>
    <w:rsid w:val="009C50BD"/>
    <w:rsid w:val="009C50C2"/>
    <w:rsid w:val="009C544F"/>
    <w:rsid w:val="009C55BB"/>
    <w:rsid w:val="009C5634"/>
    <w:rsid w:val="009C5684"/>
    <w:rsid w:val="009C5B15"/>
    <w:rsid w:val="009C5FD4"/>
    <w:rsid w:val="009C613E"/>
    <w:rsid w:val="009C6263"/>
    <w:rsid w:val="009C6473"/>
    <w:rsid w:val="009C6659"/>
    <w:rsid w:val="009C6804"/>
    <w:rsid w:val="009C682E"/>
    <w:rsid w:val="009C68C8"/>
    <w:rsid w:val="009C69B0"/>
    <w:rsid w:val="009C69BE"/>
    <w:rsid w:val="009C6A9B"/>
    <w:rsid w:val="009C6AD5"/>
    <w:rsid w:val="009C6BA5"/>
    <w:rsid w:val="009C6BB0"/>
    <w:rsid w:val="009C70FE"/>
    <w:rsid w:val="009C7101"/>
    <w:rsid w:val="009C7153"/>
    <w:rsid w:val="009C7182"/>
    <w:rsid w:val="009C71DE"/>
    <w:rsid w:val="009C74C1"/>
    <w:rsid w:val="009C7618"/>
    <w:rsid w:val="009C7A86"/>
    <w:rsid w:val="009C7FB5"/>
    <w:rsid w:val="009D00BE"/>
    <w:rsid w:val="009D015B"/>
    <w:rsid w:val="009D02D3"/>
    <w:rsid w:val="009D0413"/>
    <w:rsid w:val="009D0424"/>
    <w:rsid w:val="009D059B"/>
    <w:rsid w:val="009D0604"/>
    <w:rsid w:val="009D060E"/>
    <w:rsid w:val="009D066F"/>
    <w:rsid w:val="009D06A5"/>
    <w:rsid w:val="009D071A"/>
    <w:rsid w:val="009D07C4"/>
    <w:rsid w:val="009D07EF"/>
    <w:rsid w:val="009D088C"/>
    <w:rsid w:val="009D09BF"/>
    <w:rsid w:val="009D0DD7"/>
    <w:rsid w:val="009D0DE9"/>
    <w:rsid w:val="009D0E43"/>
    <w:rsid w:val="009D0E71"/>
    <w:rsid w:val="009D0F25"/>
    <w:rsid w:val="009D106D"/>
    <w:rsid w:val="009D13D2"/>
    <w:rsid w:val="009D1580"/>
    <w:rsid w:val="009D15B0"/>
    <w:rsid w:val="009D1699"/>
    <w:rsid w:val="009D169A"/>
    <w:rsid w:val="009D1BA1"/>
    <w:rsid w:val="009D1CAC"/>
    <w:rsid w:val="009D1E5F"/>
    <w:rsid w:val="009D20AF"/>
    <w:rsid w:val="009D211E"/>
    <w:rsid w:val="009D22AB"/>
    <w:rsid w:val="009D23D9"/>
    <w:rsid w:val="009D249A"/>
    <w:rsid w:val="009D2649"/>
    <w:rsid w:val="009D2776"/>
    <w:rsid w:val="009D2AF8"/>
    <w:rsid w:val="009D2B05"/>
    <w:rsid w:val="009D2B7B"/>
    <w:rsid w:val="009D2C03"/>
    <w:rsid w:val="009D2F19"/>
    <w:rsid w:val="009D313B"/>
    <w:rsid w:val="009D3180"/>
    <w:rsid w:val="009D31E9"/>
    <w:rsid w:val="009D341F"/>
    <w:rsid w:val="009D3439"/>
    <w:rsid w:val="009D3522"/>
    <w:rsid w:val="009D358A"/>
    <w:rsid w:val="009D3595"/>
    <w:rsid w:val="009D3748"/>
    <w:rsid w:val="009D39E7"/>
    <w:rsid w:val="009D3AEF"/>
    <w:rsid w:val="009D3C5A"/>
    <w:rsid w:val="009D3C9E"/>
    <w:rsid w:val="009D3F78"/>
    <w:rsid w:val="009D40B5"/>
    <w:rsid w:val="009D4165"/>
    <w:rsid w:val="009D43ED"/>
    <w:rsid w:val="009D4420"/>
    <w:rsid w:val="009D449B"/>
    <w:rsid w:val="009D4632"/>
    <w:rsid w:val="009D467F"/>
    <w:rsid w:val="009D48AA"/>
    <w:rsid w:val="009D4932"/>
    <w:rsid w:val="009D4939"/>
    <w:rsid w:val="009D49E4"/>
    <w:rsid w:val="009D4A5F"/>
    <w:rsid w:val="009D4ACB"/>
    <w:rsid w:val="009D503F"/>
    <w:rsid w:val="009D51F4"/>
    <w:rsid w:val="009D51FB"/>
    <w:rsid w:val="009D53EF"/>
    <w:rsid w:val="009D54AE"/>
    <w:rsid w:val="009D56DB"/>
    <w:rsid w:val="009D5873"/>
    <w:rsid w:val="009D597E"/>
    <w:rsid w:val="009D59B9"/>
    <w:rsid w:val="009D5C47"/>
    <w:rsid w:val="009D5C7E"/>
    <w:rsid w:val="009D6082"/>
    <w:rsid w:val="009D6107"/>
    <w:rsid w:val="009D6271"/>
    <w:rsid w:val="009D6470"/>
    <w:rsid w:val="009D64A2"/>
    <w:rsid w:val="009D6518"/>
    <w:rsid w:val="009D6624"/>
    <w:rsid w:val="009D66D3"/>
    <w:rsid w:val="009D6870"/>
    <w:rsid w:val="009D6B9C"/>
    <w:rsid w:val="009D6BCE"/>
    <w:rsid w:val="009D6C69"/>
    <w:rsid w:val="009D6DA2"/>
    <w:rsid w:val="009D6FE6"/>
    <w:rsid w:val="009D70C3"/>
    <w:rsid w:val="009D7150"/>
    <w:rsid w:val="009D7257"/>
    <w:rsid w:val="009D7492"/>
    <w:rsid w:val="009D74E2"/>
    <w:rsid w:val="009D7509"/>
    <w:rsid w:val="009D76AE"/>
    <w:rsid w:val="009D76D6"/>
    <w:rsid w:val="009D7710"/>
    <w:rsid w:val="009D7997"/>
    <w:rsid w:val="009D7C64"/>
    <w:rsid w:val="009D7CED"/>
    <w:rsid w:val="009D7D95"/>
    <w:rsid w:val="009D7E61"/>
    <w:rsid w:val="009E0719"/>
    <w:rsid w:val="009E0763"/>
    <w:rsid w:val="009E07AC"/>
    <w:rsid w:val="009E0867"/>
    <w:rsid w:val="009E0D0F"/>
    <w:rsid w:val="009E0DD6"/>
    <w:rsid w:val="009E0E69"/>
    <w:rsid w:val="009E0E78"/>
    <w:rsid w:val="009E0F20"/>
    <w:rsid w:val="009E0F7E"/>
    <w:rsid w:val="009E1035"/>
    <w:rsid w:val="009E12C5"/>
    <w:rsid w:val="009E12FD"/>
    <w:rsid w:val="009E1514"/>
    <w:rsid w:val="009E1910"/>
    <w:rsid w:val="009E1A90"/>
    <w:rsid w:val="009E1BDD"/>
    <w:rsid w:val="009E1BF5"/>
    <w:rsid w:val="009E1FD9"/>
    <w:rsid w:val="009E209C"/>
    <w:rsid w:val="009E20C3"/>
    <w:rsid w:val="009E211F"/>
    <w:rsid w:val="009E21C6"/>
    <w:rsid w:val="009E22E4"/>
    <w:rsid w:val="009E23DF"/>
    <w:rsid w:val="009E280A"/>
    <w:rsid w:val="009E29C7"/>
    <w:rsid w:val="009E2BD1"/>
    <w:rsid w:val="009E2BE3"/>
    <w:rsid w:val="009E2D69"/>
    <w:rsid w:val="009E2E4D"/>
    <w:rsid w:val="009E2E7A"/>
    <w:rsid w:val="009E2E93"/>
    <w:rsid w:val="009E30FD"/>
    <w:rsid w:val="009E3360"/>
    <w:rsid w:val="009E357F"/>
    <w:rsid w:val="009E358A"/>
    <w:rsid w:val="009E386B"/>
    <w:rsid w:val="009E3C56"/>
    <w:rsid w:val="009E3D5C"/>
    <w:rsid w:val="009E3E97"/>
    <w:rsid w:val="009E41E5"/>
    <w:rsid w:val="009E4223"/>
    <w:rsid w:val="009E430B"/>
    <w:rsid w:val="009E4391"/>
    <w:rsid w:val="009E44E3"/>
    <w:rsid w:val="009E4553"/>
    <w:rsid w:val="009E4666"/>
    <w:rsid w:val="009E466F"/>
    <w:rsid w:val="009E479B"/>
    <w:rsid w:val="009E47BB"/>
    <w:rsid w:val="009E4A07"/>
    <w:rsid w:val="009E4A37"/>
    <w:rsid w:val="009E4BA6"/>
    <w:rsid w:val="009E4D8A"/>
    <w:rsid w:val="009E4EDA"/>
    <w:rsid w:val="009E4FBA"/>
    <w:rsid w:val="009E4FEC"/>
    <w:rsid w:val="009E51B3"/>
    <w:rsid w:val="009E5329"/>
    <w:rsid w:val="009E54C8"/>
    <w:rsid w:val="009E54E3"/>
    <w:rsid w:val="009E5695"/>
    <w:rsid w:val="009E5836"/>
    <w:rsid w:val="009E5844"/>
    <w:rsid w:val="009E5855"/>
    <w:rsid w:val="009E595F"/>
    <w:rsid w:val="009E59FE"/>
    <w:rsid w:val="009E5A21"/>
    <w:rsid w:val="009E5D20"/>
    <w:rsid w:val="009E5E1A"/>
    <w:rsid w:val="009E60C7"/>
    <w:rsid w:val="009E60EA"/>
    <w:rsid w:val="009E60F9"/>
    <w:rsid w:val="009E620E"/>
    <w:rsid w:val="009E638E"/>
    <w:rsid w:val="009E672B"/>
    <w:rsid w:val="009E6844"/>
    <w:rsid w:val="009E6908"/>
    <w:rsid w:val="009E6B08"/>
    <w:rsid w:val="009E6C53"/>
    <w:rsid w:val="009E6CB9"/>
    <w:rsid w:val="009E6CDC"/>
    <w:rsid w:val="009E6CFF"/>
    <w:rsid w:val="009E6D2C"/>
    <w:rsid w:val="009E6E4A"/>
    <w:rsid w:val="009E6E8D"/>
    <w:rsid w:val="009E6EA7"/>
    <w:rsid w:val="009E6EE7"/>
    <w:rsid w:val="009E6F8D"/>
    <w:rsid w:val="009E7225"/>
    <w:rsid w:val="009E7571"/>
    <w:rsid w:val="009E75BF"/>
    <w:rsid w:val="009E76EB"/>
    <w:rsid w:val="009E7764"/>
    <w:rsid w:val="009E77CD"/>
    <w:rsid w:val="009E7936"/>
    <w:rsid w:val="009E7AA5"/>
    <w:rsid w:val="009E7AF6"/>
    <w:rsid w:val="009E7B17"/>
    <w:rsid w:val="009E7B62"/>
    <w:rsid w:val="009E7D04"/>
    <w:rsid w:val="009E7E13"/>
    <w:rsid w:val="009E7E6F"/>
    <w:rsid w:val="009F0151"/>
    <w:rsid w:val="009F020E"/>
    <w:rsid w:val="009F0259"/>
    <w:rsid w:val="009F0282"/>
    <w:rsid w:val="009F0515"/>
    <w:rsid w:val="009F051D"/>
    <w:rsid w:val="009F05D1"/>
    <w:rsid w:val="009F0602"/>
    <w:rsid w:val="009F10C1"/>
    <w:rsid w:val="009F12A7"/>
    <w:rsid w:val="009F13A4"/>
    <w:rsid w:val="009F141E"/>
    <w:rsid w:val="009F14E0"/>
    <w:rsid w:val="009F15D2"/>
    <w:rsid w:val="009F1683"/>
    <w:rsid w:val="009F16B3"/>
    <w:rsid w:val="009F1C4A"/>
    <w:rsid w:val="009F1C81"/>
    <w:rsid w:val="009F1CF4"/>
    <w:rsid w:val="009F1D4E"/>
    <w:rsid w:val="009F1EC7"/>
    <w:rsid w:val="009F1F15"/>
    <w:rsid w:val="009F1F3A"/>
    <w:rsid w:val="009F1F58"/>
    <w:rsid w:val="009F1FBB"/>
    <w:rsid w:val="009F21B9"/>
    <w:rsid w:val="009F22F6"/>
    <w:rsid w:val="009F2489"/>
    <w:rsid w:val="009F2530"/>
    <w:rsid w:val="009F26DD"/>
    <w:rsid w:val="009F2A4D"/>
    <w:rsid w:val="009F2A5C"/>
    <w:rsid w:val="009F2B20"/>
    <w:rsid w:val="009F2B5C"/>
    <w:rsid w:val="009F2C6B"/>
    <w:rsid w:val="009F2CB3"/>
    <w:rsid w:val="009F2CD2"/>
    <w:rsid w:val="009F2D43"/>
    <w:rsid w:val="009F2E67"/>
    <w:rsid w:val="009F2E6A"/>
    <w:rsid w:val="009F2E81"/>
    <w:rsid w:val="009F2E96"/>
    <w:rsid w:val="009F2F3E"/>
    <w:rsid w:val="009F2FD5"/>
    <w:rsid w:val="009F319E"/>
    <w:rsid w:val="009F322F"/>
    <w:rsid w:val="009F3399"/>
    <w:rsid w:val="009F3491"/>
    <w:rsid w:val="009F383E"/>
    <w:rsid w:val="009F3A5C"/>
    <w:rsid w:val="009F3B25"/>
    <w:rsid w:val="009F3F68"/>
    <w:rsid w:val="009F3F8D"/>
    <w:rsid w:val="009F40AA"/>
    <w:rsid w:val="009F43C4"/>
    <w:rsid w:val="009F45B6"/>
    <w:rsid w:val="009F46CA"/>
    <w:rsid w:val="009F46D4"/>
    <w:rsid w:val="009F47B2"/>
    <w:rsid w:val="009F4936"/>
    <w:rsid w:val="009F4A1C"/>
    <w:rsid w:val="009F4B9D"/>
    <w:rsid w:val="009F4BBE"/>
    <w:rsid w:val="009F4BDD"/>
    <w:rsid w:val="009F4CE3"/>
    <w:rsid w:val="009F4EA1"/>
    <w:rsid w:val="009F4F40"/>
    <w:rsid w:val="009F5081"/>
    <w:rsid w:val="009F52A1"/>
    <w:rsid w:val="009F52C1"/>
    <w:rsid w:val="009F52D3"/>
    <w:rsid w:val="009F5321"/>
    <w:rsid w:val="009F534E"/>
    <w:rsid w:val="009F5544"/>
    <w:rsid w:val="009F558F"/>
    <w:rsid w:val="009F59D9"/>
    <w:rsid w:val="009F5BBE"/>
    <w:rsid w:val="009F5D9E"/>
    <w:rsid w:val="009F5F09"/>
    <w:rsid w:val="009F5F27"/>
    <w:rsid w:val="009F6084"/>
    <w:rsid w:val="009F6090"/>
    <w:rsid w:val="009F6137"/>
    <w:rsid w:val="009F64EC"/>
    <w:rsid w:val="009F651B"/>
    <w:rsid w:val="009F67AD"/>
    <w:rsid w:val="009F67B6"/>
    <w:rsid w:val="009F67BB"/>
    <w:rsid w:val="009F68BF"/>
    <w:rsid w:val="009F68F9"/>
    <w:rsid w:val="009F69D1"/>
    <w:rsid w:val="009F6BD0"/>
    <w:rsid w:val="009F6BDE"/>
    <w:rsid w:val="009F6BFF"/>
    <w:rsid w:val="009F6D22"/>
    <w:rsid w:val="009F6DE2"/>
    <w:rsid w:val="009F6E52"/>
    <w:rsid w:val="009F6F4A"/>
    <w:rsid w:val="009F6FF6"/>
    <w:rsid w:val="009F70B9"/>
    <w:rsid w:val="009F7279"/>
    <w:rsid w:val="009F72D0"/>
    <w:rsid w:val="009F743F"/>
    <w:rsid w:val="009F7496"/>
    <w:rsid w:val="009F772A"/>
    <w:rsid w:val="009F777A"/>
    <w:rsid w:val="009F7990"/>
    <w:rsid w:val="009F79E4"/>
    <w:rsid w:val="009F7A99"/>
    <w:rsid w:val="009F7BBD"/>
    <w:rsid w:val="00A000CB"/>
    <w:rsid w:val="00A001CC"/>
    <w:rsid w:val="00A001CE"/>
    <w:rsid w:val="00A0036B"/>
    <w:rsid w:val="00A00373"/>
    <w:rsid w:val="00A00424"/>
    <w:rsid w:val="00A00571"/>
    <w:rsid w:val="00A0058A"/>
    <w:rsid w:val="00A0066C"/>
    <w:rsid w:val="00A0067A"/>
    <w:rsid w:val="00A00690"/>
    <w:rsid w:val="00A007B4"/>
    <w:rsid w:val="00A0085E"/>
    <w:rsid w:val="00A00944"/>
    <w:rsid w:val="00A00C5B"/>
    <w:rsid w:val="00A00EBE"/>
    <w:rsid w:val="00A011B5"/>
    <w:rsid w:val="00A01251"/>
    <w:rsid w:val="00A015C5"/>
    <w:rsid w:val="00A0164D"/>
    <w:rsid w:val="00A01700"/>
    <w:rsid w:val="00A01847"/>
    <w:rsid w:val="00A019D4"/>
    <w:rsid w:val="00A01A55"/>
    <w:rsid w:val="00A01D60"/>
    <w:rsid w:val="00A01E6A"/>
    <w:rsid w:val="00A01F81"/>
    <w:rsid w:val="00A02033"/>
    <w:rsid w:val="00A0234E"/>
    <w:rsid w:val="00A023CF"/>
    <w:rsid w:val="00A02464"/>
    <w:rsid w:val="00A025DD"/>
    <w:rsid w:val="00A0271B"/>
    <w:rsid w:val="00A02729"/>
    <w:rsid w:val="00A02861"/>
    <w:rsid w:val="00A029CE"/>
    <w:rsid w:val="00A02CCE"/>
    <w:rsid w:val="00A02CF8"/>
    <w:rsid w:val="00A02D1B"/>
    <w:rsid w:val="00A02DBE"/>
    <w:rsid w:val="00A02DF5"/>
    <w:rsid w:val="00A02E0C"/>
    <w:rsid w:val="00A02E0D"/>
    <w:rsid w:val="00A02E15"/>
    <w:rsid w:val="00A02E40"/>
    <w:rsid w:val="00A0305B"/>
    <w:rsid w:val="00A031F5"/>
    <w:rsid w:val="00A0339E"/>
    <w:rsid w:val="00A03543"/>
    <w:rsid w:val="00A03715"/>
    <w:rsid w:val="00A0373A"/>
    <w:rsid w:val="00A03AD7"/>
    <w:rsid w:val="00A03B99"/>
    <w:rsid w:val="00A03EC9"/>
    <w:rsid w:val="00A03FCB"/>
    <w:rsid w:val="00A041C0"/>
    <w:rsid w:val="00A04255"/>
    <w:rsid w:val="00A0428C"/>
    <w:rsid w:val="00A0431E"/>
    <w:rsid w:val="00A045A1"/>
    <w:rsid w:val="00A045BD"/>
    <w:rsid w:val="00A0470B"/>
    <w:rsid w:val="00A04746"/>
    <w:rsid w:val="00A047B0"/>
    <w:rsid w:val="00A047E8"/>
    <w:rsid w:val="00A048C1"/>
    <w:rsid w:val="00A04D29"/>
    <w:rsid w:val="00A04D4A"/>
    <w:rsid w:val="00A04DAB"/>
    <w:rsid w:val="00A04EEE"/>
    <w:rsid w:val="00A04FAC"/>
    <w:rsid w:val="00A05149"/>
    <w:rsid w:val="00A0525B"/>
    <w:rsid w:val="00A0526C"/>
    <w:rsid w:val="00A052CF"/>
    <w:rsid w:val="00A0531B"/>
    <w:rsid w:val="00A05394"/>
    <w:rsid w:val="00A05405"/>
    <w:rsid w:val="00A05440"/>
    <w:rsid w:val="00A059D3"/>
    <w:rsid w:val="00A05A17"/>
    <w:rsid w:val="00A05C0D"/>
    <w:rsid w:val="00A05DAB"/>
    <w:rsid w:val="00A05DFE"/>
    <w:rsid w:val="00A06017"/>
    <w:rsid w:val="00A06079"/>
    <w:rsid w:val="00A06392"/>
    <w:rsid w:val="00A06450"/>
    <w:rsid w:val="00A06644"/>
    <w:rsid w:val="00A0666A"/>
    <w:rsid w:val="00A067D7"/>
    <w:rsid w:val="00A068D8"/>
    <w:rsid w:val="00A06A38"/>
    <w:rsid w:val="00A06CB6"/>
    <w:rsid w:val="00A06DA3"/>
    <w:rsid w:val="00A06DB0"/>
    <w:rsid w:val="00A06E88"/>
    <w:rsid w:val="00A06FCF"/>
    <w:rsid w:val="00A072EE"/>
    <w:rsid w:val="00A0749D"/>
    <w:rsid w:val="00A074BB"/>
    <w:rsid w:val="00A07813"/>
    <w:rsid w:val="00A07843"/>
    <w:rsid w:val="00A07891"/>
    <w:rsid w:val="00A079CD"/>
    <w:rsid w:val="00A07B01"/>
    <w:rsid w:val="00A07B3B"/>
    <w:rsid w:val="00A07CCD"/>
    <w:rsid w:val="00A100E5"/>
    <w:rsid w:val="00A10124"/>
    <w:rsid w:val="00A10351"/>
    <w:rsid w:val="00A10357"/>
    <w:rsid w:val="00A103D2"/>
    <w:rsid w:val="00A103E5"/>
    <w:rsid w:val="00A10425"/>
    <w:rsid w:val="00A10433"/>
    <w:rsid w:val="00A1091B"/>
    <w:rsid w:val="00A1092C"/>
    <w:rsid w:val="00A10931"/>
    <w:rsid w:val="00A10A69"/>
    <w:rsid w:val="00A10B48"/>
    <w:rsid w:val="00A10DC6"/>
    <w:rsid w:val="00A10EBF"/>
    <w:rsid w:val="00A10FB5"/>
    <w:rsid w:val="00A10FCE"/>
    <w:rsid w:val="00A10FF2"/>
    <w:rsid w:val="00A11080"/>
    <w:rsid w:val="00A1109F"/>
    <w:rsid w:val="00A11385"/>
    <w:rsid w:val="00A1141B"/>
    <w:rsid w:val="00A114CE"/>
    <w:rsid w:val="00A117A6"/>
    <w:rsid w:val="00A11A76"/>
    <w:rsid w:val="00A11AC2"/>
    <w:rsid w:val="00A11B51"/>
    <w:rsid w:val="00A11C8F"/>
    <w:rsid w:val="00A11CB0"/>
    <w:rsid w:val="00A11CEA"/>
    <w:rsid w:val="00A11D81"/>
    <w:rsid w:val="00A11E9E"/>
    <w:rsid w:val="00A1210A"/>
    <w:rsid w:val="00A1229A"/>
    <w:rsid w:val="00A122A1"/>
    <w:rsid w:val="00A12394"/>
    <w:rsid w:val="00A12492"/>
    <w:rsid w:val="00A1250B"/>
    <w:rsid w:val="00A1256E"/>
    <w:rsid w:val="00A125A1"/>
    <w:rsid w:val="00A12602"/>
    <w:rsid w:val="00A126E9"/>
    <w:rsid w:val="00A126FB"/>
    <w:rsid w:val="00A12A9B"/>
    <w:rsid w:val="00A12B1E"/>
    <w:rsid w:val="00A12DDB"/>
    <w:rsid w:val="00A13019"/>
    <w:rsid w:val="00A131D6"/>
    <w:rsid w:val="00A131ED"/>
    <w:rsid w:val="00A13300"/>
    <w:rsid w:val="00A13319"/>
    <w:rsid w:val="00A134F2"/>
    <w:rsid w:val="00A134FB"/>
    <w:rsid w:val="00A13520"/>
    <w:rsid w:val="00A13DC5"/>
    <w:rsid w:val="00A13DF2"/>
    <w:rsid w:val="00A142FB"/>
    <w:rsid w:val="00A14329"/>
    <w:rsid w:val="00A1432B"/>
    <w:rsid w:val="00A1433A"/>
    <w:rsid w:val="00A14499"/>
    <w:rsid w:val="00A14548"/>
    <w:rsid w:val="00A146B5"/>
    <w:rsid w:val="00A146BD"/>
    <w:rsid w:val="00A147CD"/>
    <w:rsid w:val="00A1483B"/>
    <w:rsid w:val="00A1499A"/>
    <w:rsid w:val="00A14A86"/>
    <w:rsid w:val="00A14D31"/>
    <w:rsid w:val="00A151C3"/>
    <w:rsid w:val="00A151D7"/>
    <w:rsid w:val="00A152AA"/>
    <w:rsid w:val="00A1541B"/>
    <w:rsid w:val="00A1567C"/>
    <w:rsid w:val="00A1568E"/>
    <w:rsid w:val="00A15AA0"/>
    <w:rsid w:val="00A15C6A"/>
    <w:rsid w:val="00A15FCF"/>
    <w:rsid w:val="00A1603D"/>
    <w:rsid w:val="00A16061"/>
    <w:rsid w:val="00A160F9"/>
    <w:rsid w:val="00A16132"/>
    <w:rsid w:val="00A1619F"/>
    <w:rsid w:val="00A1627C"/>
    <w:rsid w:val="00A16280"/>
    <w:rsid w:val="00A1658E"/>
    <w:rsid w:val="00A167C2"/>
    <w:rsid w:val="00A1684F"/>
    <w:rsid w:val="00A16863"/>
    <w:rsid w:val="00A168BB"/>
    <w:rsid w:val="00A1691D"/>
    <w:rsid w:val="00A1698B"/>
    <w:rsid w:val="00A1699F"/>
    <w:rsid w:val="00A16A7E"/>
    <w:rsid w:val="00A16AD3"/>
    <w:rsid w:val="00A16B1D"/>
    <w:rsid w:val="00A16BB2"/>
    <w:rsid w:val="00A16CDE"/>
    <w:rsid w:val="00A16DE1"/>
    <w:rsid w:val="00A16F6B"/>
    <w:rsid w:val="00A17142"/>
    <w:rsid w:val="00A17209"/>
    <w:rsid w:val="00A1737E"/>
    <w:rsid w:val="00A1744A"/>
    <w:rsid w:val="00A17A45"/>
    <w:rsid w:val="00A17BC4"/>
    <w:rsid w:val="00A17C11"/>
    <w:rsid w:val="00A17D1E"/>
    <w:rsid w:val="00A17E59"/>
    <w:rsid w:val="00A17F6C"/>
    <w:rsid w:val="00A20183"/>
    <w:rsid w:val="00A2035F"/>
    <w:rsid w:val="00A20427"/>
    <w:rsid w:val="00A204EF"/>
    <w:rsid w:val="00A20686"/>
    <w:rsid w:val="00A206F6"/>
    <w:rsid w:val="00A20A55"/>
    <w:rsid w:val="00A20A59"/>
    <w:rsid w:val="00A20B53"/>
    <w:rsid w:val="00A212E2"/>
    <w:rsid w:val="00A21335"/>
    <w:rsid w:val="00A21379"/>
    <w:rsid w:val="00A213D7"/>
    <w:rsid w:val="00A21541"/>
    <w:rsid w:val="00A21688"/>
    <w:rsid w:val="00A216C5"/>
    <w:rsid w:val="00A21707"/>
    <w:rsid w:val="00A219A8"/>
    <w:rsid w:val="00A21A0A"/>
    <w:rsid w:val="00A21BEC"/>
    <w:rsid w:val="00A21C08"/>
    <w:rsid w:val="00A21CE4"/>
    <w:rsid w:val="00A21D1C"/>
    <w:rsid w:val="00A21EB0"/>
    <w:rsid w:val="00A22009"/>
    <w:rsid w:val="00A22150"/>
    <w:rsid w:val="00A22360"/>
    <w:rsid w:val="00A2240A"/>
    <w:rsid w:val="00A22446"/>
    <w:rsid w:val="00A2245E"/>
    <w:rsid w:val="00A22527"/>
    <w:rsid w:val="00A22584"/>
    <w:rsid w:val="00A22714"/>
    <w:rsid w:val="00A2278C"/>
    <w:rsid w:val="00A228D8"/>
    <w:rsid w:val="00A2290B"/>
    <w:rsid w:val="00A229AA"/>
    <w:rsid w:val="00A22B98"/>
    <w:rsid w:val="00A22BC1"/>
    <w:rsid w:val="00A22C02"/>
    <w:rsid w:val="00A22D24"/>
    <w:rsid w:val="00A22DEB"/>
    <w:rsid w:val="00A22EFB"/>
    <w:rsid w:val="00A23088"/>
    <w:rsid w:val="00A2342A"/>
    <w:rsid w:val="00A235B0"/>
    <w:rsid w:val="00A23A29"/>
    <w:rsid w:val="00A23AA7"/>
    <w:rsid w:val="00A23BF3"/>
    <w:rsid w:val="00A23C7D"/>
    <w:rsid w:val="00A23DEB"/>
    <w:rsid w:val="00A23E72"/>
    <w:rsid w:val="00A23FA1"/>
    <w:rsid w:val="00A2414D"/>
    <w:rsid w:val="00A242C3"/>
    <w:rsid w:val="00A24335"/>
    <w:rsid w:val="00A24361"/>
    <w:rsid w:val="00A2458F"/>
    <w:rsid w:val="00A24AF0"/>
    <w:rsid w:val="00A24BEA"/>
    <w:rsid w:val="00A24C73"/>
    <w:rsid w:val="00A24C99"/>
    <w:rsid w:val="00A24DB1"/>
    <w:rsid w:val="00A24F11"/>
    <w:rsid w:val="00A2503A"/>
    <w:rsid w:val="00A2509E"/>
    <w:rsid w:val="00A25113"/>
    <w:rsid w:val="00A25146"/>
    <w:rsid w:val="00A251BF"/>
    <w:rsid w:val="00A25392"/>
    <w:rsid w:val="00A25637"/>
    <w:rsid w:val="00A257E9"/>
    <w:rsid w:val="00A25812"/>
    <w:rsid w:val="00A258C4"/>
    <w:rsid w:val="00A2596A"/>
    <w:rsid w:val="00A25AAA"/>
    <w:rsid w:val="00A25B6F"/>
    <w:rsid w:val="00A25B71"/>
    <w:rsid w:val="00A25DBB"/>
    <w:rsid w:val="00A25DC9"/>
    <w:rsid w:val="00A25E25"/>
    <w:rsid w:val="00A25F4A"/>
    <w:rsid w:val="00A262CA"/>
    <w:rsid w:val="00A26533"/>
    <w:rsid w:val="00A266C3"/>
    <w:rsid w:val="00A268A1"/>
    <w:rsid w:val="00A268BE"/>
    <w:rsid w:val="00A26A4E"/>
    <w:rsid w:val="00A26BE9"/>
    <w:rsid w:val="00A26BF0"/>
    <w:rsid w:val="00A26C4A"/>
    <w:rsid w:val="00A26C83"/>
    <w:rsid w:val="00A26FE0"/>
    <w:rsid w:val="00A27072"/>
    <w:rsid w:val="00A27468"/>
    <w:rsid w:val="00A27576"/>
    <w:rsid w:val="00A27592"/>
    <w:rsid w:val="00A275E8"/>
    <w:rsid w:val="00A276A4"/>
    <w:rsid w:val="00A277BD"/>
    <w:rsid w:val="00A277E8"/>
    <w:rsid w:val="00A27A16"/>
    <w:rsid w:val="00A27CAB"/>
    <w:rsid w:val="00A27D1A"/>
    <w:rsid w:val="00A30180"/>
    <w:rsid w:val="00A301BC"/>
    <w:rsid w:val="00A301D9"/>
    <w:rsid w:val="00A302A6"/>
    <w:rsid w:val="00A30393"/>
    <w:rsid w:val="00A303B8"/>
    <w:rsid w:val="00A30412"/>
    <w:rsid w:val="00A3073B"/>
    <w:rsid w:val="00A307D8"/>
    <w:rsid w:val="00A3086E"/>
    <w:rsid w:val="00A30967"/>
    <w:rsid w:val="00A309A1"/>
    <w:rsid w:val="00A30A64"/>
    <w:rsid w:val="00A30E0D"/>
    <w:rsid w:val="00A3106C"/>
    <w:rsid w:val="00A3123F"/>
    <w:rsid w:val="00A31358"/>
    <w:rsid w:val="00A3142C"/>
    <w:rsid w:val="00A3144C"/>
    <w:rsid w:val="00A3162E"/>
    <w:rsid w:val="00A31700"/>
    <w:rsid w:val="00A31776"/>
    <w:rsid w:val="00A317D9"/>
    <w:rsid w:val="00A31947"/>
    <w:rsid w:val="00A31968"/>
    <w:rsid w:val="00A3199A"/>
    <w:rsid w:val="00A31A46"/>
    <w:rsid w:val="00A31B38"/>
    <w:rsid w:val="00A31B54"/>
    <w:rsid w:val="00A31BCC"/>
    <w:rsid w:val="00A31E28"/>
    <w:rsid w:val="00A31EA7"/>
    <w:rsid w:val="00A31FC6"/>
    <w:rsid w:val="00A320FF"/>
    <w:rsid w:val="00A321C7"/>
    <w:rsid w:val="00A322F6"/>
    <w:rsid w:val="00A3232D"/>
    <w:rsid w:val="00A32466"/>
    <w:rsid w:val="00A324E2"/>
    <w:rsid w:val="00A3251C"/>
    <w:rsid w:val="00A32721"/>
    <w:rsid w:val="00A32988"/>
    <w:rsid w:val="00A32A40"/>
    <w:rsid w:val="00A32AE8"/>
    <w:rsid w:val="00A32B7C"/>
    <w:rsid w:val="00A32BD6"/>
    <w:rsid w:val="00A32C41"/>
    <w:rsid w:val="00A32E7D"/>
    <w:rsid w:val="00A32FD7"/>
    <w:rsid w:val="00A33158"/>
    <w:rsid w:val="00A331F0"/>
    <w:rsid w:val="00A331FD"/>
    <w:rsid w:val="00A33298"/>
    <w:rsid w:val="00A333BA"/>
    <w:rsid w:val="00A335EF"/>
    <w:rsid w:val="00A33900"/>
    <w:rsid w:val="00A33C6C"/>
    <w:rsid w:val="00A33C99"/>
    <w:rsid w:val="00A33DE2"/>
    <w:rsid w:val="00A33FAC"/>
    <w:rsid w:val="00A33FEF"/>
    <w:rsid w:val="00A34068"/>
    <w:rsid w:val="00A340A1"/>
    <w:rsid w:val="00A3415D"/>
    <w:rsid w:val="00A34161"/>
    <w:rsid w:val="00A342FD"/>
    <w:rsid w:val="00A3430E"/>
    <w:rsid w:val="00A34821"/>
    <w:rsid w:val="00A34835"/>
    <w:rsid w:val="00A349CD"/>
    <w:rsid w:val="00A34A63"/>
    <w:rsid w:val="00A34C28"/>
    <w:rsid w:val="00A34CD8"/>
    <w:rsid w:val="00A34EE9"/>
    <w:rsid w:val="00A34F76"/>
    <w:rsid w:val="00A35224"/>
    <w:rsid w:val="00A35244"/>
    <w:rsid w:val="00A3526F"/>
    <w:rsid w:val="00A354DE"/>
    <w:rsid w:val="00A355AA"/>
    <w:rsid w:val="00A356CC"/>
    <w:rsid w:val="00A356D5"/>
    <w:rsid w:val="00A3578B"/>
    <w:rsid w:val="00A35897"/>
    <w:rsid w:val="00A35904"/>
    <w:rsid w:val="00A35906"/>
    <w:rsid w:val="00A35976"/>
    <w:rsid w:val="00A35AB1"/>
    <w:rsid w:val="00A35B16"/>
    <w:rsid w:val="00A35C41"/>
    <w:rsid w:val="00A35CA0"/>
    <w:rsid w:val="00A35F22"/>
    <w:rsid w:val="00A360A7"/>
    <w:rsid w:val="00A36191"/>
    <w:rsid w:val="00A361E6"/>
    <w:rsid w:val="00A36452"/>
    <w:rsid w:val="00A36904"/>
    <w:rsid w:val="00A36920"/>
    <w:rsid w:val="00A36A67"/>
    <w:rsid w:val="00A36B41"/>
    <w:rsid w:val="00A36C6E"/>
    <w:rsid w:val="00A36D7B"/>
    <w:rsid w:val="00A36E79"/>
    <w:rsid w:val="00A37108"/>
    <w:rsid w:val="00A37236"/>
    <w:rsid w:val="00A374AF"/>
    <w:rsid w:val="00A374D1"/>
    <w:rsid w:val="00A37518"/>
    <w:rsid w:val="00A375F3"/>
    <w:rsid w:val="00A37784"/>
    <w:rsid w:val="00A37820"/>
    <w:rsid w:val="00A3783D"/>
    <w:rsid w:val="00A37A6E"/>
    <w:rsid w:val="00A37E29"/>
    <w:rsid w:val="00A37FC2"/>
    <w:rsid w:val="00A4003D"/>
    <w:rsid w:val="00A40611"/>
    <w:rsid w:val="00A4062D"/>
    <w:rsid w:val="00A407B9"/>
    <w:rsid w:val="00A407EB"/>
    <w:rsid w:val="00A409F9"/>
    <w:rsid w:val="00A40B2C"/>
    <w:rsid w:val="00A40B9D"/>
    <w:rsid w:val="00A40C49"/>
    <w:rsid w:val="00A40F28"/>
    <w:rsid w:val="00A40FD0"/>
    <w:rsid w:val="00A410C4"/>
    <w:rsid w:val="00A4126F"/>
    <w:rsid w:val="00A414C0"/>
    <w:rsid w:val="00A41616"/>
    <w:rsid w:val="00A416AA"/>
    <w:rsid w:val="00A416DC"/>
    <w:rsid w:val="00A4176F"/>
    <w:rsid w:val="00A4177D"/>
    <w:rsid w:val="00A41970"/>
    <w:rsid w:val="00A419B2"/>
    <w:rsid w:val="00A41B0B"/>
    <w:rsid w:val="00A41D46"/>
    <w:rsid w:val="00A421CE"/>
    <w:rsid w:val="00A42260"/>
    <w:rsid w:val="00A423F6"/>
    <w:rsid w:val="00A42539"/>
    <w:rsid w:val="00A425AE"/>
    <w:rsid w:val="00A426EA"/>
    <w:rsid w:val="00A429CD"/>
    <w:rsid w:val="00A42AA8"/>
    <w:rsid w:val="00A42C8E"/>
    <w:rsid w:val="00A42E86"/>
    <w:rsid w:val="00A42EB4"/>
    <w:rsid w:val="00A42ECA"/>
    <w:rsid w:val="00A43054"/>
    <w:rsid w:val="00A43144"/>
    <w:rsid w:val="00A431A1"/>
    <w:rsid w:val="00A432B6"/>
    <w:rsid w:val="00A43309"/>
    <w:rsid w:val="00A43392"/>
    <w:rsid w:val="00A43788"/>
    <w:rsid w:val="00A437A0"/>
    <w:rsid w:val="00A43952"/>
    <w:rsid w:val="00A43969"/>
    <w:rsid w:val="00A43977"/>
    <w:rsid w:val="00A43BEA"/>
    <w:rsid w:val="00A43C0A"/>
    <w:rsid w:val="00A43D32"/>
    <w:rsid w:val="00A43D72"/>
    <w:rsid w:val="00A43DB0"/>
    <w:rsid w:val="00A43E39"/>
    <w:rsid w:val="00A43F7D"/>
    <w:rsid w:val="00A442AB"/>
    <w:rsid w:val="00A442B1"/>
    <w:rsid w:val="00A4469F"/>
    <w:rsid w:val="00A44718"/>
    <w:rsid w:val="00A447AA"/>
    <w:rsid w:val="00A44826"/>
    <w:rsid w:val="00A448B1"/>
    <w:rsid w:val="00A449C1"/>
    <w:rsid w:val="00A449E1"/>
    <w:rsid w:val="00A449F6"/>
    <w:rsid w:val="00A44A64"/>
    <w:rsid w:val="00A44C0B"/>
    <w:rsid w:val="00A44F6D"/>
    <w:rsid w:val="00A452D4"/>
    <w:rsid w:val="00A45464"/>
    <w:rsid w:val="00A4551F"/>
    <w:rsid w:val="00A45520"/>
    <w:rsid w:val="00A456AC"/>
    <w:rsid w:val="00A4581D"/>
    <w:rsid w:val="00A4592A"/>
    <w:rsid w:val="00A45936"/>
    <w:rsid w:val="00A45AFC"/>
    <w:rsid w:val="00A45BAA"/>
    <w:rsid w:val="00A45D37"/>
    <w:rsid w:val="00A46023"/>
    <w:rsid w:val="00A4602A"/>
    <w:rsid w:val="00A46353"/>
    <w:rsid w:val="00A469D6"/>
    <w:rsid w:val="00A46A60"/>
    <w:rsid w:val="00A46C06"/>
    <w:rsid w:val="00A46F68"/>
    <w:rsid w:val="00A47250"/>
    <w:rsid w:val="00A47350"/>
    <w:rsid w:val="00A4735D"/>
    <w:rsid w:val="00A473AE"/>
    <w:rsid w:val="00A4758F"/>
    <w:rsid w:val="00A47706"/>
    <w:rsid w:val="00A47758"/>
    <w:rsid w:val="00A477AB"/>
    <w:rsid w:val="00A47823"/>
    <w:rsid w:val="00A4786A"/>
    <w:rsid w:val="00A478C2"/>
    <w:rsid w:val="00A47952"/>
    <w:rsid w:val="00A4797C"/>
    <w:rsid w:val="00A479DA"/>
    <w:rsid w:val="00A47AB5"/>
    <w:rsid w:val="00A47CD2"/>
    <w:rsid w:val="00A47D55"/>
    <w:rsid w:val="00A47EAA"/>
    <w:rsid w:val="00A502E5"/>
    <w:rsid w:val="00A503F3"/>
    <w:rsid w:val="00A5042F"/>
    <w:rsid w:val="00A5057F"/>
    <w:rsid w:val="00A5062C"/>
    <w:rsid w:val="00A506E3"/>
    <w:rsid w:val="00A50717"/>
    <w:rsid w:val="00A50788"/>
    <w:rsid w:val="00A50B4D"/>
    <w:rsid w:val="00A50BAB"/>
    <w:rsid w:val="00A50D06"/>
    <w:rsid w:val="00A50E27"/>
    <w:rsid w:val="00A50E88"/>
    <w:rsid w:val="00A50F82"/>
    <w:rsid w:val="00A510A2"/>
    <w:rsid w:val="00A5110E"/>
    <w:rsid w:val="00A5123E"/>
    <w:rsid w:val="00A51739"/>
    <w:rsid w:val="00A5174E"/>
    <w:rsid w:val="00A517E5"/>
    <w:rsid w:val="00A51915"/>
    <w:rsid w:val="00A51B06"/>
    <w:rsid w:val="00A51B54"/>
    <w:rsid w:val="00A51B71"/>
    <w:rsid w:val="00A51E94"/>
    <w:rsid w:val="00A51F24"/>
    <w:rsid w:val="00A51F27"/>
    <w:rsid w:val="00A52053"/>
    <w:rsid w:val="00A5205B"/>
    <w:rsid w:val="00A52115"/>
    <w:rsid w:val="00A52201"/>
    <w:rsid w:val="00A5225B"/>
    <w:rsid w:val="00A522DB"/>
    <w:rsid w:val="00A52415"/>
    <w:rsid w:val="00A5255F"/>
    <w:rsid w:val="00A5257C"/>
    <w:rsid w:val="00A52724"/>
    <w:rsid w:val="00A5287C"/>
    <w:rsid w:val="00A52B40"/>
    <w:rsid w:val="00A52B80"/>
    <w:rsid w:val="00A52BD0"/>
    <w:rsid w:val="00A52E3F"/>
    <w:rsid w:val="00A52EF7"/>
    <w:rsid w:val="00A52FFE"/>
    <w:rsid w:val="00A5333C"/>
    <w:rsid w:val="00A5343D"/>
    <w:rsid w:val="00A53588"/>
    <w:rsid w:val="00A535BF"/>
    <w:rsid w:val="00A53916"/>
    <w:rsid w:val="00A53ACA"/>
    <w:rsid w:val="00A53E1F"/>
    <w:rsid w:val="00A53FEB"/>
    <w:rsid w:val="00A54040"/>
    <w:rsid w:val="00A5406F"/>
    <w:rsid w:val="00A5432D"/>
    <w:rsid w:val="00A5436B"/>
    <w:rsid w:val="00A5436D"/>
    <w:rsid w:val="00A54399"/>
    <w:rsid w:val="00A543DA"/>
    <w:rsid w:val="00A54418"/>
    <w:rsid w:val="00A544C0"/>
    <w:rsid w:val="00A5464E"/>
    <w:rsid w:val="00A54882"/>
    <w:rsid w:val="00A548B5"/>
    <w:rsid w:val="00A54A52"/>
    <w:rsid w:val="00A54C34"/>
    <w:rsid w:val="00A54D30"/>
    <w:rsid w:val="00A54DF8"/>
    <w:rsid w:val="00A54F2E"/>
    <w:rsid w:val="00A55067"/>
    <w:rsid w:val="00A5512F"/>
    <w:rsid w:val="00A55212"/>
    <w:rsid w:val="00A55355"/>
    <w:rsid w:val="00A5543A"/>
    <w:rsid w:val="00A55456"/>
    <w:rsid w:val="00A55619"/>
    <w:rsid w:val="00A558BE"/>
    <w:rsid w:val="00A5591C"/>
    <w:rsid w:val="00A55AF0"/>
    <w:rsid w:val="00A55C67"/>
    <w:rsid w:val="00A55D64"/>
    <w:rsid w:val="00A55D92"/>
    <w:rsid w:val="00A55DC7"/>
    <w:rsid w:val="00A55FCF"/>
    <w:rsid w:val="00A5668A"/>
    <w:rsid w:val="00A569CE"/>
    <w:rsid w:val="00A56A29"/>
    <w:rsid w:val="00A56A73"/>
    <w:rsid w:val="00A56B8E"/>
    <w:rsid w:val="00A56C81"/>
    <w:rsid w:val="00A56CE6"/>
    <w:rsid w:val="00A56EF6"/>
    <w:rsid w:val="00A56F0D"/>
    <w:rsid w:val="00A570E5"/>
    <w:rsid w:val="00A57322"/>
    <w:rsid w:val="00A57344"/>
    <w:rsid w:val="00A5745D"/>
    <w:rsid w:val="00A575EA"/>
    <w:rsid w:val="00A57765"/>
    <w:rsid w:val="00A57AAC"/>
    <w:rsid w:val="00A57C4A"/>
    <w:rsid w:val="00A57C53"/>
    <w:rsid w:val="00A57F34"/>
    <w:rsid w:val="00A6009E"/>
    <w:rsid w:val="00A60340"/>
    <w:rsid w:val="00A603ED"/>
    <w:rsid w:val="00A60421"/>
    <w:rsid w:val="00A60471"/>
    <w:rsid w:val="00A6059A"/>
    <w:rsid w:val="00A60617"/>
    <w:rsid w:val="00A60859"/>
    <w:rsid w:val="00A60A99"/>
    <w:rsid w:val="00A60B5C"/>
    <w:rsid w:val="00A60C4A"/>
    <w:rsid w:val="00A60C59"/>
    <w:rsid w:val="00A60CDA"/>
    <w:rsid w:val="00A60D7B"/>
    <w:rsid w:val="00A60DEE"/>
    <w:rsid w:val="00A60E49"/>
    <w:rsid w:val="00A60F87"/>
    <w:rsid w:val="00A60FEA"/>
    <w:rsid w:val="00A61106"/>
    <w:rsid w:val="00A6113B"/>
    <w:rsid w:val="00A611CA"/>
    <w:rsid w:val="00A617EC"/>
    <w:rsid w:val="00A61984"/>
    <w:rsid w:val="00A61A62"/>
    <w:rsid w:val="00A61B6D"/>
    <w:rsid w:val="00A61D55"/>
    <w:rsid w:val="00A61E04"/>
    <w:rsid w:val="00A61EC9"/>
    <w:rsid w:val="00A61F14"/>
    <w:rsid w:val="00A61FB1"/>
    <w:rsid w:val="00A61FCB"/>
    <w:rsid w:val="00A620F2"/>
    <w:rsid w:val="00A62111"/>
    <w:rsid w:val="00A6221B"/>
    <w:rsid w:val="00A62328"/>
    <w:rsid w:val="00A625B1"/>
    <w:rsid w:val="00A62640"/>
    <w:rsid w:val="00A62839"/>
    <w:rsid w:val="00A62844"/>
    <w:rsid w:val="00A628A0"/>
    <w:rsid w:val="00A6298F"/>
    <w:rsid w:val="00A629B5"/>
    <w:rsid w:val="00A62BC8"/>
    <w:rsid w:val="00A62C21"/>
    <w:rsid w:val="00A62C33"/>
    <w:rsid w:val="00A62E3F"/>
    <w:rsid w:val="00A62F96"/>
    <w:rsid w:val="00A63142"/>
    <w:rsid w:val="00A6340B"/>
    <w:rsid w:val="00A63668"/>
    <w:rsid w:val="00A63CE1"/>
    <w:rsid w:val="00A63F68"/>
    <w:rsid w:val="00A64142"/>
    <w:rsid w:val="00A6419B"/>
    <w:rsid w:val="00A641DD"/>
    <w:rsid w:val="00A64436"/>
    <w:rsid w:val="00A647CC"/>
    <w:rsid w:val="00A64A3F"/>
    <w:rsid w:val="00A64CC1"/>
    <w:rsid w:val="00A64D4A"/>
    <w:rsid w:val="00A64EF7"/>
    <w:rsid w:val="00A64FF4"/>
    <w:rsid w:val="00A650B3"/>
    <w:rsid w:val="00A65256"/>
    <w:rsid w:val="00A65333"/>
    <w:rsid w:val="00A65458"/>
    <w:rsid w:val="00A655D5"/>
    <w:rsid w:val="00A65831"/>
    <w:rsid w:val="00A65B2C"/>
    <w:rsid w:val="00A65EBA"/>
    <w:rsid w:val="00A65EF7"/>
    <w:rsid w:val="00A65F21"/>
    <w:rsid w:val="00A66536"/>
    <w:rsid w:val="00A6662F"/>
    <w:rsid w:val="00A66682"/>
    <w:rsid w:val="00A668DD"/>
    <w:rsid w:val="00A6690B"/>
    <w:rsid w:val="00A66947"/>
    <w:rsid w:val="00A66979"/>
    <w:rsid w:val="00A66A2E"/>
    <w:rsid w:val="00A66B44"/>
    <w:rsid w:val="00A66BC0"/>
    <w:rsid w:val="00A66C89"/>
    <w:rsid w:val="00A66D0A"/>
    <w:rsid w:val="00A66D24"/>
    <w:rsid w:val="00A66DC9"/>
    <w:rsid w:val="00A66E29"/>
    <w:rsid w:val="00A66FF7"/>
    <w:rsid w:val="00A67206"/>
    <w:rsid w:val="00A6743D"/>
    <w:rsid w:val="00A675EB"/>
    <w:rsid w:val="00A677C5"/>
    <w:rsid w:val="00A67920"/>
    <w:rsid w:val="00A67AF3"/>
    <w:rsid w:val="00A67B48"/>
    <w:rsid w:val="00A67FC1"/>
    <w:rsid w:val="00A70226"/>
    <w:rsid w:val="00A702F7"/>
    <w:rsid w:val="00A70389"/>
    <w:rsid w:val="00A705B0"/>
    <w:rsid w:val="00A705E5"/>
    <w:rsid w:val="00A70812"/>
    <w:rsid w:val="00A70CEA"/>
    <w:rsid w:val="00A70E76"/>
    <w:rsid w:val="00A70EA2"/>
    <w:rsid w:val="00A70F44"/>
    <w:rsid w:val="00A7120E"/>
    <w:rsid w:val="00A71458"/>
    <w:rsid w:val="00A714C6"/>
    <w:rsid w:val="00A7158E"/>
    <w:rsid w:val="00A717AC"/>
    <w:rsid w:val="00A717D0"/>
    <w:rsid w:val="00A71926"/>
    <w:rsid w:val="00A719C0"/>
    <w:rsid w:val="00A71A15"/>
    <w:rsid w:val="00A71BE0"/>
    <w:rsid w:val="00A71C7C"/>
    <w:rsid w:val="00A72021"/>
    <w:rsid w:val="00A72141"/>
    <w:rsid w:val="00A7216F"/>
    <w:rsid w:val="00A721EE"/>
    <w:rsid w:val="00A725DA"/>
    <w:rsid w:val="00A72637"/>
    <w:rsid w:val="00A72683"/>
    <w:rsid w:val="00A726FC"/>
    <w:rsid w:val="00A7286C"/>
    <w:rsid w:val="00A72A16"/>
    <w:rsid w:val="00A72ADE"/>
    <w:rsid w:val="00A72B06"/>
    <w:rsid w:val="00A72C25"/>
    <w:rsid w:val="00A72C60"/>
    <w:rsid w:val="00A72C83"/>
    <w:rsid w:val="00A72F05"/>
    <w:rsid w:val="00A7307E"/>
    <w:rsid w:val="00A73370"/>
    <w:rsid w:val="00A7339A"/>
    <w:rsid w:val="00A733AB"/>
    <w:rsid w:val="00A73453"/>
    <w:rsid w:val="00A735C4"/>
    <w:rsid w:val="00A73D5A"/>
    <w:rsid w:val="00A73DD8"/>
    <w:rsid w:val="00A73FA8"/>
    <w:rsid w:val="00A73FD6"/>
    <w:rsid w:val="00A74354"/>
    <w:rsid w:val="00A7437A"/>
    <w:rsid w:val="00A743D8"/>
    <w:rsid w:val="00A7446E"/>
    <w:rsid w:val="00A746CE"/>
    <w:rsid w:val="00A74803"/>
    <w:rsid w:val="00A748B0"/>
    <w:rsid w:val="00A74AD4"/>
    <w:rsid w:val="00A74B52"/>
    <w:rsid w:val="00A74D31"/>
    <w:rsid w:val="00A75157"/>
    <w:rsid w:val="00A7527F"/>
    <w:rsid w:val="00A752DF"/>
    <w:rsid w:val="00A75363"/>
    <w:rsid w:val="00A7538B"/>
    <w:rsid w:val="00A7548D"/>
    <w:rsid w:val="00A75605"/>
    <w:rsid w:val="00A75888"/>
    <w:rsid w:val="00A758A6"/>
    <w:rsid w:val="00A758C4"/>
    <w:rsid w:val="00A759D6"/>
    <w:rsid w:val="00A75A62"/>
    <w:rsid w:val="00A75BB6"/>
    <w:rsid w:val="00A75BC6"/>
    <w:rsid w:val="00A75BE0"/>
    <w:rsid w:val="00A75C39"/>
    <w:rsid w:val="00A75C45"/>
    <w:rsid w:val="00A75FC8"/>
    <w:rsid w:val="00A76115"/>
    <w:rsid w:val="00A7622A"/>
    <w:rsid w:val="00A76348"/>
    <w:rsid w:val="00A7642B"/>
    <w:rsid w:val="00A76457"/>
    <w:rsid w:val="00A764F6"/>
    <w:rsid w:val="00A76546"/>
    <w:rsid w:val="00A76547"/>
    <w:rsid w:val="00A76621"/>
    <w:rsid w:val="00A76694"/>
    <w:rsid w:val="00A767FA"/>
    <w:rsid w:val="00A76918"/>
    <w:rsid w:val="00A769B2"/>
    <w:rsid w:val="00A76A52"/>
    <w:rsid w:val="00A76ACF"/>
    <w:rsid w:val="00A76B77"/>
    <w:rsid w:val="00A76BFF"/>
    <w:rsid w:val="00A76D97"/>
    <w:rsid w:val="00A76EF0"/>
    <w:rsid w:val="00A770DF"/>
    <w:rsid w:val="00A772F0"/>
    <w:rsid w:val="00A773AA"/>
    <w:rsid w:val="00A77518"/>
    <w:rsid w:val="00A775F0"/>
    <w:rsid w:val="00A775F9"/>
    <w:rsid w:val="00A77647"/>
    <w:rsid w:val="00A77652"/>
    <w:rsid w:val="00A776D4"/>
    <w:rsid w:val="00A77775"/>
    <w:rsid w:val="00A77A76"/>
    <w:rsid w:val="00A77B64"/>
    <w:rsid w:val="00A77B96"/>
    <w:rsid w:val="00A77F36"/>
    <w:rsid w:val="00A77FE7"/>
    <w:rsid w:val="00A80199"/>
    <w:rsid w:val="00A801A7"/>
    <w:rsid w:val="00A802C7"/>
    <w:rsid w:val="00A803BE"/>
    <w:rsid w:val="00A80542"/>
    <w:rsid w:val="00A806FB"/>
    <w:rsid w:val="00A807F5"/>
    <w:rsid w:val="00A80998"/>
    <w:rsid w:val="00A80A95"/>
    <w:rsid w:val="00A80BA6"/>
    <w:rsid w:val="00A80C74"/>
    <w:rsid w:val="00A80CEC"/>
    <w:rsid w:val="00A80DF1"/>
    <w:rsid w:val="00A80E45"/>
    <w:rsid w:val="00A80E49"/>
    <w:rsid w:val="00A80F11"/>
    <w:rsid w:val="00A80F2C"/>
    <w:rsid w:val="00A80F88"/>
    <w:rsid w:val="00A8109C"/>
    <w:rsid w:val="00A810CA"/>
    <w:rsid w:val="00A81123"/>
    <w:rsid w:val="00A81129"/>
    <w:rsid w:val="00A81196"/>
    <w:rsid w:val="00A8138C"/>
    <w:rsid w:val="00A815AE"/>
    <w:rsid w:val="00A8179A"/>
    <w:rsid w:val="00A81C9B"/>
    <w:rsid w:val="00A81D78"/>
    <w:rsid w:val="00A81F92"/>
    <w:rsid w:val="00A82165"/>
    <w:rsid w:val="00A8224D"/>
    <w:rsid w:val="00A8228D"/>
    <w:rsid w:val="00A824E9"/>
    <w:rsid w:val="00A82544"/>
    <w:rsid w:val="00A82588"/>
    <w:rsid w:val="00A82620"/>
    <w:rsid w:val="00A827FA"/>
    <w:rsid w:val="00A82851"/>
    <w:rsid w:val="00A828EF"/>
    <w:rsid w:val="00A82B97"/>
    <w:rsid w:val="00A82CDC"/>
    <w:rsid w:val="00A82E0D"/>
    <w:rsid w:val="00A82F52"/>
    <w:rsid w:val="00A82FE3"/>
    <w:rsid w:val="00A83073"/>
    <w:rsid w:val="00A83127"/>
    <w:rsid w:val="00A83215"/>
    <w:rsid w:val="00A832F0"/>
    <w:rsid w:val="00A833E7"/>
    <w:rsid w:val="00A834DC"/>
    <w:rsid w:val="00A83503"/>
    <w:rsid w:val="00A83544"/>
    <w:rsid w:val="00A83666"/>
    <w:rsid w:val="00A83A51"/>
    <w:rsid w:val="00A83B10"/>
    <w:rsid w:val="00A83E0D"/>
    <w:rsid w:val="00A83FF5"/>
    <w:rsid w:val="00A8448B"/>
    <w:rsid w:val="00A845EA"/>
    <w:rsid w:val="00A84616"/>
    <w:rsid w:val="00A84667"/>
    <w:rsid w:val="00A84718"/>
    <w:rsid w:val="00A84858"/>
    <w:rsid w:val="00A8488A"/>
    <w:rsid w:val="00A8494A"/>
    <w:rsid w:val="00A84B5F"/>
    <w:rsid w:val="00A84F21"/>
    <w:rsid w:val="00A850DE"/>
    <w:rsid w:val="00A850FB"/>
    <w:rsid w:val="00A851CA"/>
    <w:rsid w:val="00A8533A"/>
    <w:rsid w:val="00A8553C"/>
    <w:rsid w:val="00A85A9E"/>
    <w:rsid w:val="00A85B1E"/>
    <w:rsid w:val="00A85C49"/>
    <w:rsid w:val="00A8600E"/>
    <w:rsid w:val="00A8601D"/>
    <w:rsid w:val="00A86184"/>
    <w:rsid w:val="00A863E4"/>
    <w:rsid w:val="00A864A5"/>
    <w:rsid w:val="00A864CD"/>
    <w:rsid w:val="00A865F1"/>
    <w:rsid w:val="00A8678A"/>
    <w:rsid w:val="00A86A98"/>
    <w:rsid w:val="00A86BE3"/>
    <w:rsid w:val="00A86C49"/>
    <w:rsid w:val="00A86E3E"/>
    <w:rsid w:val="00A86F75"/>
    <w:rsid w:val="00A86FDA"/>
    <w:rsid w:val="00A870F6"/>
    <w:rsid w:val="00A871AF"/>
    <w:rsid w:val="00A8732E"/>
    <w:rsid w:val="00A8749D"/>
    <w:rsid w:val="00A874A2"/>
    <w:rsid w:val="00A8767E"/>
    <w:rsid w:val="00A876D8"/>
    <w:rsid w:val="00A877E2"/>
    <w:rsid w:val="00A87932"/>
    <w:rsid w:val="00A87984"/>
    <w:rsid w:val="00A87AB4"/>
    <w:rsid w:val="00A87C2D"/>
    <w:rsid w:val="00A87F38"/>
    <w:rsid w:val="00A9011C"/>
    <w:rsid w:val="00A90252"/>
    <w:rsid w:val="00A90300"/>
    <w:rsid w:val="00A90557"/>
    <w:rsid w:val="00A90646"/>
    <w:rsid w:val="00A906D2"/>
    <w:rsid w:val="00A90895"/>
    <w:rsid w:val="00A9099C"/>
    <w:rsid w:val="00A909D2"/>
    <w:rsid w:val="00A90A79"/>
    <w:rsid w:val="00A90AAA"/>
    <w:rsid w:val="00A912FB"/>
    <w:rsid w:val="00A91436"/>
    <w:rsid w:val="00A91547"/>
    <w:rsid w:val="00A91638"/>
    <w:rsid w:val="00A916BA"/>
    <w:rsid w:val="00A916C5"/>
    <w:rsid w:val="00A916D5"/>
    <w:rsid w:val="00A916EA"/>
    <w:rsid w:val="00A91755"/>
    <w:rsid w:val="00A91A16"/>
    <w:rsid w:val="00A91BC5"/>
    <w:rsid w:val="00A91F1A"/>
    <w:rsid w:val="00A92263"/>
    <w:rsid w:val="00A92292"/>
    <w:rsid w:val="00A92450"/>
    <w:rsid w:val="00A92526"/>
    <w:rsid w:val="00A92637"/>
    <w:rsid w:val="00A927EB"/>
    <w:rsid w:val="00A92833"/>
    <w:rsid w:val="00A928D2"/>
    <w:rsid w:val="00A928EC"/>
    <w:rsid w:val="00A92A28"/>
    <w:rsid w:val="00A92A47"/>
    <w:rsid w:val="00A92A9F"/>
    <w:rsid w:val="00A92AC1"/>
    <w:rsid w:val="00A92B1D"/>
    <w:rsid w:val="00A92CD7"/>
    <w:rsid w:val="00A92DA7"/>
    <w:rsid w:val="00A92DF3"/>
    <w:rsid w:val="00A92E26"/>
    <w:rsid w:val="00A92ED5"/>
    <w:rsid w:val="00A92F59"/>
    <w:rsid w:val="00A9302E"/>
    <w:rsid w:val="00A9303B"/>
    <w:rsid w:val="00A93173"/>
    <w:rsid w:val="00A93304"/>
    <w:rsid w:val="00A93521"/>
    <w:rsid w:val="00A936B6"/>
    <w:rsid w:val="00A9373E"/>
    <w:rsid w:val="00A937C8"/>
    <w:rsid w:val="00A93950"/>
    <w:rsid w:val="00A93A0D"/>
    <w:rsid w:val="00A93C54"/>
    <w:rsid w:val="00A93D8D"/>
    <w:rsid w:val="00A93E58"/>
    <w:rsid w:val="00A93F24"/>
    <w:rsid w:val="00A945D6"/>
    <w:rsid w:val="00A9466C"/>
    <w:rsid w:val="00A9474B"/>
    <w:rsid w:val="00A947D6"/>
    <w:rsid w:val="00A94962"/>
    <w:rsid w:val="00A94B0A"/>
    <w:rsid w:val="00A94B78"/>
    <w:rsid w:val="00A94CF6"/>
    <w:rsid w:val="00A94F2A"/>
    <w:rsid w:val="00A95114"/>
    <w:rsid w:val="00A95305"/>
    <w:rsid w:val="00A9550B"/>
    <w:rsid w:val="00A955D3"/>
    <w:rsid w:val="00A9560E"/>
    <w:rsid w:val="00A95647"/>
    <w:rsid w:val="00A957D8"/>
    <w:rsid w:val="00A9591E"/>
    <w:rsid w:val="00A95BE2"/>
    <w:rsid w:val="00A95C8C"/>
    <w:rsid w:val="00A95C8F"/>
    <w:rsid w:val="00A95DD0"/>
    <w:rsid w:val="00A95DF4"/>
    <w:rsid w:val="00A95E00"/>
    <w:rsid w:val="00A95E16"/>
    <w:rsid w:val="00A95E7C"/>
    <w:rsid w:val="00A961F5"/>
    <w:rsid w:val="00A9623D"/>
    <w:rsid w:val="00A962C4"/>
    <w:rsid w:val="00A9653D"/>
    <w:rsid w:val="00A9667F"/>
    <w:rsid w:val="00A966AC"/>
    <w:rsid w:val="00A96841"/>
    <w:rsid w:val="00A96B02"/>
    <w:rsid w:val="00A96BDB"/>
    <w:rsid w:val="00A96C07"/>
    <w:rsid w:val="00A96E73"/>
    <w:rsid w:val="00A96ECA"/>
    <w:rsid w:val="00A96FBB"/>
    <w:rsid w:val="00A970A0"/>
    <w:rsid w:val="00A97220"/>
    <w:rsid w:val="00A97414"/>
    <w:rsid w:val="00A97433"/>
    <w:rsid w:val="00A97575"/>
    <w:rsid w:val="00A97C9A"/>
    <w:rsid w:val="00A97F99"/>
    <w:rsid w:val="00A97FCD"/>
    <w:rsid w:val="00AA0060"/>
    <w:rsid w:val="00AA0545"/>
    <w:rsid w:val="00AA058A"/>
    <w:rsid w:val="00AA064B"/>
    <w:rsid w:val="00AA06A9"/>
    <w:rsid w:val="00AA06B2"/>
    <w:rsid w:val="00AA0936"/>
    <w:rsid w:val="00AA0B77"/>
    <w:rsid w:val="00AA0BF9"/>
    <w:rsid w:val="00AA0CCD"/>
    <w:rsid w:val="00AA0D85"/>
    <w:rsid w:val="00AA0E1B"/>
    <w:rsid w:val="00AA0F24"/>
    <w:rsid w:val="00AA0F6C"/>
    <w:rsid w:val="00AA0F82"/>
    <w:rsid w:val="00AA11B1"/>
    <w:rsid w:val="00AA11B5"/>
    <w:rsid w:val="00AA1247"/>
    <w:rsid w:val="00AA1256"/>
    <w:rsid w:val="00AA1647"/>
    <w:rsid w:val="00AA16AE"/>
    <w:rsid w:val="00AA18ED"/>
    <w:rsid w:val="00AA1A24"/>
    <w:rsid w:val="00AA1C61"/>
    <w:rsid w:val="00AA1D2E"/>
    <w:rsid w:val="00AA1EFE"/>
    <w:rsid w:val="00AA1FC6"/>
    <w:rsid w:val="00AA2027"/>
    <w:rsid w:val="00AA2155"/>
    <w:rsid w:val="00AA21EA"/>
    <w:rsid w:val="00AA2358"/>
    <w:rsid w:val="00AA2614"/>
    <w:rsid w:val="00AA2656"/>
    <w:rsid w:val="00AA26DC"/>
    <w:rsid w:val="00AA26E2"/>
    <w:rsid w:val="00AA2969"/>
    <w:rsid w:val="00AA2AE8"/>
    <w:rsid w:val="00AA2B09"/>
    <w:rsid w:val="00AA2C13"/>
    <w:rsid w:val="00AA2C62"/>
    <w:rsid w:val="00AA2C74"/>
    <w:rsid w:val="00AA2E7C"/>
    <w:rsid w:val="00AA2EF3"/>
    <w:rsid w:val="00AA2F03"/>
    <w:rsid w:val="00AA2F46"/>
    <w:rsid w:val="00AA2F61"/>
    <w:rsid w:val="00AA2FE3"/>
    <w:rsid w:val="00AA337B"/>
    <w:rsid w:val="00AA33C1"/>
    <w:rsid w:val="00AA345E"/>
    <w:rsid w:val="00AA34C5"/>
    <w:rsid w:val="00AA365B"/>
    <w:rsid w:val="00AA36D3"/>
    <w:rsid w:val="00AA37D7"/>
    <w:rsid w:val="00AA386B"/>
    <w:rsid w:val="00AA3934"/>
    <w:rsid w:val="00AA3BF3"/>
    <w:rsid w:val="00AA3C84"/>
    <w:rsid w:val="00AA3D29"/>
    <w:rsid w:val="00AA3DD2"/>
    <w:rsid w:val="00AA3E83"/>
    <w:rsid w:val="00AA3F6E"/>
    <w:rsid w:val="00AA44B6"/>
    <w:rsid w:val="00AA4610"/>
    <w:rsid w:val="00AA4747"/>
    <w:rsid w:val="00AA48BD"/>
    <w:rsid w:val="00AA4915"/>
    <w:rsid w:val="00AA4F29"/>
    <w:rsid w:val="00AA50CD"/>
    <w:rsid w:val="00AA52FB"/>
    <w:rsid w:val="00AA544A"/>
    <w:rsid w:val="00AA564A"/>
    <w:rsid w:val="00AA56C1"/>
    <w:rsid w:val="00AA5748"/>
    <w:rsid w:val="00AA5768"/>
    <w:rsid w:val="00AA5868"/>
    <w:rsid w:val="00AA591C"/>
    <w:rsid w:val="00AA5990"/>
    <w:rsid w:val="00AA5DDA"/>
    <w:rsid w:val="00AA5F74"/>
    <w:rsid w:val="00AA60EC"/>
    <w:rsid w:val="00AA6609"/>
    <w:rsid w:val="00AA6801"/>
    <w:rsid w:val="00AA6887"/>
    <w:rsid w:val="00AA6940"/>
    <w:rsid w:val="00AA694C"/>
    <w:rsid w:val="00AA6959"/>
    <w:rsid w:val="00AA6A45"/>
    <w:rsid w:val="00AA6AAC"/>
    <w:rsid w:val="00AA6C03"/>
    <w:rsid w:val="00AA6C9F"/>
    <w:rsid w:val="00AA6E06"/>
    <w:rsid w:val="00AA6E92"/>
    <w:rsid w:val="00AA6F94"/>
    <w:rsid w:val="00AA6FAA"/>
    <w:rsid w:val="00AA7033"/>
    <w:rsid w:val="00AA720D"/>
    <w:rsid w:val="00AA735D"/>
    <w:rsid w:val="00AA7394"/>
    <w:rsid w:val="00AA74D1"/>
    <w:rsid w:val="00AA74DC"/>
    <w:rsid w:val="00AA75C4"/>
    <w:rsid w:val="00AA7812"/>
    <w:rsid w:val="00AA7BE1"/>
    <w:rsid w:val="00AA7C99"/>
    <w:rsid w:val="00AA7D94"/>
    <w:rsid w:val="00AA7FDB"/>
    <w:rsid w:val="00AB0001"/>
    <w:rsid w:val="00AB006B"/>
    <w:rsid w:val="00AB00BC"/>
    <w:rsid w:val="00AB011E"/>
    <w:rsid w:val="00AB0187"/>
    <w:rsid w:val="00AB0268"/>
    <w:rsid w:val="00AB0338"/>
    <w:rsid w:val="00AB044D"/>
    <w:rsid w:val="00AB04E1"/>
    <w:rsid w:val="00AB0A13"/>
    <w:rsid w:val="00AB0B57"/>
    <w:rsid w:val="00AB0E64"/>
    <w:rsid w:val="00AB11A0"/>
    <w:rsid w:val="00AB134E"/>
    <w:rsid w:val="00AB18DF"/>
    <w:rsid w:val="00AB1957"/>
    <w:rsid w:val="00AB1997"/>
    <w:rsid w:val="00AB1BB0"/>
    <w:rsid w:val="00AB1C2B"/>
    <w:rsid w:val="00AB1DC5"/>
    <w:rsid w:val="00AB1E5E"/>
    <w:rsid w:val="00AB2019"/>
    <w:rsid w:val="00AB2035"/>
    <w:rsid w:val="00AB21AE"/>
    <w:rsid w:val="00AB220B"/>
    <w:rsid w:val="00AB2313"/>
    <w:rsid w:val="00AB233D"/>
    <w:rsid w:val="00AB245B"/>
    <w:rsid w:val="00AB268F"/>
    <w:rsid w:val="00AB2761"/>
    <w:rsid w:val="00AB280F"/>
    <w:rsid w:val="00AB296B"/>
    <w:rsid w:val="00AB29C9"/>
    <w:rsid w:val="00AB2B6C"/>
    <w:rsid w:val="00AB2BA0"/>
    <w:rsid w:val="00AB2D84"/>
    <w:rsid w:val="00AB2E06"/>
    <w:rsid w:val="00AB2F1F"/>
    <w:rsid w:val="00AB2F4A"/>
    <w:rsid w:val="00AB31B1"/>
    <w:rsid w:val="00AB3305"/>
    <w:rsid w:val="00AB34BF"/>
    <w:rsid w:val="00AB361F"/>
    <w:rsid w:val="00AB363B"/>
    <w:rsid w:val="00AB3682"/>
    <w:rsid w:val="00AB39E3"/>
    <w:rsid w:val="00AB3A1F"/>
    <w:rsid w:val="00AB3E83"/>
    <w:rsid w:val="00AB4085"/>
    <w:rsid w:val="00AB42A3"/>
    <w:rsid w:val="00AB4366"/>
    <w:rsid w:val="00AB4706"/>
    <w:rsid w:val="00AB47F3"/>
    <w:rsid w:val="00AB49CF"/>
    <w:rsid w:val="00AB4A60"/>
    <w:rsid w:val="00AB4BF8"/>
    <w:rsid w:val="00AB4C46"/>
    <w:rsid w:val="00AB4C8B"/>
    <w:rsid w:val="00AB4D07"/>
    <w:rsid w:val="00AB4FF9"/>
    <w:rsid w:val="00AB50D4"/>
    <w:rsid w:val="00AB5166"/>
    <w:rsid w:val="00AB51AE"/>
    <w:rsid w:val="00AB54C8"/>
    <w:rsid w:val="00AB56E0"/>
    <w:rsid w:val="00AB577A"/>
    <w:rsid w:val="00AB58C3"/>
    <w:rsid w:val="00AB5926"/>
    <w:rsid w:val="00AB5A4C"/>
    <w:rsid w:val="00AB5B43"/>
    <w:rsid w:val="00AB5BDD"/>
    <w:rsid w:val="00AB5C4D"/>
    <w:rsid w:val="00AB5C5F"/>
    <w:rsid w:val="00AB5E00"/>
    <w:rsid w:val="00AB5E5A"/>
    <w:rsid w:val="00AB5F34"/>
    <w:rsid w:val="00AB5F9D"/>
    <w:rsid w:val="00AB61F3"/>
    <w:rsid w:val="00AB621D"/>
    <w:rsid w:val="00AB62A7"/>
    <w:rsid w:val="00AB62C5"/>
    <w:rsid w:val="00AB640B"/>
    <w:rsid w:val="00AB657C"/>
    <w:rsid w:val="00AB6581"/>
    <w:rsid w:val="00AB695C"/>
    <w:rsid w:val="00AB6AA1"/>
    <w:rsid w:val="00AB6C9E"/>
    <w:rsid w:val="00AB6CF9"/>
    <w:rsid w:val="00AB6E1F"/>
    <w:rsid w:val="00AB6F60"/>
    <w:rsid w:val="00AB6F64"/>
    <w:rsid w:val="00AB7144"/>
    <w:rsid w:val="00AB7374"/>
    <w:rsid w:val="00AB73CC"/>
    <w:rsid w:val="00AB74DF"/>
    <w:rsid w:val="00AB75B7"/>
    <w:rsid w:val="00AB76D8"/>
    <w:rsid w:val="00AB7753"/>
    <w:rsid w:val="00AB77EE"/>
    <w:rsid w:val="00AB79BA"/>
    <w:rsid w:val="00AB7A93"/>
    <w:rsid w:val="00AB7B6A"/>
    <w:rsid w:val="00AB7EA5"/>
    <w:rsid w:val="00AB7EF2"/>
    <w:rsid w:val="00AB7F9A"/>
    <w:rsid w:val="00AC00EC"/>
    <w:rsid w:val="00AC056B"/>
    <w:rsid w:val="00AC0572"/>
    <w:rsid w:val="00AC06B8"/>
    <w:rsid w:val="00AC0A69"/>
    <w:rsid w:val="00AC0A9E"/>
    <w:rsid w:val="00AC0AB1"/>
    <w:rsid w:val="00AC0C54"/>
    <w:rsid w:val="00AC0CF4"/>
    <w:rsid w:val="00AC0D1E"/>
    <w:rsid w:val="00AC0D4B"/>
    <w:rsid w:val="00AC0E93"/>
    <w:rsid w:val="00AC0F7D"/>
    <w:rsid w:val="00AC148F"/>
    <w:rsid w:val="00AC1599"/>
    <w:rsid w:val="00AC1A42"/>
    <w:rsid w:val="00AC1A59"/>
    <w:rsid w:val="00AC1A66"/>
    <w:rsid w:val="00AC1AD6"/>
    <w:rsid w:val="00AC1B8A"/>
    <w:rsid w:val="00AC1D4B"/>
    <w:rsid w:val="00AC1DE8"/>
    <w:rsid w:val="00AC1F38"/>
    <w:rsid w:val="00AC1FE3"/>
    <w:rsid w:val="00AC202D"/>
    <w:rsid w:val="00AC2084"/>
    <w:rsid w:val="00AC2182"/>
    <w:rsid w:val="00AC2196"/>
    <w:rsid w:val="00AC2302"/>
    <w:rsid w:val="00AC2308"/>
    <w:rsid w:val="00AC231D"/>
    <w:rsid w:val="00AC260F"/>
    <w:rsid w:val="00AC2662"/>
    <w:rsid w:val="00AC2771"/>
    <w:rsid w:val="00AC280D"/>
    <w:rsid w:val="00AC285E"/>
    <w:rsid w:val="00AC29A2"/>
    <w:rsid w:val="00AC29B5"/>
    <w:rsid w:val="00AC29ED"/>
    <w:rsid w:val="00AC2B71"/>
    <w:rsid w:val="00AC2CB4"/>
    <w:rsid w:val="00AC2D2E"/>
    <w:rsid w:val="00AC2DCE"/>
    <w:rsid w:val="00AC2F6F"/>
    <w:rsid w:val="00AC3145"/>
    <w:rsid w:val="00AC3204"/>
    <w:rsid w:val="00AC321F"/>
    <w:rsid w:val="00AC339D"/>
    <w:rsid w:val="00AC348A"/>
    <w:rsid w:val="00AC3612"/>
    <w:rsid w:val="00AC3657"/>
    <w:rsid w:val="00AC3720"/>
    <w:rsid w:val="00AC3841"/>
    <w:rsid w:val="00AC3B1B"/>
    <w:rsid w:val="00AC3B40"/>
    <w:rsid w:val="00AC3CA2"/>
    <w:rsid w:val="00AC3E10"/>
    <w:rsid w:val="00AC43DC"/>
    <w:rsid w:val="00AC45A3"/>
    <w:rsid w:val="00AC45F2"/>
    <w:rsid w:val="00AC46CF"/>
    <w:rsid w:val="00AC488E"/>
    <w:rsid w:val="00AC4A87"/>
    <w:rsid w:val="00AC4D3E"/>
    <w:rsid w:val="00AC4DE3"/>
    <w:rsid w:val="00AC4F25"/>
    <w:rsid w:val="00AC4F2E"/>
    <w:rsid w:val="00AC4FF4"/>
    <w:rsid w:val="00AC50CA"/>
    <w:rsid w:val="00AC51A3"/>
    <w:rsid w:val="00AC51A9"/>
    <w:rsid w:val="00AC55D6"/>
    <w:rsid w:val="00AC5652"/>
    <w:rsid w:val="00AC56DC"/>
    <w:rsid w:val="00AC587F"/>
    <w:rsid w:val="00AC5986"/>
    <w:rsid w:val="00AC5B4D"/>
    <w:rsid w:val="00AC5B54"/>
    <w:rsid w:val="00AC5B73"/>
    <w:rsid w:val="00AC5BDD"/>
    <w:rsid w:val="00AC5C67"/>
    <w:rsid w:val="00AC5CBE"/>
    <w:rsid w:val="00AC5D81"/>
    <w:rsid w:val="00AC5F20"/>
    <w:rsid w:val="00AC5FDB"/>
    <w:rsid w:val="00AC62FB"/>
    <w:rsid w:val="00AC6350"/>
    <w:rsid w:val="00AC6607"/>
    <w:rsid w:val="00AC663A"/>
    <w:rsid w:val="00AC6703"/>
    <w:rsid w:val="00AC67CE"/>
    <w:rsid w:val="00AC698B"/>
    <w:rsid w:val="00AC6A2D"/>
    <w:rsid w:val="00AC6A6D"/>
    <w:rsid w:val="00AC6C84"/>
    <w:rsid w:val="00AC6F1D"/>
    <w:rsid w:val="00AC6FA5"/>
    <w:rsid w:val="00AC721B"/>
    <w:rsid w:val="00AC7390"/>
    <w:rsid w:val="00AC7554"/>
    <w:rsid w:val="00AC7576"/>
    <w:rsid w:val="00AC75DE"/>
    <w:rsid w:val="00AC7928"/>
    <w:rsid w:val="00AC79C2"/>
    <w:rsid w:val="00AC7B98"/>
    <w:rsid w:val="00AC7BE5"/>
    <w:rsid w:val="00AC7C24"/>
    <w:rsid w:val="00AC7C29"/>
    <w:rsid w:val="00AC7CBF"/>
    <w:rsid w:val="00AC7E42"/>
    <w:rsid w:val="00AD0124"/>
    <w:rsid w:val="00AD0174"/>
    <w:rsid w:val="00AD046A"/>
    <w:rsid w:val="00AD05C9"/>
    <w:rsid w:val="00AD05D6"/>
    <w:rsid w:val="00AD0616"/>
    <w:rsid w:val="00AD0815"/>
    <w:rsid w:val="00AD09F0"/>
    <w:rsid w:val="00AD0AA1"/>
    <w:rsid w:val="00AD0AA7"/>
    <w:rsid w:val="00AD0DDB"/>
    <w:rsid w:val="00AD0EEF"/>
    <w:rsid w:val="00AD130A"/>
    <w:rsid w:val="00AD149E"/>
    <w:rsid w:val="00AD16E4"/>
    <w:rsid w:val="00AD19D7"/>
    <w:rsid w:val="00AD1A7D"/>
    <w:rsid w:val="00AD1B5D"/>
    <w:rsid w:val="00AD1B66"/>
    <w:rsid w:val="00AD1C02"/>
    <w:rsid w:val="00AD1C46"/>
    <w:rsid w:val="00AD1F05"/>
    <w:rsid w:val="00AD1F25"/>
    <w:rsid w:val="00AD2077"/>
    <w:rsid w:val="00AD208E"/>
    <w:rsid w:val="00AD20FF"/>
    <w:rsid w:val="00AD222C"/>
    <w:rsid w:val="00AD227F"/>
    <w:rsid w:val="00AD233F"/>
    <w:rsid w:val="00AD24FC"/>
    <w:rsid w:val="00AD258D"/>
    <w:rsid w:val="00AD28F7"/>
    <w:rsid w:val="00AD28FE"/>
    <w:rsid w:val="00AD29F2"/>
    <w:rsid w:val="00AD2C91"/>
    <w:rsid w:val="00AD2F3E"/>
    <w:rsid w:val="00AD2F9B"/>
    <w:rsid w:val="00AD30B4"/>
    <w:rsid w:val="00AD31FE"/>
    <w:rsid w:val="00AD3370"/>
    <w:rsid w:val="00AD3400"/>
    <w:rsid w:val="00AD3443"/>
    <w:rsid w:val="00AD362A"/>
    <w:rsid w:val="00AD3633"/>
    <w:rsid w:val="00AD3658"/>
    <w:rsid w:val="00AD3777"/>
    <w:rsid w:val="00AD3933"/>
    <w:rsid w:val="00AD394E"/>
    <w:rsid w:val="00AD39BE"/>
    <w:rsid w:val="00AD3D1E"/>
    <w:rsid w:val="00AD3DA7"/>
    <w:rsid w:val="00AD3F18"/>
    <w:rsid w:val="00AD3FC1"/>
    <w:rsid w:val="00AD4275"/>
    <w:rsid w:val="00AD42CC"/>
    <w:rsid w:val="00AD430A"/>
    <w:rsid w:val="00AD46D5"/>
    <w:rsid w:val="00AD4753"/>
    <w:rsid w:val="00AD488C"/>
    <w:rsid w:val="00AD4C3D"/>
    <w:rsid w:val="00AD4D70"/>
    <w:rsid w:val="00AD4E40"/>
    <w:rsid w:val="00AD4F21"/>
    <w:rsid w:val="00AD50F5"/>
    <w:rsid w:val="00AD5250"/>
    <w:rsid w:val="00AD5261"/>
    <w:rsid w:val="00AD52BF"/>
    <w:rsid w:val="00AD55D8"/>
    <w:rsid w:val="00AD5698"/>
    <w:rsid w:val="00AD59F5"/>
    <w:rsid w:val="00AD5A74"/>
    <w:rsid w:val="00AD5ABB"/>
    <w:rsid w:val="00AD5ACF"/>
    <w:rsid w:val="00AD5B67"/>
    <w:rsid w:val="00AD5B8E"/>
    <w:rsid w:val="00AD5C6E"/>
    <w:rsid w:val="00AD5E0A"/>
    <w:rsid w:val="00AD5E34"/>
    <w:rsid w:val="00AD5F11"/>
    <w:rsid w:val="00AD5F43"/>
    <w:rsid w:val="00AD6013"/>
    <w:rsid w:val="00AD619A"/>
    <w:rsid w:val="00AD621C"/>
    <w:rsid w:val="00AD644F"/>
    <w:rsid w:val="00AD672B"/>
    <w:rsid w:val="00AD6745"/>
    <w:rsid w:val="00AD6819"/>
    <w:rsid w:val="00AD6830"/>
    <w:rsid w:val="00AD687A"/>
    <w:rsid w:val="00AD68E1"/>
    <w:rsid w:val="00AD69A5"/>
    <w:rsid w:val="00AD6A60"/>
    <w:rsid w:val="00AD6B87"/>
    <w:rsid w:val="00AD6E75"/>
    <w:rsid w:val="00AD6FB1"/>
    <w:rsid w:val="00AD70F1"/>
    <w:rsid w:val="00AD748F"/>
    <w:rsid w:val="00AD749D"/>
    <w:rsid w:val="00AD7792"/>
    <w:rsid w:val="00AD7819"/>
    <w:rsid w:val="00AD7A82"/>
    <w:rsid w:val="00AD7C7C"/>
    <w:rsid w:val="00AD7CF3"/>
    <w:rsid w:val="00AE01BC"/>
    <w:rsid w:val="00AE07D8"/>
    <w:rsid w:val="00AE081C"/>
    <w:rsid w:val="00AE0862"/>
    <w:rsid w:val="00AE0887"/>
    <w:rsid w:val="00AE0970"/>
    <w:rsid w:val="00AE0AC5"/>
    <w:rsid w:val="00AE0BF6"/>
    <w:rsid w:val="00AE0D0F"/>
    <w:rsid w:val="00AE0E06"/>
    <w:rsid w:val="00AE1060"/>
    <w:rsid w:val="00AE10FF"/>
    <w:rsid w:val="00AE115A"/>
    <w:rsid w:val="00AE1261"/>
    <w:rsid w:val="00AE1355"/>
    <w:rsid w:val="00AE148C"/>
    <w:rsid w:val="00AE15BF"/>
    <w:rsid w:val="00AE166B"/>
    <w:rsid w:val="00AE17A7"/>
    <w:rsid w:val="00AE186A"/>
    <w:rsid w:val="00AE1A19"/>
    <w:rsid w:val="00AE1D17"/>
    <w:rsid w:val="00AE1D18"/>
    <w:rsid w:val="00AE1E0F"/>
    <w:rsid w:val="00AE202C"/>
    <w:rsid w:val="00AE2215"/>
    <w:rsid w:val="00AE2418"/>
    <w:rsid w:val="00AE2510"/>
    <w:rsid w:val="00AE258F"/>
    <w:rsid w:val="00AE25D8"/>
    <w:rsid w:val="00AE25F1"/>
    <w:rsid w:val="00AE2612"/>
    <w:rsid w:val="00AE29E5"/>
    <w:rsid w:val="00AE2E08"/>
    <w:rsid w:val="00AE3253"/>
    <w:rsid w:val="00AE363C"/>
    <w:rsid w:val="00AE3685"/>
    <w:rsid w:val="00AE3803"/>
    <w:rsid w:val="00AE39F9"/>
    <w:rsid w:val="00AE3BB9"/>
    <w:rsid w:val="00AE3C44"/>
    <w:rsid w:val="00AE3D2B"/>
    <w:rsid w:val="00AE3E27"/>
    <w:rsid w:val="00AE3F10"/>
    <w:rsid w:val="00AE3F53"/>
    <w:rsid w:val="00AE3FB9"/>
    <w:rsid w:val="00AE3FED"/>
    <w:rsid w:val="00AE40E1"/>
    <w:rsid w:val="00AE413E"/>
    <w:rsid w:val="00AE4174"/>
    <w:rsid w:val="00AE42EB"/>
    <w:rsid w:val="00AE46B1"/>
    <w:rsid w:val="00AE48F5"/>
    <w:rsid w:val="00AE4917"/>
    <w:rsid w:val="00AE4986"/>
    <w:rsid w:val="00AE4B72"/>
    <w:rsid w:val="00AE4C46"/>
    <w:rsid w:val="00AE4DF7"/>
    <w:rsid w:val="00AE500D"/>
    <w:rsid w:val="00AE5195"/>
    <w:rsid w:val="00AE52DE"/>
    <w:rsid w:val="00AE534E"/>
    <w:rsid w:val="00AE53EC"/>
    <w:rsid w:val="00AE53F1"/>
    <w:rsid w:val="00AE548A"/>
    <w:rsid w:val="00AE548F"/>
    <w:rsid w:val="00AE5819"/>
    <w:rsid w:val="00AE59BC"/>
    <w:rsid w:val="00AE5AAF"/>
    <w:rsid w:val="00AE5B89"/>
    <w:rsid w:val="00AE5BAC"/>
    <w:rsid w:val="00AE620A"/>
    <w:rsid w:val="00AE62E1"/>
    <w:rsid w:val="00AE63D2"/>
    <w:rsid w:val="00AE6445"/>
    <w:rsid w:val="00AE65C7"/>
    <w:rsid w:val="00AE661E"/>
    <w:rsid w:val="00AE6673"/>
    <w:rsid w:val="00AE68F5"/>
    <w:rsid w:val="00AE6970"/>
    <w:rsid w:val="00AE6A65"/>
    <w:rsid w:val="00AE6BFE"/>
    <w:rsid w:val="00AE6D0E"/>
    <w:rsid w:val="00AE6D28"/>
    <w:rsid w:val="00AE6F74"/>
    <w:rsid w:val="00AE6FB1"/>
    <w:rsid w:val="00AE7023"/>
    <w:rsid w:val="00AE707C"/>
    <w:rsid w:val="00AE7118"/>
    <w:rsid w:val="00AE735D"/>
    <w:rsid w:val="00AE741B"/>
    <w:rsid w:val="00AE747C"/>
    <w:rsid w:val="00AE7509"/>
    <w:rsid w:val="00AE7680"/>
    <w:rsid w:val="00AE779C"/>
    <w:rsid w:val="00AE79FE"/>
    <w:rsid w:val="00AE7EE5"/>
    <w:rsid w:val="00AF0220"/>
    <w:rsid w:val="00AF02B0"/>
    <w:rsid w:val="00AF04CD"/>
    <w:rsid w:val="00AF0637"/>
    <w:rsid w:val="00AF0666"/>
    <w:rsid w:val="00AF090E"/>
    <w:rsid w:val="00AF0954"/>
    <w:rsid w:val="00AF09D6"/>
    <w:rsid w:val="00AF0FC9"/>
    <w:rsid w:val="00AF1072"/>
    <w:rsid w:val="00AF108D"/>
    <w:rsid w:val="00AF1186"/>
    <w:rsid w:val="00AF167F"/>
    <w:rsid w:val="00AF17A8"/>
    <w:rsid w:val="00AF1877"/>
    <w:rsid w:val="00AF19D9"/>
    <w:rsid w:val="00AF1AD0"/>
    <w:rsid w:val="00AF1AD5"/>
    <w:rsid w:val="00AF1B35"/>
    <w:rsid w:val="00AF1BAD"/>
    <w:rsid w:val="00AF1D40"/>
    <w:rsid w:val="00AF201E"/>
    <w:rsid w:val="00AF2176"/>
    <w:rsid w:val="00AF219A"/>
    <w:rsid w:val="00AF2208"/>
    <w:rsid w:val="00AF228F"/>
    <w:rsid w:val="00AF237F"/>
    <w:rsid w:val="00AF23F4"/>
    <w:rsid w:val="00AF2613"/>
    <w:rsid w:val="00AF287A"/>
    <w:rsid w:val="00AF2A0A"/>
    <w:rsid w:val="00AF2A7C"/>
    <w:rsid w:val="00AF2A84"/>
    <w:rsid w:val="00AF2B46"/>
    <w:rsid w:val="00AF2C05"/>
    <w:rsid w:val="00AF2D06"/>
    <w:rsid w:val="00AF2E62"/>
    <w:rsid w:val="00AF337A"/>
    <w:rsid w:val="00AF340D"/>
    <w:rsid w:val="00AF341C"/>
    <w:rsid w:val="00AF3423"/>
    <w:rsid w:val="00AF343F"/>
    <w:rsid w:val="00AF34CA"/>
    <w:rsid w:val="00AF357D"/>
    <w:rsid w:val="00AF374A"/>
    <w:rsid w:val="00AF37D1"/>
    <w:rsid w:val="00AF388D"/>
    <w:rsid w:val="00AF38D3"/>
    <w:rsid w:val="00AF3A58"/>
    <w:rsid w:val="00AF3B31"/>
    <w:rsid w:val="00AF3BFE"/>
    <w:rsid w:val="00AF3C9A"/>
    <w:rsid w:val="00AF3D0D"/>
    <w:rsid w:val="00AF3EDE"/>
    <w:rsid w:val="00AF3F32"/>
    <w:rsid w:val="00AF3F56"/>
    <w:rsid w:val="00AF4392"/>
    <w:rsid w:val="00AF43E5"/>
    <w:rsid w:val="00AF442C"/>
    <w:rsid w:val="00AF44FE"/>
    <w:rsid w:val="00AF45DE"/>
    <w:rsid w:val="00AF49A1"/>
    <w:rsid w:val="00AF49AA"/>
    <w:rsid w:val="00AF49C7"/>
    <w:rsid w:val="00AF4A33"/>
    <w:rsid w:val="00AF4BF1"/>
    <w:rsid w:val="00AF4C7A"/>
    <w:rsid w:val="00AF4C9C"/>
    <w:rsid w:val="00AF4D4D"/>
    <w:rsid w:val="00AF4D5C"/>
    <w:rsid w:val="00AF4D7A"/>
    <w:rsid w:val="00AF4ECD"/>
    <w:rsid w:val="00AF4FD7"/>
    <w:rsid w:val="00AF502A"/>
    <w:rsid w:val="00AF5156"/>
    <w:rsid w:val="00AF5379"/>
    <w:rsid w:val="00AF54C5"/>
    <w:rsid w:val="00AF54F4"/>
    <w:rsid w:val="00AF5982"/>
    <w:rsid w:val="00AF59F7"/>
    <w:rsid w:val="00AF5A21"/>
    <w:rsid w:val="00AF5A90"/>
    <w:rsid w:val="00AF5AEE"/>
    <w:rsid w:val="00AF5B7F"/>
    <w:rsid w:val="00AF5B83"/>
    <w:rsid w:val="00AF5D10"/>
    <w:rsid w:val="00AF5D3E"/>
    <w:rsid w:val="00AF5E7A"/>
    <w:rsid w:val="00AF5F20"/>
    <w:rsid w:val="00AF6050"/>
    <w:rsid w:val="00AF6497"/>
    <w:rsid w:val="00AF64AF"/>
    <w:rsid w:val="00AF66E2"/>
    <w:rsid w:val="00AF6729"/>
    <w:rsid w:val="00AF6801"/>
    <w:rsid w:val="00AF6902"/>
    <w:rsid w:val="00AF6B05"/>
    <w:rsid w:val="00AF6E44"/>
    <w:rsid w:val="00AF6F95"/>
    <w:rsid w:val="00AF6FF7"/>
    <w:rsid w:val="00AF727D"/>
    <w:rsid w:val="00AF7478"/>
    <w:rsid w:val="00AF7492"/>
    <w:rsid w:val="00AF76B1"/>
    <w:rsid w:val="00AF77B8"/>
    <w:rsid w:val="00AF78C0"/>
    <w:rsid w:val="00AF7ADC"/>
    <w:rsid w:val="00AF7AFB"/>
    <w:rsid w:val="00AF7B3D"/>
    <w:rsid w:val="00AF7D4E"/>
    <w:rsid w:val="00AF7EFA"/>
    <w:rsid w:val="00AF7F03"/>
    <w:rsid w:val="00B002E9"/>
    <w:rsid w:val="00B00354"/>
    <w:rsid w:val="00B0052D"/>
    <w:rsid w:val="00B007B3"/>
    <w:rsid w:val="00B0088A"/>
    <w:rsid w:val="00B00958"/>
    <w:rsid w:val="00B00E62"/>
    <w:rsid w:val="00B00F4B"/>
    <w:rsid w:val="00B012B4"/>
    <w:rsid w:val="00B01325"/>
    <w:rsid w:val="00B0133D"/>
    <w:rsid w:val="00B01491"/>
    <w:rsid w:val="00B0155F"/>
    <w:rsid w:val="00B015F0"/>
    <w:rsid w:val="00B01A70"/>
    <w:rsid w:val="00B01CA0"/>
    <w:rsid w:val="00B01DFD"/>
    <w:rsid w:val="00B01F46"/>
    <w:rsid w:val="00B020AE"/>
    <w:rsid w:val="00B02177"/>
    <w:rsid w:val="00B0221D"/>
    <w:rsid w:val="00B02287"/>
    <w:rsid w:val="00B02296"/>
    <w:rsid w:val="00B027B4"/>
    <w:rsid w:val="00B027E5"/>
    <w:rsid w:val="00B0286A"/>
    <w:rsid w:val="00B028F3"/>
    <w:rsid w:val="00B0292F"/>
    <w:rsid w:val="00B029C5"/>
    <w:rsid w:val="00B02B62"/>
    <w:rsid w:val="00B02BC6"/>
    <w:rsid w:val="00B03018"/>
    <w:rsid w:val="00B030ED"/>
    <w:rsid w:val="00B03205"/>
    <w:rsid w:val="00B033CB"/>
    <w:rsid w:val="00B03429"/>
    <w:rsid w:val="00B0355C"/>
    <w:rsid w:val="00B037E5"/>
    <w:rsid w:val="00B037F8"/>
    <w:rsid w:val="00B03835"/>
    <w:rsid w:val="00B03A2F"/>
    <w:rsid w:val="00B03AD2"/>
    <w:rsid w:val="00B03AD4"/>
    <w:rsid w:val="00B03CB4"/>
    <w:rsid w:val="00B03F77"/>
    <w:rsid w:val="00B04005"/>
    <w:rsid w:val="00B0407B"/>
    <w:rsid w:val="00B042E7"/>
    <w:rsid w:val="00B042F5"/>
    <w:rsid w:val="00B04430"/>
    <w:rsid w:val="00B044A5"/>
    <w:rsid w:val="00B045A5"/>
    <w:rsid w:val="00B04687"/>
    <w:rsid w:val="00B046A7"/>
    <w:rsid w:val="00B0491B"/>
    <w:rsid w:val="00B04ADF"/>
    <w:rsid w:val="00B04B86"/>
    <w:rsid w:val="00B04BA6"/>
    <w:rsid w:val="00B05094"/>
    <w:rsid w:val="00B051C9"/>
    <w:rsid w:val="00B053E8"/>
    <w:rsid w:val="00B054DF"/>
    <w:rsid w:val="00B054F0"/>
    <w:rsid w:val="00B05607"/>
    <w:rsid w:val="00B056C1"/>
    <w:rsid w:val="00B057C0"/>
    <w:rsid w:val="00B05B39"/>
    <w:rsid w:val="00B05F58"/>
    <w:rsid w:val="00B0612B"/>
    <w:rsid w:val="00B061FF"/>
    <w:rsid w:val="00B06282"/>
    <w:rsid w:val="00B062AB"/>
    <w:rsid w:val="00B06320"/>
    <w:rsid w:val="00B063FF"/>
    <w:rsid w:val="00B0641C"/>
    <w:rsid w:val="00B06434"/>
    <w:rsid w:val="00B065A0"/>
    <w:rsid w:val="00B066A0"/>
    <w:rsid w:val="00B0675A"/>
    <w:rsid w:val="00B06799"/>
    <w:rsid w:val="00B06840"/>
    <w:rsid w:val="00B069BB"/>
    <w:rsid w:val="00B06A52"/>
    <w:rsid w:val="00B06B63"/>
    <w:rsid w:val="00B06B93"/>
    <w:rsid w:val="00B06E34"/>
    <w:rsid w:val="00B071C3"/>
    <w:rsid w:val="00B071F6"/>
    <w:rsid w:val="00B075C4"/>
    <w:rsid w:val="00B076F1"/>
    <w:rsid w:val="00B0779F"/>
    <w:rsid w:val="00B077DD"/>
    <w:rsid w:val="00B07949"/>
    <w:rsid w:val="00B079D2"/>
    <w:rsid w:val="00B07A3B"/>
    <w:rsid w:val="00B07B3E"/>
    <w:rsid w:val="00B07B43"/>
    <w:rsid w:val="00B07C3A"/>
    <w:rsid w:val="00B07D67"/>
    <w:rsid w:val="00B102BB"/>
    <w:rsid w:val="00B105BE"/>
    <w:rsid w:val="00B10644"/>
    <w:rsid w:val="00B10731"/>
    <w:rsid w:val="00B1077F"/>
    <w:rsid w:val="00B107E0"/>
    <w:rsid w:val="00B10A75"/>
    <w:rsid w:val="00B10BE6"/>
    <w:rsid w:val="00B10EEE"/>
    <w:rsid w:val="00B11084"/>
    <w:rsid w:val="00B1114F"/>
    <w:rsid w:val="00B11263"/>
    <w:rsid w:val="00B1130C"/>
    <w:rsid w:val="00B115AA"/>
    <w:rsid w:val="00B1166A"/>
    <w:rsid w:val="00B11783"/>
    <w:rsid w:val="00B11986"/>
    <w:rsid w:val="00B11D57"/>
    <w:rsid w:val="00B11ED9"/>
    <w:rsid w:val="00B11F31"/>
    <w:rsid w:val="00B1200C"/>
    <w:rsid w:val="00B12068"/>
    <w:rsid w:val="00B1211B"/>
    <w:rsid w:val="00B12239"/>
    <w:rsid w:val="00B122B8"/>
    <w:rsid w:val="00B12348"/>
    <w:rsid w:val="00B12478"/>
    <w:rsid w:val="00B124A6"/>
    <w:rsid w:val="00B125E2"/>
    <w:rsid w:val="00B1263F"/>
    <w:rsid w:val="00B12A29"/>
    <w:rsid w:val="00B12B7A"/>
    <w:rsid w:val="00B12B92"/>
    <w:rsid w:val="00B12BFA"/>
    <w:rsid w:val="00B12D77"/>
    <w:rsid w:val="00B12DD4"/>
    <w:rsid w:val="00B12E57"/>
    <w:rsid w:val="00B12ED4"/>
    <w:rsid w:val="00B12F12"/>
    <w:rsid w:val="00B12F40"/>
    <w:rsid w:val="00B13162"/>
    <w:rsid w:val="00B1329B"/>
    <w:rsid w:val="00B134EF"/>
    <w:rsid w:val="00B13562"/>
    <w:rsid w:val="00B135A0"/>
    <w:rsid w:val="00B1361C"/>
    <w:rsid w:val="00B13671"/>
    <w:rsid w:val="00B13683"/>
    <w:rsid w:val="00B13753"/>
    <w:rsid w:val="00B138A9"/>
    <w:rsid w:val="00B13A3E"/>
    <w:rsid w:val="00B13C76"/>
    <w:rsid w:val="00B13CE9"/>
    <w:rsid w:val="00B13D85"/>
    <w:rsid w:val="00B13DBD"/>
    <w:rsid w:val="00B14043"/>
    <w:rsid w:val="00B1449E"/>
    <w:rsid w:val="00B144C7"/>
    <w:rsid w:val="00B145E4"/>
    <w:rsid w:val="00B14623"/>
    <w:rsid w:val="00B1462A"/>
    <w:rsid w:val="00B14752"/>
    <w:rsid w:val="00B14821"/>
    <w:rsid w:val="00B1493B"/>
    <w:rsid w:val="00B149B7"/>
    <w:rsid w:val="00B14A52"/>
    <w:rsid w:val="00B14B3F"/>
    <w:rsid w:val="00B14C18"/>
    <w:rsid w:val="00B14D75"/>
    <w:rsid w:val="00B14DA8"/>
    <w:rsid w:val="00B14DB7"/>
    <w:rsid w:val="00B151DA"/>
    <w:rsid w:val="00B152ED"/>
    <w:rsid w:val="00B1541E"/>
    <w:rsid w:val="00B155E1"/>
    <w:rsid w:val="00B1564A"/>
    <w:rsid w:val="00B1569B"/>
    <w:rsid w:val="00B1570C"/>
    <w:rsid w:val="00B157B9"/>
    <w:rsid w:val="00B1598F"/>
    <w:rsid w:val="00B15C32"/>
    <w:rsid w:val="00B15CCF"/>
    <w:rsid w:val="00B15E31"/>
    <w:rsid w:val="00B16011"/>
    <w:rsid w:val="00B16041"/>
    <w:rsid w:val="00B16245"/>
    <w:rsid w:val="00B16299"/>
    <w:rsid w:val="00B16566"/>
    <w:rsid w:val="00B168C9"/>
    <w:rsid w:val="00B168D7"/>
    <w:rsid w:val="00B1692F"/>
    <w:rsid w:val="00B16A64"/>
    <w:rsid w:val="00B16A66"/>
    <w:rsid w:val="00B16C49"/>
    <w:rsid w:val="00B16CCE"/>
    <w:rsid w:val="00B16DD2"/>
    <w:rsid w:val="00B16EE2"/>
    <w:rsid w:val="00B16EE7"/>
    <w:rsid w:val="00B16F9D"/>
    <w:rsid w:val="00B17178"/>
    <w:rsid w:val="00B17256"/>
    <w:rsid w:val="00B1735E"/>
    <w:rsid w:val="00B174C6"/>
    <w:rsid w:val="00B17769"/>
    <w:rsid w:val="00B17A2E"/>
    <w:rsid w:val="00B17E19"/>
    <w:rsid w:val="00B17E52"/>
    <w:rsid w:val="00B17E7C"/>
    <w:rsid w:val="00B201AA"/>
    <w:rsid w:val="00B201B9"/>
    <w:rsid w:val="00B20202"/>
    <w:rsid w:val="00B20249"/>
    <w:rsid w:val="00B20394"/>
    <w:rsid w:val="00B203E0"/>
    <w:rsid w:val="00B2046E"/>
    <w:rsid w:val="00B20635"/>
    <w:rsid w:val="00B208EC"/>
    <w:rsid w:val="00B20998"/>
    <w:rsid w:val="00B20AFF"/>
    <w:rsid w:val="00B20BCB"/>
    <w:rsid w:val="00B20C50"/>
    <w:rsid w:val="00B20FCD"/>
    <w:rsid w:val="00B21120"/>
    <w:rsid w:val="00B21226"/>
    <w:rsid w:val="00B2129F"/>
    <w:rsid w:val="00B212C6"/>
    <w:rsid w:val="00B21450"/>
    <w:rsid w:val="00B214FD"/>
    <w:rsid w:val="00B216D3"/>
    <w:rsid w:val="00B21A51"/>
    <w:rsid w:val="00B21AE2"/>
    <w:rsid w:val="00B21C35"/>
    <w:rsid w:val="00B21D24"/>
    <w:rsid w:val="00B22024"/>
    <w:rsid w:val="00B22058"/>
    <w:rsid w:val="00B220D6"/>
    <w:rsid w:val="00B220E5"/>
    <w:rsid w:val="00B220E6"/>
    <w:rsid w:val="00B224DD"/>
    <w:rsid w:val="00B22511"/>
    <w:rsid w:val="00B2261C"/>
    <w:rsid w:val="00B226A0"/>
    <w:rsid w:val="00B226BE"/>
    <w:rsid w:val="00B226DD"/>
    <w:rsid w:val="00B22923"/>
    <w:rsid w:val="00B22961"/>
    <w:rsid w:val="00B22AD3"/>
    <w:rsid w:val="00B22B6D"/>
    <w:rsid w:val="00B22C85"/>
    <w:rsid w:val="00B22C90"/>
    <w:rsid w:val="00B22E93"/>
    <w:rsid w:val="00B22F1E"/>
    <w:rsid w:val="00B22F3E"/>
    <w:rsid w:val="00B22FF7"/>
    <w:rsid w:val="00B230D9"/>
    <w:rsid w:val="00B23225"/>
    <w:rsid w:val="00B232C5"/>
    <w:rsid w:val="00B23343"/>
    <w:rsid w:val="00B236E7"/>
    <w:rsid w:val="00B2381A"/>
    <w:rsid w:val="00B238E1"/>
    <w:rsid w:val="00B23C6F"/>
    <w:rsid w:val="00B23CD9"/>
    <w:rsid w:val="00B23D01"/>
    <w:rsid w:val="00B23D0A"/>
    <w:rsid w:val="00B23EBE"/>
    <w:rsid w:val="00B23F87"/>
    <w:rsid w:val="00B24127"/>
    <w:rsid w:val="00B24361"/>
    <w:rsid w:val="00B2452E"/>
    <w:rsid w:val="00B24770"/>
    <w:rsid w:val="00B247D3"/>
    <w:rsid w:val="00B247E6"/>
    <w:rsid w:val="00B2496D"/>
    <w:rsid w:val="00B24981"/>
    <w:rsid w:val="00B249DC"/>
    <w:rsid w:val="00B24B99"/>
    <w:rsid w:val="00B24BC1"/>
    <w:rsid w:val="00B24C18"/>
    <w:rsid w:val="00B24D83"/>
    <w:rsid w:val="00B25123"/>
    <w:rsid w:val="00B253BC"/>
    <w:rsid w:val="00B253E7"/>
    <w:rsid w:val="00B2568E"/>
    <w:rsid w:val="00B25694"/>
    <w:rsid w:val="00B257B0"/>
    <w:rsid w:val="00B2583C"/>
    <w:rsid w:val="00B25915"/>
    <w:rsid w:val="00B25956"/>
    <w:rsid w:val="00B259B4"/>
    <w:rsid w:val="00B25A67"/>
    <w:rsid w:val="00B25ACE"/>
    <w:rsid w:val="00B25B50"/>
    <w:rsid w:val="00B25E37"/>
    <w:rsid w:val="00B260FB"/>
    <w:rsid w:val="00B26174"/>
    <w:rsid w:val="00B262C8"/>
    <w:rsid w:val="00B26526"/>
    <w:rsid w:val="00B266B5"/>
    <w:rsid w:val="00B26761"/>
    <w:rsid w:val="00B267CB"/>
    <w:rsid w:val="00B26871"/>
    <w:rsid w:val="00B2696E"/>
    <w:rsid w:val="00B26A04"/>
    <w:rsid w:val="00B26B1B"/>
    <w:rsid w:val="00B26C5B"/>
    <w:rsid w:val="00B26F43"/>
    <w:rsid w:val="00B2703D"/>
    <w:rsid w:val="00B2730E"/>
    <w:rsid w:val="00B274B5"/>
    <w:rsid w:val="00B27552"/>
    <w:rsid w:val="00B27870"/>
    <w:rsid w:val="00B27935"/>
    <w:rsid w:val="00B27A1F"/>
    <w:rsid w:val="00B27A7A"/>
    <w:rsid w:val="00B27CCD"/>
    <w:rsid w:val="00B27D65"/>
    <w:rsid w:val="00B30015"/>
    <w:rsid w:val="00B3014D"/>
    <w:rsid w:val="00B3021B"/>
    <w:rsid w:val="00B3024D"/>
    <w:rsid w:val="00B30336"/>
    <w:rsid w:val="00B30451"/>
    <w:rsid w:val="00B30470"/>
    <w:rsid w:val="00B3048D"/>
    <w:rsid w:val="00B30518"/>
    <w:rsid w:val="00B30729"/>
    <w:rsid w:val="00B30928"/>
    <w:rsid w:val="00B3097C"/>
    <w:rsid w:val="00B30A7C"/>
    <w:rsid w:val="00B30B9D"/>
    <w:rsid w:val="00B30C11"/>
    <w:rsid w:val="00B30D19"/>
    <w:rsid w:val="00B30D60"/>
    <w:rsid w:val="00B30EC1"/>
    <w:rsid w:val="00B30F21"/>
    <w:rsid w:val="00B31002"/>
    <w:rsid w:val="00B3121F"/>
    <w:rsid w:val="00B31342"/>
    <w:rsid w:val="00B3139E"/>
    <w:rsid w:val="00B31412"/>
    <w:rsid w:val="00B31470"/>
    <w:rsid w:val="00B3151F"/>
    <w:rsid w:val="00B315E5"/>
    <w:rsid w:val="00B31605"/>
    <w:rsid w:val="00B316B8"/>
    <w:rsid w:val="00B3186E"/>
    <w:rsid w:val="00B318E1"/>
    <w:rsid w:val="00B319C2"/>
    <w:rsid w:val="00B31AB3"/>
    <w:rsid w:val="00B31B94"/>
    <w:rsid w:val="00B31F53"/>
    <w:rsid w:val="00B31F7B"/>
    <w:rsid w:val="00B320D4"/>
    <w:rsid w:val="00B321F4"/>
    <w:rsid w:val="00B32615"/>
    <w:rsid w:val="00B326CA"/>
    <w:rsid w:val="00B32708"/>
    <w:rsid w:val="00B328A8"/>
    <w:rsid w:val="00B3292E"/>
    <w:rsid w:val="00B32963"/>
    <w:rsid w:val="00B32A75"/>
    <w:rsid w:val="00B32AA1"/>
    <w:rsid w:val="00B32C1B"/>
    <w:rsid w:val="00B32E10"/>
    <w:rsid w:val="00B32E7B"/>
    <w:rsid w:val="00B32FDF"/>
    <w:rsid w:val="00B33044"/>
    <w:rsid w:val="00B330A5"/>
    <w:rsid w:val="00B33124"/>
    <w:rsid w:val="00B33171"/>
    <w:rsid w:val="00B331E9"/>
    <w:rsid w:val="00B33236"/>
    <w:rsid w:val="00B33370"/>
    <w:rsid w:val="00B33AAE"/>
    <w:rsid w:val="00B33AAF"/>
    <w:rsid w:val="00B33B32"/>
    <w:rsid w:val="00B33B5E"/>
    <w:rsid w:val="00B33C1A"/>
    <w:rsid w:val="00B33D5E"/>
    <w:rsid w:val="00B342AD"/>
    <w:rsid w:val="00B3452B"/>
    <w:rsid w:val="00B34796"/>
    <w:rsid w:val="00B348CF"/>
    <w:rsid w:val="00B34A76"/>
    <w:rsid w:val="00B34BE7"/>
    <w:rsid w:val="00B34D07"/>
    <w:rsid w:val="00B34D0E"/>
    <w:rsid w:val="00B34D89"/>
    <w:rsid w:val="00B34E4E"/>
    <w:rsid w:val="00B3549A"/>
    <w:rsid w:val="00B356E6"/>
    <w:rsid w:val="00B359EC"/>
    <w:rsid w:val="00B35A2F"/>
    <w:rsid w:val="00B35A33"/>
    <w:rsid w:val="00B35A8E"/>
    <w:rsid w:val="00B35B53"/>
    <w:rsid w:val="00B35CF3"/>
    <w:rsid w:val="00B35E5B"/>
    <w:rsid w:val="00B36090"/>
    <w:rsid w:val="00B3610D"/>
    <w:rsid w:val="00B36236"/>
    <w:rsid w:val="00B36334"/>
    <w:rsid w:val="00B363B5"/>
    <w:rsid w:val="00B36484"/>
    <w:rsid w:val="00B364D0"/>
    <w:rsid w:val="00B36517"/>
    <w:rsid w:val="00B365E3"/>
    <w:rsid w:val="00B36A0E"/>
    <w:rsid w:val="00B36D62"/>
    <w:rsid w:val="00B36E47"/>
    <w:rsid w:val="00B36F7F"/>
    <w:rsid w:val="00B371B0"/>
    <w:rsid w:val="00B374CC"/>
    <w:rsid w:val="00B37B70"/>
    <w:rsid w:val="00B37C16"/>
    <w:rsid w:val="00B37C70"/>
    <w:rsid w:val="00B37DB1"/>
    <w:rsid w:val="00B40094"/>
    <w:rsid w:val="00B402C0"/>
    <w:rsid w:val="00B40383"/>
    <w:rsid w:val="00B403AF"/>
    <w:rsid w:val="00B4069A"/>
    <w:rsid w:val="00B406C5"/>
    <w:rsid w:val="00B406CA"/>
    <w:rsid w:val="00B40873"/>
    <w:rsid w:val="00B40C88"/>
    <w:rsid w:val="00B40C8F"/>
    <w:rsid w:val="00B40DFF"/>
    <w:rsid w:val="00B41017"/>
    <w:rsid w:val="00B41498"/>
    <w:rsid w:val="00B417D5"/>
    <w:rsid w:val="00B417DA"/>
    <w:rsid w:val="00B417EF"/>
    <w:rsid w:val="00B419C8"/>
    <w:rsid w:val="00B41BE2"/>
    <w:rsid w:val="00B4217F"/>
    <w:rsid w:val="00B42372"/>
    <w:rsid w:val="00B424E3"/>
    <w:rsid w:val="00B4250A"/>
    <w:rsid w:val="00B42751"/>
    <w:rsid w:val="00B42794"/>
    <w:rsid w:val="00B429A1"/>
    <w:rsid w:val="00B429C8"/>
    <w:rsid w:val="00B42D7F"/>
    <w:rsid w:val="00B42DB9"/>
    <w:rsid w:val="00B42F11"/>
    <w:rsid w:val="00B42F25"/>
    <w:rsid w:val="00B4304E"/>
    <w:rsid w:val="00B43224"/>
    <w:rsid w:val="00B43346"/>
    <w:rsid w:val="00B434AE"/>
    <w:rsid w:val="00B4364F"/>
    <w:rsid w:val="00B43960"/>
    <w:rsid w:val="00B43B92"/>
    <w:rsid w:val="00B43BA8"/>
    <w:rsid w:val="00B43C1C"/>
    <w:rsid w:val="00B43D15"/>
    <w:rsid w:val="00B43E93"/>
    <w:rsid w:val="00B43FF8"/>
    <w:rsid w:val="00B4406D"/>
    <w:rsid w:val="00B440A0"/>
    <w:rsid w:val="00B44148"/>
    <w:rsid w:val="00B44168"/>
    <w:rsid w:val="00B44173"/>
    <w:rsid w:val="00B4434E"/>
    <w:rsid w:val="00B44355"/>
    <w:rsid w:val="00B4443A"/>
    <w:rsid w:val="00B4445B"/>
    <w:rsid w:val="00B4459F"/>
    <w:rsid w:val="00B44858"/>
    <w:rsid w:val="00B44943"/>
    <w:rsid w:val="00B4495A"/>
    <w:rsid w:val="00B44AC2"/>
    <w:rsid w:val="00B44E2F"/>
    <w:rsid w:val="00B44E6F"/>
    <w:rsid w:val="00B44F97"/>
    <w:rsid w:val="00B4516C"/>
    <w:rsid w:val="00B451CD"/>
    <w:rsid w:val="00B4549F"/>
    <w:rsid w:val="00B45598"/>
    <w:rsid w:val="00B45708"/>
    <w:rsid w:val="00B45753"/>
    <w:rsid w:val="00B4587B"/>
    <w:rsid w:val="00B45B46"/>
    <w:rsid w:val="00B45DC0"/>
    <w:rsid w:val="00B45EAE"/>
    <w:rsid w:val="00B45EE6"/>
    <w:rsid w:val="00B461A5"/>
    <w:rsid w:val="00B46202"/>
    <w:rsid w:val="00B4641C"/>
    <w:rsid w:val="00B46476"/>
    <w:rsid w:val="00B4677D"/>
    <w:rsid w:val="00B46AC1"/>
    <w:rsid w:val="00B46B87"/>
    <w:rsid w:val="00B46DA7"/>
    <w:rsid w:val="00B46DBB"/>
    <w:rsid w:val="00B46EF6"/>
    <w:rsid w:val="00B4701A"/>
    <w:rsid w:val="00B47367"/>
    <w:rsid w:val="00B474C0"/>
    <w:rsid w:val="00B476C1"/>
    <w:rsid w:val="00B476CE"/>
    <w:rsid w:val="00B47757"/>
    <w:rsid w:val="00B478B0"/>
    <w:rsid w:val="00B47C00"/>
    <w:rsid w:val="00B47F2C"/>
    <w:rsid w:val="00B47F42"/>
    <w:rsid w:val="00B47FBB"/>
    <w:rsid w:val="00B500D2"/>
    <w:rsid w:val="00B50203"/>
    <w:rsid w:val="00B502A9"/>
    <w:rsid w:val="00B50462"/>
    <w:rsid w:val="00B50A4C"/>
    <w:rsid w:val="00B50B25"/>
    <w:rsid w:val="00B50FDA"/>
    <w:rsid w:val="00B510F9"/>
    <w:rsid w:val="00B5112E"/>
    <w:rsid w:val="00B511A1"/>
    <w:rsid w:val="00B51208"/>
    <w:rsid w:val="00B5120F"/>
    <w:rsid w:val="00B5144D"/>
    <w:rsid w:val="00B516C6"/>
    <w:rsid w:val="00B516EE"/>
    <w:rsid w:val="00B5180B"/>
    <w:rsid w:val="00B51A77"/>
    <w:rsid w:val="00B51AAB"/>
    <w:rsid w:val="00B51BF9"/>
    <w:rsid w:val="00B51D2F"/>
    <w:rsid w:val="00B51D81"/>
    <w:rsid w:val="00B52035"/>
    <w:rsid w:val="00B520EB"/>
    <w:rsid w:val="00B5243F"/>
    <w:rsid w:val="00B5245B"/>
    <w:rsid w:val="00B5245D"/>
    <w:rsid w:val="00B5247F"/>
    <w:rsid w:val="00B52571"/>
    <w:rsid w:val="00B5284E"/>
    <w:rsid w:val="00B528D4"/>
    <w:rsid w:val="00B529F8"/>
    <w:rsid w:val="00B52A95"/>
    <w:rsid w:val="00B52C15"/>
    <w:rsid w:val="00B52C3D"/>
    <w:rsid w:val="00B52C48"/>
    <w:rsid w:val="00B52DC2"/>
    <w:rsid w:val="00B52F3A"/>
    <w:rsid w:val="00B530D6"/>
    <w:rsid w:val="00B53289"/>
    <w:rsid w:val="00B53397"/>
    <w:rsid w:val="00B5374B"/>
    <w:rsid w:val="00B537A2"/>
    <w:rsid w:val="00B53909"/>
    <w:rsid w:val="00B53919"/>
    <w:rsid w:val="00B53C94"/>
    <w:rsid w:val="00B54006"/>
    <w:rsid w:val="00B540F6"/>
    <w:rsid w:val="00B5413B"/>
    <w:rsid w:val="00B542EA"/>
    <w:rsid w:val="00B54457"/>
    <w:rsid w:val="00B54505"/>
    <w:rsid w:val="00B5467B"/>
    <w:rsid w:val="00B546F2"/>
    <w:rsid w:val="00B548B2"/>
    <w:rsid w:val="00B549CB"/>
    <w:rsid w:val="00B549FF"/>
    <w:rsid w:val="00B54B20"/>
    <w:rsid w:val="00B54B53"/>
    <w:rsid w:val="00B54C06"/>
    <w:rsid w:val="00B54C0E"/>
    <w:rsid w:val="00B54C6B"/>
    <w:rsid w:val="00B54CAD"/>
    <w:rsid w:val="00B54D88"/>
    <w:rsid w:val="00B54EA8"/>
    <w:rsid w:val="00B54EAA"/>
    <w:rsid w:val="00B54ED3"/>
    <w:rsid w:val="00B54F92"/>
    <w:rsid w:val="00B550A2"/>
    <w:rsid w:val="00B550F8"/>
    <w:rsid w:val="00B55413"/>
    <w:rsid w:val="00B554AC"/>
    <w:rsid w:val="00B5574B"/>
    <w:rsid w:val="00B5577C"/>
    <w:rsid w:val="00B557DE"/>
    <w:rsid w:val="00B55885"/>
    <w:rsid w:val="00B558D5"/>
    <w:rsid w:val="00B55A46"/>
    <w:rsid w:val="00B55AA1"/>
    <w:rsid w:val="00B55EE8"/>
    <w:rsid w:val="00B55EEB"/>
    <w:rsid w:val="00B55F4C"/>
    <w:rsid w:val="00B55FD5"/>
    <w:rsid w:val="00B56040"/>
    <w:rsid w:val="00B5613C"/>
    <w:rsid w:val="00B561B3"/>
    <w:rsid w:val="00B56281"/>
    <w:rsid w:val="00B562A1"/>
    <w:rsid w:val="00B56749"/>
    <w:rsid w:val="00B5689C"/>
    <w:rsid w:val="00B56A4C"/>
    <w:rsid w:val="00B56A5B"/>
    <w:rsid w:val="00B56B41"/>
    <w:rsid w:val="00B56D34"/>
    <w:rsid w:val="00B56DBF"/>
    <w:rsid w:val="00B56E4E"/>
    <w:rsid w:val="00B56F22"/>
    <w:rsid w:val="00B56FC8"/>
    <w:rsid w:val="00B571BC"/>
    <w:rsid w:val="00B57243"/>
    <w:rsid w:val="00B57353"/>
    <w:rsid w:val="00B575DD"/>
    <w:rsid w:val="00B57678"/>
    <w:rsid w:val="00B578B5"/>
    <w:rsid w:val="00B57939"/>
    <w:rsid w:val="00B57957"/>
    <w:rsid w:val="00B5795C"/>
    <w:rsid w:val="00B57AAF"/>
    <w:rsid w:val="00B57D8C"/>
    <w:rsid w:val="00B57F81"/>
    <w:rsid w:val="00B601FA"/>
    <w:rsid w:val="00B6026C"/>
    <w:rsid w:val="00B60271"/>
    <w:rsid w:val="00B603C2"/>
    <w:rsid w:val="00B606F2"/>
    <w:rsid w:val="00B6079F"/>
    <w:rsid w:val="00B60848"/>
    <w:rsid w:val="00B6089A"/>
    <w:rsid w:val="00B6093A"/>
    <w:rsid w:val="00B60985"/>
    <w:rsid w:val="00B60B6C"/>
    <w:rsid w:val="00B60B75"/>
    <w:rsid w:val="00B60B90"/>
    <w:rsid w:val="00B60C11"/>
    <w:rsid w:val="00B60CA4"/>
    <w:rsid w:val="00B60CD9"/>
    <w:rsid w:val="00B60E27"/>
    <w:rsid w:val="00B60E76"/>
    <w:rsid w:val="00B60EFF"/>
    <w:rsid w:val="00B6101F"/>
    <w:rsid w:val="00B6104F"/>
    <w:rsid w:val="00B61061"/>
    <w:rsid w:val="00B61098"/>
    <w:rsid w:val="00B6123F"/>
    <w:rsid w:val="00B6148C"/>
    <w:rsid w:val="00B61781"/>
    <w:rsid w:val="00B61B4D"/>
    <w:rsid w:val="00B61C04"/>
    <w:rsid w:val="00B61C3E"/>
    <w:rsid w:val="00B61FDC"/>
    <w:rsid w:val="00B624B7"/>
    <w:rsid w:val="00B6281C"/>
    <w:rsid w:val="00B6288E"/>
    <w:rsid w:val="00B628E5"/>
    <w:rsid w:val="00B62A26"/>
    <w:rsid w:val="00B62AF3"/>
    <w:rsid w:val="00B62E62"/>
    <w:rsid w:val="00B63150"/>
    <w:rsid w:val="00B632AC"/>
    <w:rsid w:val="00B63379"/>
    <w:rsid w:val="00B634A8"/>
    <w:rsid w:val="00B636EB"/>
    <w:rsid w:val="00B638B4"/>
    <w:rsid w:val="00B639C5"/>
    <w:rsid w:val="00B63B49"/>
    <w:rsid w:val="00B63CA3"/>
    <w:rsid w:val="00B641AE"/>
    <w:rsid w:val="00B642F3"/>
    <w:rsid w:val="00B6446B"/>
    <w:rsid w:val="00B6460E"/>
    <w:rsid w:val="00B6467E"/>
    <w:rsid w:val="00B6475F"/>
    <w:rsid w:val="00B648C3"/>
    <w:rsid w:val="00B64958"/>
    <w:rsid w:val="00B6498D"/>
    <w:rsid w:val="00B649BC"/>
    <w:rsid w:val="00B64A75"/>
    <w:rsid w:val="00B64ABC"/>
    <w:rsid w:val="00B64CD2"/>
    <w:rsid w:val="00B64DBB"/>
    <w:rsid w:val="00B650EC"/>
    <w:rsid w:val="00B65249"/>
    <w:rsid w:val="00B65272"/>
    <w:rsid w:val="00B6539A"/>
    <w:rsid w:val="00B6566F"/>
    <w:rsid w:val="00B65702"/>
    <w:rsid w:val="00B659FB"/>
    <w:rsid w:val="00B65A0A"/>
    <w:rsid w:val="00B65C2C"/>
    <w:rsid w:val="00B65EEB"/>
    <w:rsid w:val="00B65F70"/>
    <w:rsid w:val="00B660BE"/>
    <w:rsid w:val="00B660CA"/>
    <w:rsid w:val="00B66117"/>
    <w:rsid w:val="00B66213"/>
    <w:rsid w:val="00B662C3"/>
    <w:rsid w:val="00B66426"/>
    <w:rsid w:val="00B6663B"/>
    <w:rsid w:val="00B6670A"/>
    <w:rsid w:val="00B6684E"/>
    <w:rsid w:val="00B66A70"/>
    <w:rsid w:val="00B66BD4"/>
    <w:rsid w:val="00B66BD7"/>
    <w:rsid w:val="00B66C67"/>
    <w:rsid w:val="00B66D95"/>
    <w:rsid w:val="00B66DA0"/>
    <w:rsid w:val="00B66E99"/>
    <w:rsid w:val="00B66FFB"/>
    <w:rsid w:val="00B67008"/>
    <w:rsid w:val="00B672A5"/>
    <w:rsid w:val="00B672AA"/>
    <w:rsid w:val="00B67505"/>
    <w:rsid w:val="00B67715"/>
    <w:rsid w:val="00B67750"/>
    <w:rsid w:val="00B6796B"/>
    <w:rsid w:val="00B67A22"/>
    <w:rsid w:val="00B67A69"/>
    <w:rsid w:val="00B67C0B"/>
    <w:rsid w:val="00B67E45"/>
    <w:rsid w:val="00B67F0E"/>
    <w:rsid w:val="00B67F71"/>
    <w:rsid w:val="00B701B7"/>
    <w:rsid w:val="00B702EF"/>
    <w:rsid w:val="00B70346"/>
    <w:rsid w:val="00B7070D"/>
    <w:rsid w:val="00B70927"/>
    <w:rsid w:val="00B709AC"/>
    <w:rsid w:val="00B709C4"/>
    <w:rsid w:val="00B70B07"/>
    <w:rsid w:val="00B70F82"/>
    <w:rsid w:val="00B710E7"/>
    <w:rsid w:val="00B711C9"/>
    <w:rsid w:val="00B71236"/>
    <w:rsid w:val="00B712FB"/>
    <w:rsid w:val="00B71332"/>
    <w:rsid w:val="00B71428"/>
    <w:rsid w:val="00B714C1"/>
    <w:rsid w:val="00B717BC"/>
    <w:rsid w:val="00B717D0"/>
    <w:rsid w:val="00B717E7"/>
    <w:rsid w:val="00B7185C"/>
    <w:rsid w:val="00B719ED"/>
    <w:rsid w:val="00B71D2F"/>
    <w:rsid w:val="00B721DC"/>
    <w:rsid w:val="00B72233"/>
    <w:rsid w:val="00B7230C"/>
    <w:rsid w:val="00B72310"/>
    <w:rsid w:val="00B72483"/>
    <w:rsid w:val="00B7253E"/>
    <w:rsid w:val="00B72779"/>
    <w:rsid w:val="00B72784"/>
    <w:rsid w:val="00B72A61"/>
    <w:rsid w:val="00B72C6D"/>
    <w:rsid w:val="00B72DC4"/>
    <w:rsid w:val="00B734A5"/>
    <w:rsid w:val="00B7368D"/>
    <w:rsid w:val="00B7370E"/>
    <w:rsid w:val="00B7376F"/>
    <w:rsid w:val="00B7385F"/>
    <w:rsid w:val="00B738A1"/>
    <w:rsid w:val="00B739B0"/>
    <w:rsid w:val="00B73A71"/>
    <w:rsid w:val="00B73CEA"/>
    <w:rsid w:val="00B73D61"/>
    <w:rsid w:val="00B73EEB"/>
    <w:rsid w:val="00B74163"/>
    <w:rsid w:val="00B74324"/>
    <w:rsid w:val="00B7442D"/>
    <w:rsid w:val="00B7486F"/>
    <w:rsid w:val="00B74972"/>
    <w:rsid w:val="00B749BE"/>
    <w:rsid w:val="00B74A6F"/>
    <w:rsid w:val="00B74A7A"/>
    <w:rsid w:val="00B74BC3"/>
    <w:rsid w:val="00B74CB4"/>
    <w:rsid w:val="00B74DE7"/>
    <w:rsid w:val="00B74DFB"/>
    <w:rsid w:val="00B74EFF"/>
    <w:rsid w:val="00B74FE0"/>
    <w:rsid w:val="00B75145"/>
    <w:rsid w:val="00B75318"/>
    <w:rsid w:val="00B753D5"/>
    <w:rsid w:val="00B755F0"/>
    <w:rsid w:val="00B757B2"/>
    <w:rsid w:val="00B7580D"/>
    <w:rsid w:val="00B7591A"/>
    <w:rsid w:val="00B75A32"/>
    <w:rsid w:val="00B75AFE"/>
    <w:rsid w:val="00B75C93"/>
    <w:rsid w:val="00B75DAC"/>
    <w:rsid w:val="00B75E77"/>
    <w:rsid w:val="00B7601F"/>
    <w:rsid w:val="00B76025"/>
    <w:rsid w:val="00B7618C"/>
    <w:rsid w:val="00B762A7"/>
    <w:rsid w:val="00B76685"/>
    <w:rsid w:val="00B7679D"/>
    <w:rsid w:val="00B768A8"/>
    <w:rsid w:val="00B768AF"/>
    <w:rsid w:val="00B7698D"/>
    <w:rsid w:val="00B76AA0"/>
    <w:rsid w:val="00B76D8E"/>
    <w:rsid w:val="00B76F42"/>
    <w:rsid w:val="00B76FF1"/>
    <w:rsid w:val="00B77366"/>
    <w:rsid w:val="00B7739F"/>
    <w:rsid w:val="00B773C0"/>
    <w:rsid w:val="00B77502"/>
    <w:rsid w:val="00B777CB"/>
    <w:rsid w:val="00B77A03"/>
    <w:rsid w:val="00B77AEE"/>
    <w:rsid w:val="00B77B5D"/>
    <w:rsid w:val="00B77E99"/>
    <w:rsid w:val="00B77FAE"/>
    <w:rsid w:val="00B77FDD"/>
    <w:rsid w:val="00B80089"/>
    <w:rsid w:val="00B800DB"/>
    <w:rsid w:val="00B80109"/>
    <w:rsid w:val="00B8017E"/>
    <w:rsid w:val="00B801DA"/>
    <w:rsid w:val="00B80211"/>
    <w:rsid w:val="00B80429"/>
    <w:rsid w:val="00B80638"/>
    <w:rsid w:val="00B806E3"/>
    <w:rsid w:val="00B807A1"/>
    <w:rsid w:val="00B80801"/>
    <w:rsid w:val="00B80889"/>
    <w:rsid w:val="00B80968"/>
    <w:rsid w:val="00B80B5B"/>
    <w:rsid w:val="00B80B99"/>
    <w:rsid w:val="00B80CFD"/>
    <w:rsid w:val="00B80F62"/>
    <w:rsid w:val="00B81002"/>
    <w:rsid w:val="00B810A7"/>
    <w:rsid w:val="00B810CF"/>
    <w:rsid w:val="00B811AC"/>
    <w:rsid w:val="00B811E6"/>
    <w:rsid w:val="00B812F8"/>
    <w:rsid w:val="00B812FB"/>
    <w:rsid w:val="00B81362"/>
    <w:rsid w:val="00B81429"/>
    <w:rsid w:val="00B81479"/>
    <w:rsid w:val="00B815C5"/>
    <w:rsid w:val="00B81646"/>
    <w:rsid w:val="00B816CF"/>
    <w:rsid w:val="00B8193C"/>
    <w:rsid w:val="00B81D76"/>
    <w:rsid w:val="00B81DBC"/>
    <w:rsid w:val="00B81E83"/>
    <w:rsid w:val="00B81EF5"/>
    <w:rsid w:val="00B81FCC"/>
    <w:rsid w:val="00B820DF"/>
    <w:rsid w:val="00B82431"/>
    <w:rsid w:val="00B82434"/>
    <w:rsid w:val="00B82463"/>
    <w:rsid w:val="00B82531"/>
    <w:rsid w:val="00B82549"/>
    <w:rsid w:val="00B82683"/>
    <w:rsid w:val="00B826E5"/>
    <w:rsid w:val="00B82713"/>
    <w:rsid w:val="00B82732"/>
    <w:rsid w:val="00B827E1"/>
    <w:rsid w:val="00B82874"/>
    <w:rsid w:val="00B82944"/>
    <w:rsid w:val="00B82B86"/>
    <w:rsid w:val="00B82CB7"/>
    <w:rsid w:val="00B82CC8"/>
    <w:rsid w:val="00B82DF8"/>
    <w:rsid w:val="00B833A8"/>
    <w:rsid w:val="00B834DD"/>
    <w:rsid w:val="00B835FE"/>
    <w:rsid w:val="00B8365D"/>
    <w:rsid w:val="00B8368E"/>
    <w:rsid w:val="00B83765"/>
    <w:rsid w:val="00B8391B"/>
    <w:rsid w:val="00B83B42"/>
    <w:rsid w:val="00B83D53"/>
    <w:rsid w:val="00B83E3B"/>
    <w:rsid w:val="00B83F38"/>
    <w:rsid w:val="00B84207"/>
    <w:rsid w:val="00B8442A"/>
    <w:rsid w:val="00B844A5"/>
    <w:rsid w:val="00B84648"/>
    <w:rsid w:val="00B848BD"/>
    <w:rsid w:val="00B84C4E"/>
    <w:rsid w:val="00B84C98"/>
    <w:rsid w:val="00B84D8A"/>
    <w:rsid w:val="00B84E9F"/>
    <w:rsid w:val="00B84EC7"/>
    <w:rsid w:val="00B84ED4"/>
    <w:rsid w:val="00B84F03"/>
    <w:rsid w:val="00B851B1"/>
    <w:rsid w:val="00B851D1"/>
    <w:rsid w:val="00B852EE"/>
    <w:rsid w:val="00B8548D"/>
    <w:rsid w:val="00B85618"/>
    <w:rsid w:val="00B85774"/>
    <w:rsid w:val="00B85820"/>
    <w:rsid w:val="00B85A70"/>
    <w:rsid w:val="00B85AC3"/>
    <w:rsid w:val="00B85BA7"/>
    <w:rsid w:val="00B85D27"/>
    <w:rsid w:val="00B85FF7"/>
    <w:rsid w:val="00B8617A"/>
    <w:rsid w:val="00B862CF"/>
    <w:rsid w:val="00B862D1"/>
    <w:rsid w:val="00B86433"/>
    <w:rsid w:val="00B86758"/>
    <w:rsid w:val="00B86973"/>
    <w:rsid w:val="00B86BE2"/>
    <w:rsid w:val="00B86C41"/>
    <w:rsid w:val="00B86D94"/>
    <w:rsid w:val="00B86E65"/>
    <w:rsid w:val="00B87058"/>
    <w:rsid w:val="00B873B4"/>
    <w:rsid w:val="00B87406"/>
    <w:rsid w:val="00B8741F"/>
    <w:rsid w:val="00B875A9"/>
    <w:rsid w:val="00B8768D"/>
    <w:rsid w:val="00B876FC"/>
    <w:rsid w:val="00B87938"/>
    <w:rsid w:val="00B87A59"/>
    <w:rsid w:val="00B87A63"/>
    <w:rsid w:val="00B87A8B"/>
    <w:rsid w:val="00B87B18"/>
    <w:rsid w:val="00B87C11"/>
    <w:rsid w:val="00B902C2"/>
    <w:rsid w:val="00B903DB"/>
    <w:rsid w:val="00B904A9"/>
    <w:rsid w:val="00B9055F"/>
    <w:rsid w:val="00B90631"/>
    <w:rsid w:val="00B9065D"/>
    <w:rsid w:val="00B906BE"/>
    <w:rsid w:val="00B907E2"/>
    <w:rsid w:val="00B9090D"/>
    <w:rsid w:val="00B909FD"/>
    <w:rsid w:val="00B90B99"/>
    <w:rsid w:val="00B90BD8"/>
    <w:rsid w:val="00B90C35"/>
    <w:rsid w:val="00B90CA9"/>
    <w:rsid w:val="00B90D86"/>
    <w:rsid w:val="00B90DDA"/>
    <w:rsid w:val="00B90F01"/>
    <w:rsid w:val="00B91140"/>
    <w:rsid w:val="00B913E1"/>
    <w:rsid w:val="00B915D2"/>
    <w:rsid w:val="00B916F1"/>
    <w:rsid w:val="00B91D85"/>
    <w:rsid w:val="00B91EDB"/>
    <w:rsid w:val="00B92114"/>
    <w:rsid w:val="00B92270"/>
    <w:rsid w:val="00B92389"/>
    <w:rsid w:val="00B92560"/>
    <w:rsid w:val="00B92585"/>
    <w:rsid w:val="00B925D5"/>
    <w:rsid w:val="00B92707"/>
    <w:rsid w:val="00B92BEE"/>
    <w:rsid w:val="00B92C49"/>
    <w:rsid w:val="00B92CFC"/>
    <w:rsid w:val="00B92E7B"/>
    <w:rsid w:val="00B92F70"/>
    <w:rsid w:val="00B92F90"/>
    <w:rsid w:val="00B92FB1"/>
    <w:rsid w:val="00B9302E"/>
    <w:rsid w:val="00B930D1"/>
    <w:rsid w:val="00B932B6"/>
    <w:rsid w:val="00B936A3"/>
    <w:rsid w:val="00B936AA"/>
    <w:rsid w:val="00B9370C"/>
    <w:rsid w:val="00B9373E"/>
    <w:rsid w:val="00B937D7"/>
    <w:rsid w:val="00B93946"/>
    <w:rsid w:val="00B93AB0"/>
    <w:rsid w:val="00B93BDC"/>
    <w:rsid w:val="00B93BF3"/>
    <w:rsid w:val="00B93C5F"/>
    <w:rsid w:val="00B93DB3"/>
    <w:rsid w:val="00B93E82"/>
    <w:rsid w:val="00B93F98"/>
    <w:rsid w:val="00B93F9B"/>
    <w:rsid w:val="00B93FF8"/>
    <w:rsid w:val="00B940D1"/>
    <w:rsid w:val="00B942AF"/>
    <w:rsid w:val="00B943C6"/>
    <w:rsid w:val="00B9447D"/>
    <w:rsid w:val="00B944A4"/>
    <w:rsid w:val="00B947DA"/>
    <w:rsid w:val="00B949B0"/>
    <w:rsid w:val="00B949D3"/>
    <w:rsid w:val="00B94AC2"/>
    <w:rsid w:val="00B94B51"/>
    <w:rsid w:val="00B94B5F"/>
    <w:rsid w:val="00B94CD3"/>
    <w:rsid w:val="00B94E73"/>
    <w:rsid w:val="00B94EC0"/>
    <w:rsid w:val="00B94F4D"/>
    <w:rsid w:val="00B95070"/>
    <w:rsid w:val="00B95162"/>
    <w:rsid w:val="00B95437"/>
    <w:rsid w:val="00B95448"/>
    <w:rsid w:val="00B9553E"/>
    <w:rsid w:val="00B95604"/>
    <w:rsid w:val="00B956DF"/>
    <w:rsid w:val="00B95AEB"/>
    <w:rsid w:val="00B95C16"/>
    <w:rsid w:val="00B95C3C"/>
    <w:rsid w:val="00B95E39"/>
    <w:rsid w:val="00B96048"/>
    <w:rsid w:val="00B96510"/>
    <w:rsid w:val="00B9656D"/>
    <w:rsid w:val="00B9662A"/>
    <w:rsid w:val="00B9667A"/>
    <w:rsid w:val="00B96750"/>
    <w:rsid w:val="00B96847"/>
    <w:rsid w:val="00B96A13"/>
    <w:rsid w:val="00B96BE7"/>
    <w:rsid w:val="00B96CBE"/>
    <w:rsid w:val="00B96EE9"/>
    <w:rsid w:val="00B96FE4"/>
    <w:rsid w:val="00B97033"/>
    <w:rsid w:val="00B97597"/>
    <w:rsid w:val="00B975F2"/>
    <w:rsid w:val="00B97732"/>
    <w:rsid w:val="00B9791A"/>
    <w:rsid w:val="00B97C71"/>
    <w:rsid w:val="00B97D03"/>
    <w:rsid w:val="00BA0018"/>
    <w:rsid w:val="00BA002A"/>
    <w:rsid w:val="00BA00DB"/>
    <w:rsid w:val="00BA00F5"/>
    <w:rsid w:val="00BA013C"/>
    <w:rsid w:val="00BA0364"/>
    <w:rsid w:val="00BA0768"/>
    <w:rsid w:val="00BA0A92"/>
    <w:rsid w:val="00BA0D1A"/>
    <w:rsid w:val="00BA0D7E"/>
    <w:rsid w:val="00BA0FC4"/>
    <w:rsid w:val="00BA10BC"/>
    <w:rsid w:val="00BA1182"/>
    <w:rsid w:val="00BA1211"/>
    <w:rsid w:val="00BA1228"/>
    <w:rsid w:val="00BA1323"/>
    <w:rsid w:val="00BA138A"/>
    <w:rsid w:val="00BA1905"/>
    <w:rsid w:val="00BA1B75"/>
    <w:rsid w:val="00BA1E40"/>
    <w:rsid w:val="00BA2028"/>
    <w:rsid w:val="00BA212D"/>
    <w:rsid w:val="00BA21DE"/>
    <w:rsid w:val="00BA229F"/>
    <w:rsid w:val="00BA239A"/>
    <w:rsid w:val="00BA2545"/>
    <w:rsid w:val="00BA255D"/>
    <w:rsid w:val="00BA267B"/>
    <w:rsid w:val="00BA2846"/>
    <w:rsid w:val="00BA299C"/>
    <w:rsid w:val="00BA2A38"/>
    <w:rsid w:val="00BA2A6D"/>
    <w:rsid w:val="00BA2BB8"/>
    <w:rsid w:val="00BA2DAB"/>
    <w:rsid w:val="00BA2E3C"/>
    <w:rsid w:val="00BA2EA9"/>
    <w:rsid w:val="00BA2FD5"/>
    <w:rsid w:val="00BA3077"/>
    <w:rsid w:val="00BA30D1"/>
    <w:rsid w:val="00BA31C6"/>
    <w:rsid w:val="00BA3759"/>
    <w:rsid w:val="00BA37EA"/>
    <w:rsid w:val="00BA38CD"/>
    <w:rsid w:val="00BA3A3D"/>
    <w:rsid w:val="00BA3A74"/>
    <w:rsid w:val="00BA3C04"/>
    <w:rsid w:val="00BA3C1A"/>
    <w:rsid w:val="00BA3C71"/>
    <w:rsid w:val="00BA3E91"/>
    <w:rsid w:val="00BA3F4F"/>
    <w:rsid w:val="00BA3F6A"/>
    <w:rsid w:val="00BA412B"/>
    <w:rsid w:val="00BA4193"/>
    <w:rsid w:val="00BA433B"/>
    <w:rsid w:val="00BA4461"/>
    <w:rsid w:val="00BA44F1"/>
    <w:rsid w:val="00BA459E"/>
    <w:rsid w:val="00BA45AD"/>
    <w:rsid w:val="00BA45F1"/>
    <w:rsid w:val="00BA46D1"/>
    <w:rsid w:val="00BA4773"/>
    <w:rsid w:val="00BA481F"/>
    <w:rsid w:val="00BA4995"/>
    <w:rsid w:val="00BA49E6"/>
    <w:rsid w:val="00BA4D21"/>
    <w:rsid w:val="00BA4DFB"/>
    <w:rsid w:val="00BA4E05"/>
    <w:rsid w:val="00BA4E72"/>
    <w:rsid w:val="00BA4FB9"/>
    <w:rsid w:val="00BA50B5"/>
    <w:rsid w:val="00BA5230"/>
    <w:rsid w:val="00BA5432"/>
    <w:rsid w:val="00BA548B"/>
    <w:rsid w:val="00BA552F"/>
    <w:rsid w:val="00BA58FE"/>
    <w:rsid w:val="00BA5D03"/>
    <w:rsid w:val="00BA5D70"/>
    <w:rsid w:val="00BA5E55"/>
    <w:rsid w:val="00BA5F19"/>
    <w:rsid w:val="00BA602F"/>
    <w:rsid w:val="00BA619C"/>
    <w:rsid w:val="00BA6295"/>
    <w:rsid w:val="00BA62CA"/>
    <w:rsid w:val="00BA6456"/>
    <w:rsid w:val="00BA65CE"/>
    <w:rsid w:val="00BA6601"/>
    <w:rsid w:val="00BA69BC"/>
    <w:rsid w:val="00BA6A4A"/>
    <w:rsid w:val="00BA6C2F"/>
    <w:rsid w:val="00BA6CFF"/>
    <w:rsid w:val="00BA6D28"/>
    <w:rsid w:val="00BA6E00"/>
    <w:rsid w:val="00BA6F81"/>
    <w:rsid w:val="00BA72D7"/>
    <w:rsid w:val="00BA7333"/>
    <w:rsid w:val="00BA73E2"/>
    <w:rsid w:val="00BA74E0"/>
    <w:rsid w:val="00BA74F5"/>
    <w:rsid w:val="00BA7599"/>
    <w:rsid w:val="00BA7743"/>
    <w:rsid w:val="00BA786C"/>
    <w:rsid w:val="00BA7A7D"/>
    <w:rsid w:val="00BA7B17"/>
    <w:rsid w:val="00BA7CE0"/>
    <w:rsid w:val="00BA7D14"/>
    <w:rsid w:val="00BB003B"/>
    <w:rsid w:val="00BB017A"/>
    <w:rsid w:val="00BB0526"/>
    <w:rsid w:val="00BB0610"/>
    <w:rsid w:val="00BB0741"/>
    <w:rsid w:val="00BB0789"/>
    <w:rsid w:val="00BB0965"/>
    <w:rsid w:val="00BB09E6"/>
    <w:rsid w:val="00BB0C8D"/>
    <w:rsid w:val="00BB0CEF"/>
    <w:rsid w:val="00BB0CFC"/>
    <w:rsid w:val="00BB0E9E"/>
    <w:rsid w:val="00BB0ED2"/>
    <w:rsid w:val="00BB0F13"/>
    <w:rsid w:val="00BB1046"/>
    <w:rsid w:val="00BB10F3"/>
    <w:rsid w:val="00BB1238"/>
    <w:rsid w:val="00BB12E4"/>
    <w:rsid w:val="00BB1373"/>
    <w:rsid w:val="00BB1533"/>
    <w:rsid w:val="00BB16E7"/>
    <w:rsid w:val="00BB1913"/>
    <w:rsid w:val="00BB19BB"/>
    <w:rsid w:val="00BB1D0A"/>
    <w:rsid w:val="00BB1EBC"/>
    <w:rsid w:val="00BB1EC8"/>
    <w:rsid w:val="00BB1EF5"/>
    <w:rsid w:val="00BB2075"/>
    <w:rsid w:val="00BB22B8"/>
    <w:rsid w:val="00BB250E"/>
    <w:rsid w:val="00BB25B9"/>
    <w:rsid w:val="00BB2911"/>
    <w:rsid w:val="00BB2F9B"/>
    <w:rsid w:val="00BB2FEC"/>
    <w:rsid w:val="00BB306A"/>
    <w:rsid w:val="00BB30E4"/>
    <w:rsid w:val="00BB3497"/>
    <w:rsid w:val="00BB3768"/>
    <w:rsid w:val="00BB387C"/>
    <w:rsid w:val="00BB3884"/>
    <w:rsid w:val="00BB393D"/>
    <w:rsid w:val="00BB39C5"/>
    <w:rsid w:val="00BB3AB9"/>
    <w:rsid w:val="00BB3BE4"/>
    <w:rsid w:val="00BB3D50"/>
    <w:rsid w:val="00BB3E2D"/>
    <w:rsid w:val="00BB3E7B"/>
    <w:rsid w:val="00BB40E6"/>
    <w:rsid w:val="00BB4677"/>
    <w:rsid w:val="00BB46DD"/>
    <w:rsid w:val="00BB4947"/>
    <w:rsid w:val="00BB4B72"/>
    <w:rsid w:val="00BB4F5D"/>
    <w:rsid w:val="00BB5351"/>
    <w:rsid w:val="00BB5409"/>
    <w:rsid w:val="00BB5885"/>
    <w:rsid w:val="00BB5A64"/>
    <w:rsid w:val="00BB5C26"/>
    <w:rsid w:val="00BB5D8C"/>
    <w:rsid w:val="00BB5F3C"/>
    <w:rsid w:val="00BB5F4C"/>
    <w:rsid w:val="00BB619D"/>
    <w:rsid w:val="00BB63AB"/>
    <w:rsid w:val="00BB63D8"/>
    <w:rsid w:val="00BB64D1"/>
    <w:rsid w:val="00BB64FA"/>
    <w:rsid w:val="00BB6796"/>
    <w:rsid w:val="00BB67A2"/>
    <w:rsid w:val="00BB6858"/>
    <w:rsid w:val="00BB698B"/>
    <w:rsid w:val="00BB69FA"/>
    <w:rsid w:val="00BB6C09"/>
    <w:rsid w:val="00BB6F15"/>
    <w:rsid w:val="00BB6F34"/>
    <w:rsid w:val="00BB6F93"/>
    <w:rsid w:val="00BB7096"/>
    <w:rsid w:val="00BB71BE"/>
    <w:rsid w:val="00BB73F2"/>
    <w:rsid w:val="00BB73FC"/>
    <w:rsid w:val="00BB7526"/>
    <w:rsid w:val="00BB7589"/>
    <w:rsid w:val="00BB76AF"/>
    <w:rsid w:val="00BB7AB0"/>
    <w:rsid w:val="00BB7B16"/>
    <w:rsid w:val="00BB7B87"/>
    <w:rsid w:val="00BB7B9B"/>
    <w:rsid w:val="00BB7C83"/>
    <w:rsid w:val="00BB7CDE"/>
    <w:rsid w:val="00BB7D18"/>
    <w:rsid w:val="00BB7E2F"/>
    <w:rsid w:val="00BB7EC3"/>
    <w:rsid w:val="00BB7EE8"/>
    <w:rsid w:val="00BB7F55"/>
    <w:rsid w:val="00BC0024"/>
    <w:rsid w:val="00BC01E8"/>
    <w:rsid w:val="00BC030C"/>
    <w:rsid w:val="00BC0374"/>
    <w:rsid w:val="00BC03A7"/>
    <w:rsid w:val="00BC079B"/>
    <w:rsid w:val="00BC0AD2"/>
    <w:rsid w:val="00BC0D69"/>
    <w:rsid w:val="00BC0F61"/>
    <w:rsid w:val="00BC0FDC"/>
    <w:rsid w:val="00BC1243"/>
    <w:rsid w:val="00BC13F7"/>
    <w:rsid w:val="00BC1562"/>
    <w:rsid w:val="00BC15EA"/>
    <w:rsid w:val="00BC1708"/>
    <w:rsid w:val="00BC1731"/>
    <w:rsid w:val="00BC1943"/>
    <w:rsid w:val="00BC1BE5"/>
    <w:rsid w:val="00BC1C0C"/>
    <w:rsid w:val="00BC1CD8"/>
    <w:rsid w:val="00BC1D8B"/>
    <w:rsid w:val="00BC20C6"/>
    <w:rsid w:val="00BC230E"/>
    <w:rsid w:val="00BC2327"/>
    <w:rsid w:val="00BC23FF"/>
    <w:rsid w:val="00BC2445"/>
    <w:rsid w:val="00BC26A8"/>
    <w:rsid w:val="00BC26C7"/>
    <w:rsid w:val="00BC272A"/>
    <w:rsid w:val="00BC2803"/>
    <w:rsid w:val="00BC2926"/>
    <w:rsid w:val="00BC2B13"/>
    <w:rsid w:val="00BC2E03"/>
    <w:rsid w:val="00BC3243"/>
    <w:rsid w:val="00BC32CF"/>
    <w:rsid w:val="00BC35F7"/>
    <w:rsid w:val="00BC3618"/>
    <w:rsid w:val="00BC38C3"/>
    <w:rsid w:val="00BC3B87"/>
    <w:rsid w:val="00BC3B9F"/>
    <w:rsid w:val="00BC3C26"/>
    <w:rsid w:val="00BC3CE6"/>
    <w:rsid w:val="00BC4081"/>
    <w:rsid w:val="00BC4167"/>
    <w:rsid w:val="00BC41DF"/>
    <w:rsid w:val="00BC41F7"/>
    <w:rsid w:val="00BC4344"/>
    <w:rsid w:val="00BC4363"/>
    <w:rsid w:val="00BC4414"/>
    <w:rsid w:val="00BC470C"/>
    <w:rsid w:val="00BC4716"/>
    <w:rsid w:val="00BC4754"/>
    <w:rsid w:val="00BC4953"/>
    <w:rsid w:val="00BC4A98"/>
    <w:rsid w:val="00BC4B29"/>
    <w:rsid w:val="00BC4C85"/>
    <w:rsid w:val="00BC4F26"/>
    <w:rsid w:val="00BC52DD"/>
    <w:rsid w:val="00BC5427"/>
    <w:rsid w:val="00BC54C2"/>
    <w:rsid w:val="00BC5511"/>
    <w:rsid w:val="00BC5746"/>
    <w:rsid w:val="00BC5765"/>
    <w:rsid w:val="00BC57DB"/>
    <w:rsid w:val="00BC57F2"/>
    <w:rsid w:val="00BC5803"/>
    <w:rsid w:val="00BC58EC"/>
    <w:rsid w:val="00BC596A"/>
    <w:rsid w:val="00BC5AF8"/>
    <w:rsid w:val="00BC5D77"/>
    <w:rsid w:val="00BC5E91"/>
    <w:rsid w:val="00BC5EF3"/>
    <w:rsid w:val="00BC5F16"/>
    <w:rsid w:val="00BC5F4A"/>
    <w:rsid w:val="00BC605C"/>
    <w:rsid w:val="00BC6100"/>
    <w:rsid w:val="00BC62BF"/>
    <w:rsid w:val="00BC62DF"/>
    <w:rsid w:val="00BC679C"/>
    <w:rsid w:val="00BC67F6"/>
    <w:rsid w:val="00BC686F"/>
    <w:rsid w:val="00BC6916"/>
    <w:rsid w:val="00BC6CE8"/>
    <w:rsid w:val="00BC6D60"/>
    <w:rsid w:val="00BC6EDF"/>
    <w:rsid w:val="00BC6F00"/>
    <w:rsid w:val="00BC712C"/>
    <w:rsid w:val="00BC74CD"/>
    <w:rsid w:val="00BC76B4"/>
    <w:rsid w:val="00BC77EF"/>
    <w:rsid w:val="00BC79F5"/>
    <w:rsid w:val="00BC7D05"/>
    <w:rsid w:val="00BC7D77"/>
    <w:rsid w:val="00BC7E03"/>
    <w:rsid w:val="00BC7F3B"/>
    <w:rsid w:val="00BC7FFA"/>
    <w:rsid w:val="00BD01AA"/>
    <w:rsid w:val="00BD0257"/>
    <w:rsid w:val="00BD043E"/>
    <w:rsid w:val="00BD044D"/>
    <w:rsid w:val="00BD0484"/>
    <w:rsid w:val="00BD056E"/>
    <w:rsid w:val="00BD05AE"/>
    <w:rsid w:val="00BD0846"/>
    <w:rsid w:val="00BD0952"/>
    <w:rsid w:val="00BD09D6"/>
    <w:rsid w:val="00BD09FF"/>
    <w:rsid w:val="00BD0AC3"/>
    <w:rsid w:val="00BD0B11"/>
    <w:rsid w:val="00BD0B24"/>
    <w:rsid w:val="00BD0B3B"/>
    <w:rsid w:val="00BD0C00"/>
    <w:rsid w:val="00BD0E31"/>
    <w:rsid w:val="00BD0EDC"/>
    <w:rsid w:val="00BD0F26"/>
    <w:rsid w:val="00BD0F60"/>
    <w:rsid w:val="00BD10CC"/>
    <w:rsid w:val="00BD1189"/>
    <w:rsid w:val="00BD12D2"/>
    <w:rsid w:val="00BD14B0"/>
    <w:rsid w:val="00BD1529"/>
    <w:rsid w:val="00BD18AD"/>
    <w:rsid w:val="00BD19D2"/>
    <w:rsid w:val="00BD1BBA"/>
    <w:rsid w:val="00BD1BCB"/>
    <w:rsid w:val="00BD1D48"/>
    <w:rsid w:val="00BD1E95"/>
    <w:rsid w:val="00BD1F23"/>
    <w:rsid w:val="00BD1F2B"/>
    <w:rsid w:val="00BD1F67"/>
    <w:rsid w:val="00BD2005"/>
    <w:rsid w:val="00BD204F"/>
    <w:rsid w:val="00BD20B1"/>
    <w:rsid w:val="00BD2156"/>
    <w:rsid w:val="00BD238D"/>
    <w:rsid w:val="00BD2510"/>
    <w:rsid w:val="00BD2878"/>
    <w:rsid w:val="00BD2935"/>
    <w:rsid w:val="00BD2A00"/>
    <w:rsid w:val="00BD2A5C"/>
    <w:rsid w:val="00BD2A88"/>
    <w:rsid w:val="00BD2ADB"/>
    <w:rsid w:val="00BD2B85"/>
    <w:rsid w:val="00BD2BB3"/>
    <w:rsid w:val="00BD2BF4"/>
    <w:rsid w:val="00BD2D13"/>
    <w:rsid w:val="00BD2D7A"/>
    <w:rsid w:val="00BD2F5B"/>
    <w:rsid w:val="00BD3153"/>
    <w:rsid w:val="00BD31DE"/>
    <w:rsid w:val="00BD338A"/>
    <w:rsid w:val="00BD37AE"/>
    <w:rsid w:val="00BD3946"/>
    <w:rsid w:val="00BD3979"/>
    <w:rsid w:val="00BD3A21"/>
    <w:rsid w:val="00BD3A58"/>
    <w:rsid w:val="00BD3AE6"/>
    <w:rsid w:val="00BD3B8B"/>
    <w:rsid w:val="00BD3EB7"/>
    <w:rsid w:val="00BD3F70"/>
    <w:rsid w:val="00BD41C9"/>
    <w:rsid w:val="00BD41DE"/>
    <w:rsid w:val="00BD44C6"/>
    <w:rsid w:val="00BD44E6"/>
    <w:rsid w:val="00BD45AF"/>
    <w:rsid w:val="00BD48B4"/>
    <w:rsid w:val="00BD4A94"/>
    <w:rsid w:val="00BD4C1F"/>
    <w:rsid w:val="00BD4F85"/>
    <w:rsid w:val="00BD5174"/>
    <w:rsid w:val="00BD531D"/>
    <w:rsid w:val="00BD576E"/>
    <w:rsid w:val="00BD58B8"/>
    <w:rsid w:val="00BD58D3"/>
    <w:rsid w:val="00BD5C47"/>
    <w:rsid w:val="00BD5DB5"/>
    <w:rsid w:val="00BD5DD7"/>
    <w:rsid w:val="00BD5F38"/>
    <w:rsid w:val="00BD6053"/>
    <w:rsid w:val="00BD6712"/>
    <w:rsid w:val="00BD67AF"/>
    <w:rsid w:val="00BD6949"/>
    <w:rsid w:val="00BD6A53"/>
    <w:rsid w:val="00BD6A6A"/>
    <w:rsid w:val="00BD6ACB"/>
    <w:rsid w:val="00BD6C1F"/>
    <w:rsid w:val="00BD6C74"/>
    <w:rsid w:val="00BD6D66"/>
    <w:rsid w:val="00BD6DFB"/>
    <w:rsid w:val="00BD70F1"/>
    <w:rsid w:val="00BD717E"/>
    <w:rsid w:val="00BD7181"/>
    <w:rsid w:val="00BD7263"/>
    <w:rsid w:val="00BD7306"/>
    <w:rsid w:val="00BD73EF"/>
    <w:rsid w:val="00BD7483"/>
    <w:rsid w:val="00BD7556"/>
    <w:rsid w:val="00BD765E"/>
    <w:rsid w:val="00BD77B5"/>
    <w:rsid w:val="00BD787E"/>
    <w:rsid w:val="00BD78DD"/>
    <w:rsid w:val="00BD7AF3"/>
    <w:rsid w:val="00BD7B51"/>
    <w:rsid w:val="00BD7BC6"/>
    <w:rsid w:val="00BD7C0B"/>
    <w:rsid w:val="00BD7FDF"/>
    <w:rsid w:val="00BE043F"/>
    <w:rsid w:val="00BE056A"/>
    <w:rsid w:val="00BE05B7"/>
    <w:rsid w:val="00BE0738"/>
    <w:rsid w:val="00BE07D5"/>
    <w:rsid w:val="00BE0814"/>
    <w:rsid w:val="00BE0880"/>
    <w:rsid w:val="00BE088F"/>
    <w:rsid w:val="00BE09C5"/>
    <w:rsid w:val="00BE0AE0"/>
    <w:rsid w:val="00BE0C96"/>
    <w:rsid w:val="00BE0D31"/>
    <w:rsid w:val="00BE0D9C"/>
    <w:rsid w:val="00BE0FC4"/>
    <w:rsid w:val="00BE1376"/>
    <w:rsid w:val="00BE1467"/>
    <w:rsid w:val="00BE16B0"/>
    <w:rsid w:val="00BE17BD"/>
    <w:rsid w:val="00BE1A7A"/>
    <w:rsid w:val="00BE1D7D"/>
    <w:rsid w:val="00BE2000"/>
    <w:rsid w:val="00BE201C"/>
    <w:rsid w:val="00BE2484"/>
    <w:rsid w:val="00BE25FD"/>
    <w:rsid w:val="00BE2914"/>
    <w:rsid w:val="00BE2D26"/>
    <w:rsid w:val="00BE2D2D"/>
    <w:rsid w:val="00BE2E6D"/>
    <w:rsid w:val="00BE2EF5"/>
    <w:rsid w:val="00BE306A"/>
    <w:rsid w:val="00BE3155"/>
    <w:rsid w:val="00BE3233"/>
    <w:rsid w:val="00BE329A"/>
    <w:rsid w:val="00BE3379"/>
    <w:rsid w:val="00BE3455"/>
    <w:rsid w:val="00BE3463"/>
    <w:rsid w:val="00BE3470"/>
    <w:rsid w:val="00BE3520"/>
    <w:rsid w:val="00BE355E"/>
    <w:rsid w:val="00BE38C4"/>
    <w:rsid w:val="00BE3A41"/>
    <w:rsid w:val="00BE3A95"/>
    <w:rsid w:val="00BE3AC2"/>
    <w:rsid w:val="00BE3BFE"/>
    <w:rsid w:val="00BE3D8D"/>
    <w:rsid w:val="00BE3E9C"/>
    <w:rsid w:val="00BE4013"/>
    <w:rsid w:val="00BE41F9"/>
    <w:rsid w:val="00BE42A9"/>
    <w:rsid w:val="00BE43EB"/>
    <w:rsid w:val="00BE44D2"/>
    <w:rsid w:val="00BE4527"/>
    <w:rsid w:val="00BE4546"/>
    <w:rsid w:val="00BE4587"/>
    <w:rsid w:val="00BE46CE"/>
    <w:rsid w:val="00BE4787"/>
    <w:rsid w:val="00BE496A"/>
    <w:rsid w:val="00BE49CE"/>
    <w:rsid w:val="00BE4A2A"/>
    <w:rsid w:val="00BE4A2F"/>
    <w:rsid w:val="00BE4A5A"/>
    <w:rsid w:val="00BE4B1F"/>
    <w:rsid w:val="00BE4C03"/>
    <w:rsid w:val="00BE52AF"/>
    <w:rsid w:val="00BE550F"/>
    <w:rsid w:val="00BE578F"/>
    <w:rsid w:val="00BE57C0"/>
    <w:rsid w:val="00BE5857"/>
    <w:rsid w:val="00BE5864"/>
    <w:rsid w:val="00BE5946"/>
    <w:rsid w:val="00BE5987"/>
    <w:rsid w:val="00BE5B50"/>
    <w:rsid w:val="00BE5C40"/>
    <w:rsid w:val="00BE5E22"/>
    <w:rsid w:val="00BE5E3D"/>
    <w:rsid w:val="00BE5E49"/>
    <w:rsid w:val="00BE5EF1"/>
    <w:rsid w:val="00BE606D"/>
    <w:rsid w:val="00BE6114"/>
    <w:rsid w:val="00BE621B"/>
    <w:rsid w:val="00BE6297"/>
    <w:rsid w:val="00BE63A2"/>
    <w:rsid w:val="00BE66B5"/>
    <w:rsid w:val="00BE66FE"/>
    <w:rsid w:val="00BE6833"/>
    <w:rsid w:val="00BE68B3"/>
    <w:rsid w:val="00BE6990"/>
    <w:rsid w:val="00BE6A73"/>
    <w:rsid w:val="00BE6C3D"/>
    <w:rsid w:val="00BE6D82"/>
    <w:rsid w:val="00BE6DB7"/>
    <w:rsid w:val="00BE6DC2"/>
    <w:rsid w:val="00BE6DF4"/>
    <w:rsid w:val="00BE6E79"/>
    <w:rsid w:val="00BE6EE4"/>
    <w:rsid w:val="00BE6F7B"/>
    <w:rsid w:val="00BE70FD"/>
    <w:rsid w:val="00BE7112"/>
    <w:rsid w:val="00BE7528"/>
    <w:rsid w:val="00BE769B"/>
    <w:rsid w:val="00BE7768"/>
    <w:rsid w:val="00BE7D5B"/>
    <w:rsid w:val="00BE7D5E"/>
    <w:rsid w:val="00BE7E56"/>
    <w:rsid w:val="00BE7EDD"/>
    <w:rsid w:val="00BF0054"/>
    <w:rsid w:val="00BF0307"/>
    <w:rsid w:val="00BF03E5"/>
    <w:rsid w:val="00BF0596"/>
    <w:rsid w:val="00BF094F"/>
    <w:rsid w:val="00BF09A5"/>
    <w:rsid w:val="00BF0AE1"/>
    <w:rsid w:val="00BF0C38"/>
    <w:rsid w:val="00BF0C52"/>
    <w:rsid w:val="00BF0E9F"/>
    <w:rsid w:val="00BF114F"/>
    <w:rsid w:val="00BF1216"/>
    <w:rsid w:val="00BF132C"/>
    <w:rsid w:val="00BF15EB"/>
    <w:rsid w:val="00BF166D"/>
    <w:rsid w:val="00BF169F"/>
    <w:rsid w:val="00BF1AF1"/>
    <w:rsid w:val="00BF1B12"/>
    <w:rsid w:val="00BF1C4C"/>
    <w:rsid w:val="00BF1CE7"/>
    <w:rsid w:val="00BF1E31"/>
    <w:rsid w:val="00BF2169"/>
    <w:rsid w:val="00BF223F"/>
    <w:rsid w:val="00BF22A7"/>
    <w:rsid w:val="00BF2A91"/>
    <w:rsid w:val="00BF2AED"/>
    <w:rsid w:val="00BF2B17"/>
    <w:rsid w:val="00BF2D8E"/>
    <w:rsid w:val="00BF2DC4"/>
    <w:rsid w:val="00BF2E6E"/>
    <w:rsid w:val="00BF2FCF"/>
    <w:rsid w:val="00BF30C8"/>
    <w:rsid w:val="00BF33AB"/>
    <w:rsid w:val="00BF344F"/>
    <w:rsid w:val="00BF37F9"/>
    <w:rsid w:val="00BF39B8"/>
    <w:rsid w:val="00BF3B5B"/>
    <w:rsid w:val="00BF3BCF"/>
    <w:rsid w:val="00BF3E09"/>
    <w:rsid w:val="00BF3FC2"/>
    <w:rsid w:val="00BF3FD5"/>
    <w:rsid w:val="00BF4089"/>
    <w:rsid w:val="00BF4140"/>
    <w:rsid w:val="00BF42CB"/>
    <w:rsid w:val="00BF4425"/>
    <w:rsid w:val="00BF44D8"/>
    <w:rsid w:val="00BF46FC"/>
    <w:rsid w:val="00BF46FD"/>
    <w:rsid w:val="00BF485B"/>
    <w:rsid w:val="00BF4A1D"/>
    <w:rsid w:val="00BF4A35"/>
    <w:rsid w:val="00BF4C35"/>
    <w:rsid w:val="00BF4CE8"/>
    <w:rsid w:val="00BF4D4A"/>
    <w:rsid w:val="00BF4EB5"/>
    <w:rsid w:val="00BF5050"/>
    <w:rsid w:val="00BF52D2"/>
    <w:rsid w:val="00BF5428"/>
    <w:rsid w:val="00BF5448"/>
    <w:rsid w:val="00BF54AF"/>
    <w:rsid w:val="00BF559C"/>
    <w:rsid w:val="00BF55E8"/>
    <w:rsid w:val="00BF58B7"/>
    <w:rsid w:val="00BF58BC"/>
    <w:rsid w:val="00BF58EC"/>
    <w:rsid w:val="00BF5912"/>
    <w:rsid w:val="00BF599A"/>
    <w:rsid w:val="00BF5A4D"/>
    <w:rsid w:val="00BF5B50"/>
    <w:rsid w:val="00BF5EBB"/>
    <w:rsid w:val="00BF5FAA"/>
    <w:rsid w:val="00BF5FEA"/>
    <w:rsid w:val="00BF603C"/>
    <w:rsid w:val="00BF6059"/>
    <w:rsid w:val="00BF60C3"/>
    <w:rsid w:val="00BF61DE"/>
    <w:rsid w:val="00BF647B"/>
    <w:rsid w:val="00BF6524"/>
    <w:rsid w:val="00BF6592"/>
    <w:rsid w:val="00BF6789"/>
    <w:rsid w:val="00BF693D"/>
    <w:rsid w:val="00BF6B29"/>
    <w:rsid w:val="00BF6F36"/>
    <w:rsid w:val="00BF6FB6"/>
    <w:rsid w:val="00BF72A6"/>
    <w:rsid w:val="00BF74A6"/>
    <w:rsid w:val="00BF765C"/>
    <w:rsid w:val="00BF77A0"/>
    <w:rsid w:val="00BF7AB9"/>
    <w:rsid w:val="00BF7B67"/>
    <w:rsid w:val="00BF7BB6"/>
    <w:rsid w:val="00BF7BBB"/>
    <w:rsid w:val="00BF7D80"/>
    <w:rsid w:val="00C00004"/>
    <w:rsid w:val="00C0006A"/>
    <w:rsid w:val="00C000AF"/>
    <w:rsid w:val="00C0021B"/>
    <w:rsid w:val="00C0029D"/>
    <w:rsid w:val="00C00415"/>
    <w:rsid w:val="00C00446"/>
    <w:rsid w:val="00C00639"/>
    <w:rsid w:val="00C0065B"/>
    <w:rsid w:val="00C007F5"/>
    <w:rsid w:val="00C00DA4"/>
    <w:rsid w:val="00C0142D"/>
    <w:rsid w:val="00C015B5"/>
    <w:rsid w:val="00C015F7"/>
    <w:rsid w:val="00C015FA"/>
    <w:rsid w:val="00C01800"/>
    <w:rsid w:val="00C01810"/>
    <w:rsid w:val="00C01841"/>
    <w:rsid w:val="00C0185C"/>
    <w:rsid w:val="00C01A4A"/>
    <w:rsid w:val="00C01AAE"/>
    <w:rsid w:val="00C01B7C"/>
    <w:rsid w:val="00C01C2B"/>
    <w:rsid w:val="00C01CFA"/>
    <w:rsid w:val="00C01D27"/>
    <w:rsid w:val="00C01DDB"/>
    <w:rsid w:val="00C01F7B"/>
    <w:rsid w:val="00C02067"/>
    <w:rsid w:val="00C02186"/>
    <w:rsid w:val="00C0232A"/>
    <w:rsid w:val="00C02397"/>
    <w:rsid w:val="00C023EC"/>
    <w:rsid w:val="00C025C0"/>
    <w:rsid w:val="00C02650"/>
    <w:rsid w:val="00C02AA9"/>
    <w:rsid w:val="00C02C3B"/>
    <w:rsid w:val="00C02D08"/>
    <w:rsid w:val="00C02D63"/>
    <w:rsid w:val="00C02DAA"/>
    <w:rsid w:val="00C02E90"/>
    <w:rsid w:val="00C02E9F"/>
    <w:rsid w:val="00C02EC4"/>
    <w:rsid w:val="00C02F80"/>
    <w:rsid w:val="00C030DA"/>
    <w:rsid w:val="00C030FB"/>
    <w:rsid w:val="00C032FF"/>
    <w:rsid w:val="00C03344"/>
    <w:rsid w:val="00C0336C"/>
    <w:rsid w:val="00C034A5"/>
    <w:rsid w:val="00C034A7"/>
    <w:rsid w:val="00C0356E"/>
    <w:rsid w:val="00C03588"/>
    <w:rsid w:val="00C0366C"/>
    <w:rsid w:val="00C03B7E"/>
    <w:rsid w:val="00C03BEA"/>
    <w:rsid w:val="00C03C2C"/>
    <w:rsid w:val="00C03CC5"/>
    <w:rsid w:val="00C03DEF"/>
    <w:rsid w:val="00C03EF1"/>
    <w:rsid w:val="00C03EFF"/>
    <w:rsid w:val="00C040F9"/>
    <w:rsid w:val="00C0415A"/>
    <w:rsid w:val="00C04413"/>
    <w:rsid w:val="00C0460C"/>
    <w:rsid w:val="00C0467A"/>
    <w:rsid w:val="00C04762"/>
    <w:rsid w:val="00C047FE"/>
    <w:rsid w:val="00C04A20"/>
    <w:rsid w:val="00C04B0F"/>
    <w:rsid w:val="00C04DAF"/>
    <w:rsid w:val="00C04EE1"/>
    <w:rsid w:val="00C04FFA"/>
    <w:rsid w:val="00C0505A"/>
    <w:rsid w:val="00C050E9"/>
    <w:rsid w:val="00C051E5"/>
    <w:rsid w:val="00C05248"/>
    <w:rsid w:val="00C05262"/>
    <w:rsid w:val="00C05802"/>
    <w:rsid w:val="00C05C19"/>
    <w:rsid w:val="00C05DAC"/>
    <w:rsid w:val="00C05E26"/>
    <w:rsid w:val="00C05E96"/>
    <w:rsid w:val="00C06163"/>
    <w:rsid w:val="00C06354"/>
    <w:rsid w:val="00C06416"/>
    <w:rsid w:val="00C06450"/>
    <w:rsid w:val="00C0647D"/>
    <w:rsid w:val="00C06513"/>
    <w:rsid w:val="00C06530"/>
    <w:rsid w:val="00C0667D"/>
    <w:rsid w:val="00C0681E"/>
    <w:rsid w:val="00C069BE"/>
    <w:rsid w:val="00C06CCD"/>
    <w:rsid w:val="00C06D85"/>
    <w:rsid w:val="00C06D8E"/>
    <w:rsid w:val="00C06DF3"/>
    <w:rsid w:val="00C06F44"/>
    <w:rsid w:val="00C06F8B"/>
    <w:rsid w:val="00C0701D"/>
    <w:rsid w:val="00C070A3"/>
    <w:rsid w:val="00C070D6"/>
    <w:rsid w:val="00C07216"/>
    <w:rsid w:val="00C07270"/>
    <w:rsid w:val="00C0764C"/>
    <w:rsid w:val="00C07932"/>
    <w:rsid w:val="00C079BD"/>
    <w:rsid w:val="00C07BEB"/>
    <w:rsid w:val="00C07C07"/>
    <w:rsid w:val="00C07CC4"/>
    <w:rsid w:val="00C07EB6"/>
    <w:rsid w:val="00C07EBB"/>
    <w:rsid w:val="00C100D4"/>
    <w:rsid w:val="00C1035A"/>
    <w:rsid w:val="00C10367"/>
    <w:rsid w:val="00C107C3"/>
    <w:rsid w:val="00C1083B"/>
    <w:rsid w:val="00C1087C"/>
    <w:rsid w:val="00C1087E"/>
    <w:rsid w:val="00C10991"/>
    <w:rsid w:val="00C10B02"/>
    <w:rsid w:val="00C10B77"/>
    <w:rsid w:val="00C10C73"/>
    <w:rsid w:val="00C110BF"/>
    <w:rsid w:val="00C11272"/>
    <w:rsid w:val="00C112CB"/>
    <w:rsid w:val="00C112E8"/>
    <w:rsid w:val="00C113D6"/>
    <w:rsid w:val="00C1141B"/>
    <w:rsid w:val="00C114F5"/>
    <w:rsid w:val="00C11510"/>
    <w:rsid w:val="00C1174B"/>
    <w:rsid w:val="00C118A2"/>
    <w:rsid w:val="00C1195A"/>
    <w:rsid w:val="00C11A0E"/>
    <w:rsid w:val="00C11A21"/>
    <w:rsid w:val="00C11A3F"/>
    <w:rsid w:val="00C11B66"/>
    <w:rsid w:val="00C11CBC"/>
    <w:rsid w:val="00C11D31"/>
    <w:rsid w:val="00C11DEB"/>
    <w:rsid w:val="00C11ED8"/>
    <w:rsid w:val="00C12303"/>
    <w:rsid w:val="00C12307"/>
    <w:rsid w:val="00C1237F"/>
    <w:rsid w:val="00C12685"/>
    <w:rsid w:val="00C12745"/>
    <w:rsid w:val="00C130B8"/>
    <w:rsid w:val="00C13153"/>
    <w:rsid w:val="00C131DA"/>
    <w:rsid w:val="00C13251"/>
    <w:rsid w:val="00C13333"/>
    <w:rsid w:val="00C133D7"/>
    <w:rsid w:val="00C135E5"/>
    <w:rsid w:val="00C1361C"/>
    <w:rsid w:val="00C13713"/>
    <w:rsid w:val="00C13759"/>
    <w:rsid w:val="00C13ABB"/>
    <w:rsid w:val="00C13BDA"/>
    <w:rsid w:val="00C13BF5"/>
    <w:rsid w:val="00C140C7"/>
    <w:rsid w:val="00C1415F"/>
    <w:rsid w:val="00C14165"/>
    <w:rsid w:val="00C14467"/>
    <w:rsid w:val="00C1446A"/>
    <w:rsid w:val="00C14576"/>
    <w:rsid w:val="00C146A0"/>
    <w:rsid w:val="00C146E7"/>
    <w:rsid w:val="00C14AA3"/>
    <w:rsid w:val="00C14B7D"/>
    <w:rsid w:val="00C14C67"/>
    <w:rsid w:val="00C14C7C"/>
    <w:rsid w:val="00C14CD3"/>
    <w:rsid w:val="00C14DA8"/>
    <w:rsid w:val="00C14F54"/>
    <w:rsid w:val="00C15386"/>
    <w:rsid w:val="00C154C6"/>
    <w:rsid w:val="00C1589C"/>
    <w:rsid w:val="00C15989"/>
    <w:rsid w:val="00C15A44"/>
    <w:rsid w:val="00C15A64"/>
    <w:rsid w:val="00C15A9B"/>
    <w:rsid w:val="00C15BAC"/>
    <w:rsid w:val="00C15D8C"/>
    <w:rsid w:val="00C15DF2"/>
    <w:rsid w:val="00C15F6E"/>
    <w:rsid w:val="00C15FC8"/>
    <w:rsid w:val="00C16396"/>
    <w:rsid w:val="00C1664B"/>
    <w:rsid w:val="00C166A1"/>
    <w:rsid w:val="00C166A5"/>
    <w:rsid w:val="00C1672E"/>
    <w:rsid w:val="00C1675B"/>
    <w:rsid w:val="00C16C52"/>
    <w:rsid w:val="00C16E69"/>
    <w:rsid w:val="00C16F07"/>
    <w:rsid w:val="00C1719F"/>
    <w:rsid w:val="00C17333"/>
    <w:rsid w:val="00C1734B"/>
    <w:rsid w:val="00C173A5"/>
    <w:rsid w:val="00C173BF"/>
    <w:rsid w:val="00C1740D"/>
    <w:rsid w:val="00C1751B"/>
    <w:rsid w:val="00C1766E"/>
    <w:rsid w:val="00C17697"/>
    <w:rsid w:val="00C178AB"/>
    <w:rsid w:val="00C17A08"/>
    <w:rsid w:val="00C17A20"/>
    <w:rsid w:val="00C17BC2"/>
    <w:rsid w:val="00C17C65"/>
    <w:rsid w:val="00C17CC7"/>
    <w:rsid w:val="00C17E67"/>
    <w:rsid w:val="00C17EB4"/>
    <w:rsid w:val="00C17F7A"/>
    <w:rsid w:val="00C20033"/>
    <w:rsid w:val="00C201D7"/>
    <w:rsid w:val="00C2026E"/>
    <w:rsid w:val="00C20404"/>
    <w:rsid w:val="00C204B5"/>
    <w:rsid w:val="00C2071A"/>
    <w:rsid w:val="00C20874"/>
    <w:rsid w:val="00C209EA"/>
    <w:rsid w:val="00C20A27"/>
    <w:rsid w:val="00C20B1A"/>
    <w:rsid w:val="00C20BFF"/>
    <w:rsid w:val="00C20F59"/>
    <w:rsid w:val="00C210F7"/>
    <w:rsid w:val="00C211A6"/>
    <w:rsid w:val="00C212F6"/>
    <w:rsid w:val="00C213C0"/>
    <w:rsid w:val="00C21540"/>
    <w:rsid w:val="00C21683"/>
    <w:rsid w:val="00C21788"/>
    <w:rsid w:val="00C218E8"/>
    <w:rsid w:val="00C21A90"/>
    <w:rsid w:val="00C21BC9"/>
    <w:rsid w:val="00C21D30"/>
    <w:rsid w:val="00C21E19"/>
    <w:rsid w:val="00C21EAE"/>
    <w:rsid w:val="00C222F7"/>
    <w:rsid w:val="00C2240C"/>
    <w:rsid w:val="00C227A6"/>
    <w:rsid w:val="00C22964"/>
    <w:rsid w:val="00C22A47"/>
    <w:rsid w:val="00C22B34"/>
    <w:rsid w:val="00C22CCC"/>
    <w:rsid w:val="00C22D12"/>
    <w:rsid w:val="00C22DC1"/>
    <w:rsid w:val="00C22DF0"/>
    <w:rsid w:val="00C22E1E"/>
    <w:rsid w:val="00C2324F"/>
    <w:rsid w:val="00C23790"/>
    <w:rsid w:val="00C237EA"/>
    <w:rsid w:val="00C23811"/>
    <w:rsid w:val="00C23970"/>
    <w:rsid w:val="00C23A08"/>
    <w:rsid w:val="00C23DC1"/>
    <w:rsid w:val="00C23FC0"/>
    <w:rsid w:val="00C2414C"/>
    <w:rsid w:val="00C241BA"/>
    <w:rsid w:val="00C24287"/>
    <w:rsid w:val="00C242E2"/>
    <w:rsid w:val="00C244AA"/>
    <w:rsid w:val="00C24525"/>
    <w:rsid w:val="00C2459A"/>
    <w:rsid w:val="00C245BE"/>
    <w:rsid w:val="00C2498A"/>
    <w:rsid w:val="00C24AF4"/>
    <w:rsid w:val="00C24AF7"/>
    <w:rsid w:val="00C24B9C"/>
    <w:rsid w:val="00C24BA0"/>
    <w:rsid w:val="00C24C81"/>
    <w:rsid w:val="00C24D2B"/>
    <w:rsid w:val="00C24E1C"/>
    <w:rsid w:val="00C24ECC"/>
    <w:rsid w:val="00C24F79"/>
    <w:rsid w:val="00C25105"/>
    <w:rsid w:val="00C25580"/>
    <w:rsid w:val="00C256F5"/>
    <w:rsid w:val="00C256FC"/>
    <w:rsid w:val="00C257C1"/>
    <w:rsid w:val="00C2582C"/>
    <w:rsid w:val="00C25AB2"/>
    <w:rsid w:val="00C25C8F"/>
    <w:rsid w:val="00C25F53"/>
    <w:rsid w:val="00C25F57"/>
    <w:rsid w:val="00C25FDA"/>
    <w:rsid w:val="00C25FFB"/>
    <w:rsid w:val="00C26076"/>
    <w:rsid w:val="00C2616A"/>
    <w:rsid w:val="00C263E4"/>
    <w:rsid w:val="00C264BF"/>
    <w:rsid w:val="00C266DC"/>
    <w:rsid w:val="00C267A9"/>
    <w:rsid w:val="00C26B17"/>
    <w:rsid w:val="00C26B99"/>
    <w:rsid w:val="00C26E05"/>
    <w:rsid w:val="00C26F19"/>
    <w:rsid w:val="00C27123"/>
    <w:rsid w:val="00C273E4"/>
    <w:rsid w:val="00C2742B"/>
    <w:rsid w:val="00C277E4"/>
    <w:rsid w:val="00C2794B"/>
    <w:rsid w:val="00C27A76"/>
    <w:rsid w:val="00C27C8A"/>
    <w:rsid w:val="00C27D51"/>
    <w:rsid w:val="00C300BE"/>
    <w:rsid w:val="00C30386"/>
    <w:rsid w:val="00C303EB"/>
    <w:rsid w:val="00C30423"/>
    <w:rsid w:val="00C306AE"/>
    <w:rsid w:val="00C30743"/>
    <w:rsid w:val="00C308BD"/>
    <w:rsid w:val="00C30ABC"/>
    <w:rsid w:val="00C30B75"/>
    <w:rsid w:val="00C30D08"/>
    <w:rsid w:val="00C30D93"/>
    <w:rsid w:val="00C30FB6"/>
    <w:rsid w:val="00C3118C"/>
    <w:rsid w:val="00C31270"/>
    <w:rsid w:val="00C31466"/>
    <w:rsid w:val="00C3152C"/>
    <w:rsid w:val="00C316E7"/>
    <w:rsid w:val="00C31950"/>
    <w:rsid w:val="00C31A26"/>
    <w:rsid w:val="00C31D67"/>
    <w:rsid w:val="00C31D87"/>
    <w:rsid w:val="00C31F5D"/>
    <w:rsid w:val="00C31F7E"/>
    <w:rsid w:val="00C31FC1"/>
    <w:rsid w:val="00C3215E"/>
    <w:rsid w:val="00C32218"/>
    <w:rsid w:val="00C322EF"/>
    <w:rsid w:val="00C32335"/>
    <w:rsid w:val="00C323E8"/>
    <w:rsid w:val="00C32477"/>
    <w:rsid w:val="00C32482"/>
    <w:rsid w:val="00C324DA"/>
    <w:rsid w:val="00C32500"/>
    <w:rsid w:val="00C32652"/>
    <w:rsid w:val="00C3268B"/>
    <w:rsid w:val="00C32929"/>
    <w:rsid w:val="00C329B0"/>
    <w:rsid w:val="00C32C7F"/>
    <w:rsid w:val="00C32EAB"/>
    <w:rsid w:val="00C33037"/>
    <w:rsid w:val="00C3307F"/>
    <w:rsid w:val="00C330C2"/>
    <w:rsid w:val="00C3332F"/>
    <w:rsid w:val="00C3360C"/>
    <w:rsid w:val="00C33637"/>
    <w:rsid w:val="00C337B4"/>
    <w:rsid w:val="00C3381D"/>
    <w:rsid w:val="00C33870"/>
    <w:rsid w:val="00C33882"/>
    <w:rsid w:val="00C33894"/>
    <w:rsid w:val="00C33917"/>
    <w:rsid w:val="00C33A33"/>
    <w:rsid w:val="00C33E4E"/>
    <w:rsid w:val="00C33EE9"/>
    <w:rsid w:val="00C34059"/>
    <w:rsid w:val="00C3407D"/>
    <w:rsid w:val="00C34206"/>
    <w:rsid w:val="00C34211"/>
    <w:rsid w:val="00C3429D"/>
    <w:rsid w:val="00C34431"/>
    <w:rsid w:val="00C3447B"/>
    <w:rsid w:val="00C34485"/>
    <w:rsid w:val="00C34560"/>
    <w:rsid w:val="00C3466B"/>
    <w:rsid w:val="00C34704"/>
    <w:rsid w:val="00C34820"/>
    <w:rsid w:val="00C349A8"/>
    <w:rsid w:val="00C349C3"/>
    <w:rsid w:val="00C34B71"/>
    <w:rsid w:val="00C34BDE"/>
    <w:rsid w:val="00C34E4B"/>
    <w:rsid w:val="00C34E8D"/>
    <w:rsid w:val="00C34F0C"/>
    <w:rsid w:val="00C3503A"/>
    <w:rsid w:val="00C3504D"/>
    <w:rsid w:val="00C3522C"/>
    <w:rsid w:val="00C354A5"/>
    <w:rsid w:val="00C35515"/>
    <w:rsid w:val="00C35632"/>
    <w:rsid w:val="00C356D6"/>
    <w:rsid w:val="00C357BA"/>
    <w:rsid w:val="00C35AE8"/>
    <w:rsid w:val="00C35D20"/>
    <w:rsid w:val="00C35E56"/>
    <w:rsid w:val="00C35EB1"/>
    <w:rsid w:val="00C35F5E"/>
    <w:rsid w:val="00C3606D"/>
    <w:rsid w:val="00C36088"/>
    <w:rsid w:val="00C360E4"/>
    <w:rsid w:val="00C36289"/>
    <w:rsid w:val="00C36338"/>
    <w:rsid w:val="00C36418"/>
    <w:rsid w:val="00C365B9"/>
    <w:rsid w:val="00C365E6"/>
    <w:rsid w:val="00C36791"/>
    <w:rsid w:val="00C367B7"/>
    <w:rsid w:val="00C367BF"/>
    <w:rsid w:val="00C36903"/>
    <w:rsid w:val="00C369AB"/>
    <w:rsid w:val="00C36B9B"/>
    <w:rsid w:val="00C36D8F"/>
    <w:rsid w:val="00C36E43"/>
    <w:rsid w:val="00C36E46"/>
    <w:rsid w:val="00C373FE"/>
    <w:rsid w:val="00C3760C"/>
    <w:rsid w:val="00C37693"/>
    <w:rsid w:val="00C376DC"/>
    <w:rsid w:val="00C37B22"/>
    <w:rsid w:val="00C37DE7"/>
    <w:rsid w:val="00C37FCA"/>
    <w:rsid w:val="00C37FF7"/>
    <w:rsid w:val="00C40025"/>
    <w:rsid w:val="00C40041"/>
    <w:rsid w:val="00C40210"/>
    <w:rsid w:val="00C40417"/>
    <w:rsid w:val="00C405F6"/>
    <w:rsid w:val="00C40789"/>
    <w:rsid w:val="00C40D57"/>
    <w:rsid w:val="00C40DFB"/>
    <w:rsid w:val="00C41031"/>
    <w:rsid w:val="00C4108F"/>
    <w:rsid w:val="00C41369"/>
    <w:rsid w:val="00C4146D"/>
    <w:rsid w:val="00C415CB"/>
    <w:rsid w:val="00C4176C"/>
    <w:rsid w:val="00C4177A"/>
    <w:rsid w:val="00C418A2"/>
    <w:rsid w:val="00C41A56"/>
    <w:rsid w:val="00C41AFE"/>
    <w:rsid w:val="00C41D97"/>
    <w:rsid w:val="00C41D9F"/>
    <w:rsid w:val="00C41FFF"/>
    <w:rsid w:val="00C421C2"/>
    <w:rsid w:val="00C42293"/>
    <w:rsid w:val="00C422BE"/>
    <w:rsid w:val="00C42373"/>
    <w:rsid w:val="00C423FA"/>
    <w:rsid w:val="00C42618"/>
    <w:rsid w:val="00C427DD"/>
    <w:rsid w:val="00C4283B"/>
    <w:rsid w:val="00C42843"/>
    <w:rsid w:val="00C42A13"/>
    <w:rsid w:val="00C42BC3"/>
    <w:rsid w:val="00C42D92"/>
    <w:rsid w:val="00C42DEF"/>
    <w:rsid w:val="00C42F35"/>
    <w:rsid w:val="00C4362E"/>
    <w:rsid w:val="00C43844"/>
    <w:rsid w:val="00C438B3"/>
    <w:rsid w:val="00C439D1"/>
    <w:rsid w:val="00C439F2"/>
    <w:rsid w:val="00C43A93"/>
    <w:rsid w:val="00C43D1F"/>
    <w:rsid w:val="00C43F0E"/>
    <w:rsid w:val="00C443C2"/>
    <w:rsid w:val="00C443ED"/>
    <w:rsid w:val="00C44590"/>
    <w:rsid w:val="00C447F1"/>
    <w:rsid w:val="00C448E3"/>
    <w:rsid w:val="00C44AE3"/>
    <w:rsid w:val="00C44B3D"/>
    <w:rsid w:val="00C44C9F"/>
    <w:rsid w:val="00C44D57"/>
    <w:rsid w:val="00C44D7D"/>
    <w:rsid w:val="00C44E8D"/>
    <w:rsid w:val="00C44F8C"/>
    <w:rsid w:val="00C44FED"/>
    <w:rsid w:val="00C4507E"/>
    <w:rsid w:val="00C45097"/>
    <w:rsid w:val="00C4513D"/>
    <w:rsid w:val="00C452CE"/>
    <w:rsid w:val="00C4533C"/>
    <w:rsid w:val="00C45459"/>
    <w:rsid w:val="00C4550F"/>
    <w:rsid w:val="00C4565A"/>
    <w:rsid w:val="00C4568C"/>
    <w:rsid w:val="00C456C6"/>
    <w:rsid w:val="00C457E1"/>
    <w:rsid w:val="00C4584A"/>
    <w:rsid w:val="00C45861"/>
    <w:rsid w:val="00C459A7"/>
    <w:rsid w:val="00C45BEF"/>
    <w:rsid w:val="00C45DE3"/>
    <w:rsid w:val="00C45FFE"/>
    <w:rsid w:val="00C4605A"/>
    <w:rsid w:val="00C46182"/>
    <w:rsid w:val="00C461B5"/>
    <w:rsid w:val="00C4638A"/>
    <w:rsid w:val="00C463B1"/>
    <w:rsid w:val="00C463DE"/>
    <w:rsid w:val="00C46661"/>
    <w:rsid w:val="00C46686"/>
    <w:rsid w:val="00C46708"/>
    <w:rsid w:val="00C468DA"/>
    <w:rsid w:val="00C468ED"/>
    <w:rsid w:val="00C469CB"/>
    <w:rsid w:val="00C469CF"/>
    <w:rsid w:val="00C46B11"/>
    <w:rsid w:val="00C46B1C"/>
    <w:rsid w:val="00C46C30"/>
    <w:rsid w:val="00C46D79"/>
    <w:rsid w:val="00C46DBD"/>
    <w:rsid w:val="00C47374"/>
    <w:rsid w:val="00C4741F"/>
    <w:rsid w:val="00C4749D"/>
    <w:rsid w:val="00C474D6"/>
    <w:rsid w:val="00C475AC"/>
    <w:rsid w:val="00C475B5"/>
    <w:rsid w:val="00C4776F"/>
    <w:rsid w:val="00C477E2"/>
    <w:rsid w:val="00C47902"/>
    <w:rsid w:val="00C479CD"/>
    <w:rsid w:val="00C47C58"/>
    <w:rsid w:val="00C47CB5"/>
    <w:rsid w:val="00C47D31"/>
    <w:rsid w:val="00C47E97"/>
    <w:rsid w:val="00C47FE4"/>
    <w:rsid w:val="00C50185"/>
    <w:rsid w:val="00C501BB"/>
    <w:rsid w:val="00C501F3"/>
    <w:rsid w:val="00C50380"/>
    <w:rsid w:val="00C50553"/>
    <w:rsid w:val="00C50895"/>
    <w:rsid w:val="00C5089E"/>
    <w:rsid w:val="00C508EE"/>
    <w:rsid w:val="00C50923"/>
    <w:rsid w:val="00C509C6"/>
    <w:rsid w:val="00C50A17"/>
    <w:rsid w:val="00C50B77"/>
    <w:rsid w:val="00C50CA3"/>
    <w:rsid w:val="00C50D97"/>
    <w:rsid w:val="00C50E2B"/>
    <w:rsid w:val="00C50EEF"/>
    <w:rsid w:val="00C51036"/>
    <w:rsid w:val="00C51111"/>
    <w:rsid w:val="00C511BF"/>
    <w:rsid w:val="00C51446"/>
    <w:rsid w:val="00C514C3"/>
    <w:rsid w:val="00C514E0"/>
    <w:rsid w:val="00C5159C"/>
    <w:rsid w:val="00C515C0"/>
    <w:rsid w:val="00C51798"/>
    <w:rsid w:val="00C51DE9"/>
    <w:rsid w:val="00C520A3"/>
    <w:rsid w:val="00C5219C"/>
    <w:rsid w:val="00C522D2"/>
    <w:rsid w:val="00C52340"/>
    <w:rsid w:val="00C52395"/>
    <w:rsid w:val="00C52760"/>
    <w:rsid w:val="00C52774"/>
    <w:rsid w:val="00C52922"/>
    <w:rsid w:val="00C52C4C"/>
    <w:rsid w:val="00C52DEA"/>
    <w:rsid w:val="00C5306F"/>
    <w:rsid w:val="00C530CF"/>
    <w:rsid w:val="00C5332C"/>
    <w:rsid w:val="00C5346D"/>
    <w:rsid w:val="00C53599"/>
    <w:rsid w:val="00C535B0"/>
    <w:rsid w:val="00C536BA"/>
    <w:rsid w:val="00C53704"/>
    <w:rsid w:val="00C53710"/>
    <w:rsid w:val="00C537AD"/>
    <w:rsid w:val="00C537F6"/>
    <w:rsid w:val="00C53892"/>
    <w:rsid w:val="00C538B2"/>
    <w:rsid w:val="00C53956"/>
    <w:rsid w:val="00C53CC3"/>
    <w:rsid w:val="00C53D59"/>
    <w:rsid w:val="00C54438"/>
    <w:rsid w:val="00C5455B"/>
    <w:rsid w:val="00C54573"/>
    <w:rsid w:val="00C5462C"/>
    <w:rsid w:val="00C547FE"/>
    <w:rsid w:val="00C54A9C"/>
    <w:rsid w:val="00C54C6C"/>
    <w:rsid w:val="00C54C72"/>
    <w:rsid w:val="00C54D8F"/>
    <w:rsid w:val="00C54DF9"/>
    <w:rsid w:val="00C54EC5"/>
    <w:rsid w:val="00C54F2E"/>
    <w:rsid w:val="00C55097"/>
    <w:rsid w:val="00C553A0"/>
    <w:rsid w:val="00C553AE"/>
    <w:rsid w:val="00C5555F"/>
    <w:rsid w:val="00C55620"/>
    <w:rsid w:val="00C55650"/>
    <w:rsid w:val="00C5565A"/>
    <w:rsid w:val="00C559A3"/>
    <w:rsid w:val="00C55BF5"/>
    <w:rsid w:val="00C55C17"/>
    <w:rsid w:val="00C55CC4"/>
    <w:rsid w:val="00C55EC5"/>
    <w:rsid w:val="00C56389"/>
    <w:rsid w:val="00C56436"/>
    <w:rsid w:val="00C564C7"/>
    <w:rsid w:val="00C568FF"/>
    <w:rsid w:val="00C56AC3"/>
    <w:rsid w:val="00C56AEA"/>
    <w:rsid w:val="00C56C2B"/>
    <w:rsid w:val="00C56C7B"/>
    <w:rsid w:val="00C56CDB"/>
    <w:rsid w:val="00C56D79"/>
    <w:rsid w:val="00C56E3A"/>
    <w:rsid w:val="00C56F9A"/>
    <w:rsid w:val="00C56FAA"/>
    <w:rsid w:val="00C5730D"/>
    <w:rsid w:val="00C5764C"/>
    <w:rsid w:val="00C5765C"/>
    <w:rsid w:val="00C57889"/>
    <w:rsid w:val="00C578C0"/>
    <w:rsid w:val="00C57AE8"/>
    <w:rsid w:val="00C57B08"/>
    <w:rsid w:val="00C57BA3"/>
    <w:rsid w:val="00C57BA4"/>
    <w:rsid w:val="00C57BAF"/>
    <w:rsid w:val="00C57DAF"/>
    <w:rsid w:val="00C57EA8"/>
    <w:rsid w:val="00C57EB3"/>
    <w:rsid w:val="00C57FE5"/>
    <w:rsid w:val="00C601B4"/>
    <w:rsid w:val="00C6051C"/>
    <w:rsid w:val="00C60549"/>
    <w:rsid w:val="00C60726"/>
    <w:rsid w:val="00C60809"/>
    <w:rsid w:val="00C609B8"/>
    <w:rsid w:val="00C609D5"/>
    <w:rsid w:val="00C60A01"/>
    <w:rsid w:val="00C60A5A"/>
    <w:rsid w:val="00C60ABB"/>
    <w:rsid w:val="00C60B3F"/>
    <w:rsid w:val="00C60FF8"/>
    <w:rsid w:val="00C61182"/>
    <w:rsid w:val="00C61268"/>
    <w:rsid w:val="00C613C6"/>
    <w:rsid w:val="00C6148A"/>
    <w:rsid w:val="00C614F5"/>
    <w:rsid w:val="00C618E9"/>
    <w:rsid w:val="00C61912"/>
    <w:rsid w:val="00C61AC2"/>
    <w:rsid w:val="00C61B09"/>
    <w:rsid w:val="00C61B60"/>
    <w:rsid w:val="00C61CA8"/>
    <w:rsid w:val="00C61D4A"/>
    <w:rsid w:val="00C61DEC"/>
    <w:rsid w:val="00C621E8"/>
    <w:rsid w:val="00C62214"/>
    <w:rsid w:val="00C62439"/>
    <w:rsid w:val="00C624F2"/>
    <w:rsid w:val="00C625B7"/>
    <w:rsid w:val="00C625D2"/>
    <w:rsid w:val="00C62688"/>
    <w:rsid w:val="00C629E9"/>
    <w:rsid w:val="00C62AA4"/>
    <w:rsid w:val="00C62C10"/>
    <w:rsid w:val="00C62CA2"/>
    <w:rsid w:val="00C62D3E"/>
    <w:rsid w:val="00C62DB0"/>
    <w:rsid w:val="00C62F50"/>
    <w:rsid w:val="00C635BA"/>
    <w:rsid w:val="00C636F9"/>
    <w:rsid w:val="00C6385D"/>
    <w:rsid w:val="00C639F7"/>
    <w:rsid w:val="00C63AEF"/>
    <w:rsid w:val="00C63B28"/>
    <w:rsid w:val="00C63DA0"/>
    <w:rsid w:val="00C63F14"/>
    <w:rsid w:val="00C6433A"/>
    <w:rsid w:val="00C643BE"/>
    <w:rsid w:val="00C643D3"/>
    <w:rsid w:val="00C6444F"/>
    <w:rsid w:val="00C64520"/>
    <w:rsid w:val="00C64768"/>
    <w:rsid w:val="00C6483D"/>
    <w:rsid w:val="00C64B2C"/>
    <w:rsid w:val="00C64C65"/>
    <w:rsid w:val="00C64D51"/>
    <w:rsid w:val="00C64F2D"/>
    <w:rsid w:val="00C64FB7"/>
    <w:rsid w:val="00C6505F"/>
    <w:rsid w:val="00C651E3"/>
    <w:rsid w:val="00C652D2"/>
    <w:rsid w:val="00C652FC"/>
    <w:rsid w:val="00C65322"/>
    <w:rsid w:val="00C65358"/>
    <w:rsid w:val="00C656EC"/>
    <w:rsid w:val="00C658F5"/>
    <w:rsid w:val="00C65941"/>
    <w:rsid w:val="00C65A62"/>
    <w:rsid w:val="00C65A83"/>
    <w:rsid w:val="00C65A9C"/>
    <w:rsid w:val="00C65B00"/>
    <w:rsid w:val="00C65B10"/>
    <w:rsid w:val="00C65B28"/>
    <w:rsid w:val="00C65B56"/>
    <w:rsid w:val="00C65B84"/>
    <w:rsid w:val="00C65BCB"/>
    <w:rsid w:val="00C65C55"/>
    <w:rsid w:val="00C65F05"/>
    <w:rsid w:val="00C66194"/>
    <w:rsid w:val="00C6645B"/>
    <w:rsid w:val="00C6653A"/>
    <w:rsid w:val="00C66591"/>
    <w:rsid w:val="00C66D74"/>
    <w:rsid w:val="00C66E97"/>
    <w:rsid w:val="00C66ED2"/>
    <w:rsid w:val="00C67151"/>
    <w:rsid w:val="00C671BE"/>
    <w:rsid w:val="00C6743A"/>
    <w:rsid w:val="00C674A6"/>
    <w:rsid w:val="00C67579"/>
    <w:rsid w:val="00C6758D"/>
    <w:rsid w:val="00C67770"/>
    <w:rsid w:val="00C67A0A"/>
    <w:rsid w:val="00C67AFF"/>
    <w:rsid w:val="00C67C2A"/>
    <w:rsid w:val="00C67F2B"/>
    <w:rsid w:val="00C7037D"/>
    <w:rsid w:val="00C70381"/>
    <w:rsid w:val="00C704D1"/>
    <w:rsid w:val="00C7072D"/>
    <w:rsid w:val="00C707BD"/>
    <w:rsid w:val="00C70884"/>
    <w:rsid w:val="00C708F4"/>
    <w:rsid w:val="00C70FDB"/>
    <w:rsid w:val="00C710F2"/>
    <w:rsid w:val="00C71130"/>
    <w:rsid w:val="00C71349"/>
    <w:rsid w:val="00C71416"/>
    <w:rsid w:val="00C7155D"/>
    <w:rsid w:val="00C7158D"/>
    <w:rsid w:val="00C715DE"/>
    <w:rsid w:val="00C71983"/>
    <w:rsid w:val="00C71BE4"/>
    <w:rsid w:val="00C71C35"/>
    <w:rsid w:val="00C71C4E"/>
    <w:rsid w:val="00C71CE1"/>
    <w:rsid w:val="00C71D95"/>
    <w:rsid w:val="00C71DDC"/>
    <w:rsid w:val="00C71EC3"/>
    <w:rsid w:val="00C71F95"/>
    <w:rsid w:val="00C71FC9"/>
    <w:rsid w:val="00C7206A"/>
    <w:rsid w:val="00C721A7"/>
    <w:rsid w:val="00C72276"/>
    <w:rsid w:val="00C72494"/>
    <w:rsid w:val="00C72665"/>
    <w:rsid w:val="00C7269D"/>
    <w:rsid w:val="00C726C1"/>
    <w:rsid w:val="00C72719"/>
    <w:rsid w:val="00C727ED"/>
    <w:rsid w:val="00C728AB"/>
    <w:rsid w:val="00C728B7"/>
    <w:rsid w:val="00C728C2"/>
    <w:rsid w:val="00C72969"/>
    <w:rsid w:val="00C72A80"/>
    <w:rsid w:val="00C72CF8"/>
    <w:rsid w:val="00C72DA7"/>
    <w:rsid w:val="00C72E1A"/>
    <w:rsid w:val="00C72EF0"/>
    <w:rsid w:val="00C72F55"/>
    <w:rsid w:val="00C72FE3"/>
    <w:rsid w:val="00C72FF9"/>
    <w:rsid w:val="00C730D1"/>
    <w:rsid w:val="00C730F9"/>
    <w:rsid w:val="00C73122"/>
    <w:rsid w:val="00C731B3"/>
    <w:rsid w:val="00C733D1"/>
    <w:rsid w:val="00C737BC"/>
    <w:rsid w:val="00C738F1"/>
    <w:rsid w:val="00C73A69"/>
    <w:rsid w:val="00C73ABC"/>
    <w:rsid w:val="00C73BB8"/>
    <w:rsid w:val="00C740A3"/>
    <w:rsid w:val="00C74117"/>
    <w:rsid w:val="00C74195"/>
    <w:rsid w:val="00C74525"/>
    <w:rsid w:val="00C745FD"/>
    <w:rsid w:val="00C74641"/>
    <w:rsid w:val="00C747CB"/>
    <w:rsid w:val="00C749F3"/>
    <w:rsid w:val="00C74AB1"/>
    <w:rsid w:val="00C74AE2"/>
    <w:rsid w:val="00C74CD6"/>
    <w:rsid w:val="00C74D85"/>
    <w:rsid w:val="00C74DEF"/>
    <w:rsid w:val="00C74F06"/>
    <w:rsid w:val="00C74F56"/>
    <w:rsid w:val="00C752CF"/>
    <w:rsid w:val="00C7534E"/>
    <w:rsid w:val="00C7536C"/>
    <w:rsid w:val="00C753C0"/>
    <w:rsid w:val="00C75452"/>
    <w:rsid w:val="00C75588"/>
    <w:rsid w:val="00C755FA"/>
    <w:rsid w:val="00C7563B"/>
    <w:rsid w:val="00C7587B"/>
    <w:rsid w:val="00C758F1"/>
    <w:rsid w:val="00C75C33"/>
    <w:rsid w:val="00C75F18"/>
    <w:rsid w:val="00C7600A"/>
    <w:rsid w:val="00C7604B"/>
    <w:rsid w:val="00C7608F"/>
    <w:rsid w:val="00C76195"/>
    <w:rsid w:val="00C761F9"/>
    <w:rsid w:val="00C7633C"/>
    <w:rsid w:val="00C7636E"/>
    <w:rsid w:val="00C766AD"/>
    <w:rsid w:val="00C76721"/>
    <w:rsid w:val="00C76765"/>
    <w:rsid w:val="00C769C4"/>
    <w:rsid w:val="00C76D3A"/>
    <w:rsid w:val="00C77043"/>
    <w:rsid w:val="00C77199"/>
    <w:rsid w:val="00C771D1"/>
    <w:rsid w:val="00C77227"/>
    <w:rsid w:val="00C77484"/>
    <w:rsid w:val="00C77513"/>
    <w:rsid w:val="00C77594"/>
    <w:rsid w:val="00C7769A"/>
    <w:rsid w:val="00C777C6"/>
    <w:rsid w:val="00C7787C"/>
    <w:rsid w:val="00C7789B"/>
    <w:rsid w:val="00C7795B"/>
    <w:rsid w:val="00C77DC8"/>
    <w:rsid w:val="00C77E1F"/>
    <w:rsid w:val="00C77FBF"/>
    <w:rsid w:val="00C800E5"/>
    <w:rsid w:val="00C8021E"/>
    <w:rsid w:val="00C8024D"/>
    <w:rsid w:val="00C8043D"/>
    <w:rsid w:val="00C80465"/>
    <w:rsid w:val="00C804EF"/>
    <w:rsid w:val="00C80984"/>
    <w:rsid w:val="00C80BE4"/>
    <w:rsid w:val="00C80D2D"/>
    <w:rsid w:val="00C80DB7"/>
    <w:rsid w:val="00C80DC6"/>
    <w:rsid w:val="00C81313"/>
    <w:rsid w:val="00C81374"/>
    <w:rsid w:val="00C8141A"/>
    <w:rsid w:val="00C816B6"/>
    <w:rsid w:val="00C816D5"/>
    <w:rsid w:val="00C81B99"/>
    <w:rsid w:val="00C81C98"/>
    <w:rsid w:val="00C81CF0"/>
    <w:rsid w:val="00C81CF3"/>
    <w:rsid w:val="00C81DFC"/>
    <w:rsid w:val="00C81F53"/>
    <w:rsid w:val="00C81FA4"/>
    <w:rsid w:val="00C8207D"/>
    <w:rsid w:val="00C820D4"/>
    <w:rsid w:val="00C821A2"/>
    <w:rsid w:val="00C821CD"/>
    <w:rsid w:val="00C82214"/>
    <w:rsid w:val="00C8222A"/>
    <w:rsid w:val="00C822A3"/>
    <w:rsid w:val="00C82443"/>
    <w:rsid w:val="00C82539"/>
    <w:rsid w:val="00C8259C"/>
    <w:rsid w:val="00C82667"/>
    <w:rsid w:val="00C827A9"/>
    <w:rsid w:val="00C827DB"/>
    <w:rsid w:val="00C82813"/>
    <w:rsid w:val="00C82902"/>
    <w:rsid w:val="00C82BAA"/>
    <w:rsid w:val="00C82D07"/>
    <w:rsid w:val="00C82DA0"/>
    <w:rsid w:val="00C82E26"/>
    <w:rsid w:val="00C83141"/>
    <w:rsid w:val="00C83219"/>
    <w:rsid w:val="00C832A1"/>
    <w:rsid w:val="00C83385"/>
    <w:rsid w:val="00C83467"/>
    <w:rsid w:val="00C83628"/>
    <w:rsid w:val="00C8382C"/>
    <w:rsid w:val="00C83873"/>
    <w:rsid w:val="00C838F4"/>
    <w:rsid w:val="00C8398F"/>
    <w:rsid w:val="00C83AC0"/>
    <w:rsid w:val="00C83D52"/>
    <w:rsid w:val="00C83DE5"/>
    <w:rsid w:val="00C83EE9"/>
    <w:rsid w:val="00C83F23"/>
    <w:rsid w:val="00C83FCA"/>
    <w:rsid w:val="00C84388"/>
    <w:rsid w:val="00C844E6"/>
    <w:rsid w:val="00C84558"/>
    <w:rsid w:val="00C84611"/>
    <w:rsid w:val="00C84784"/>
    <w:rsid w:val="00C847C6"/>
    <w:rsid w:val="00C8499F"/>
    <w:rsid w:val="00C849BF"/>
    <w:rsid w:val="00C84A31"/>
    <w:rsid w:val="00C84AD5"/>
    <w:rsid w:val="00C84BF8"/>
    <w:rsid w:val="00C84DCA"/>
    <w:rsid w:val="00C84E1E"/>
    <w:rsid w:val="00C84E2A"/>
    <w:rsid w:val="00C84FD4"/>
    <w:rsid w:val="00C851E4"/>
    <w:rsid w:val="00C85465"/>
    <w:rsid w:val="00C8549B"/>
    <w:rsid w:val="00C854DE"/>
    <w:rsid w:val="00C85556"/>
    <w:rsid w:val="00C859EE"/>
    <w:rsid w:val="00C85D06"/>
    <w:rsid w:val="00C85EE1"/>
    <w:rsid w:val="00C85F07"/>
    <w:rsid w:val="00C85F20"/>
    <w:rsid w:val="00C85FDC"/>
    <w:rsid w:val="00C86193"/>
    <w:rsid w:val="00C863CD"/>
    <w:rsid w:val="00C8646F"/>
    <w:rsid w:val="00C86527"/>
    <w:rsid w:val="00C865F5"/>
    <w:rsid w:val="00C8668E"/>
    <w:rsid w:val="00C866B6"/>
    <w:rsid w:val="00C869A3"/>
    <w:rsid w:val="00C86BBD"/>
    <w:rsid w:val="00C86DEE"/>
    <w:rsid w:val="00C86E1E"/>
    <w:rsid w:val="00C86FBE"/>
    <w:rsid w:val="00C8712B"/>
    <w:rsid w:val="00C871C3"/>
    <w:rsid w:val="00C87264"/>
    <w:rsid w:val="00C872F8"/>
    <w:rsid w:val="00C87552"/>
    <w:rsid w:val="00C875C4"/>
    <w:rsid w:val="00C87800"/>
    <w:rsid w:val="00C87B19"/>
    <w:rsid w:val="00C87D19"/>
    <w:rsid w:val="00C87F38"/>
    <w:rsid w:val="00C900CF"/>
    <w:rsid w:val="00C9012B"/>
    <w:rsid w:val="00C901DF"/>
    <w:rsid w:val="00C901E4"/>
    <w:rsid w:val="00C90253"/>
    <w:rsid w:val="00C903EF"/>
    <w:rsid w:val="00C90419"/>
    <w:rsid w:val="00C90561"/>
    <w:rsid w:val="00C907E6"/>
    <w:rsid w:val="00C9094E"/>
    <w:rsid w:val="00C90CC4"/>
    <w:rsid w:val="00C90D27"/>
    <w:rsid w:val="00C90EC7"/>
    <w:rsid w:val="00C90F56"/>
    <w:rsid w:val="00C9103A"/>
    <w:rsid w:val="00C910EE"/>
    <w:rsid w:val="00C91305"/>
    <w:rsid w:val="00C91336"/>
    <w:rsid w:val="00C9133E"/>
    <w:rsid w:val="00C9155E"/>
    <w:rsid w:val="00C91584"/>
    <w:rsid w:val="00C91598"/>
    <w:rsid w:val="00C915F6"/>
    <w:rsid w:val="00C916B6"/>
    <w:rsid w:val="00C91A16"/>
    <w:rsid w:val="00C91A5C"/>
    <w:rsid w:val="00C91EDF"/>
    <w:rsid w:val="00C91FFA"/>
    <w:rsid w:val="00C92087"/>
    <w:rsid w:val="00C920ED"/>
    <w:rsid w:val="00C92147"/>
    <w:rsid w:val="00C92364"/>
    <w:rsid w:val="00C92436"/>
    <w:rsid w:val="00C924D1"/>
    <w:rsid w:val="00C924FA"/>
    <w:rsid w:val="00C92613"/>
    <w:rsid w:val="00C926A6"/>
    <w:rsid w:val="00C9275F"/>
    <w:rsid w:val="00C92A68"/>
    <w:rsid w:val="00C92C31"/>
    <w:rsid w:val="00C92C60"/>
    <w:rsid w:val="00C92D74"/>
    <w:rsid w:val="00C92EED"/>
    <w:rsid w:val="00C93024"/>
    <w:rsid w:val="00C93126"/>
    <w:rsid w:val="00C93315"/>
    <w:rsid w:val="00C93335"/>
    <w:rsid w:val="00C93446"/>
    <w:rsid w:val="00C9345C"/>
    <w:rsid w:val="00C93666"/>
    <w:rsid w:val="00C93801"/>
    <w:rsid w:val="00C93A26"/>
    <w:rsid w:val="00C93BA6"/>
    <w:rsid w:val="00C93CB2"/>
    <w:rsid w:val="00C93CE5"/>
    <w:rsid w:val="00C93E23"/>
    <w:rsid w:val="00C93E79"/>
    <w:rsid w:val="00C94047"/>
    <w:rsid w:val="00C94304"/>
    <w:rsid w:val="00C9435C"/>
    <w:rsid w:val="00C9445D"/>
    <w:rsid w:val="00C944C4"/>
    <w:rsid w:val="00C94501"/>
    <w:rsid w:val="00C945A5"/>
    <w:rsid w:val="00C9469E"/>
    <w:rsid w:val="00C948CA"/>
    <w:rsid w:val="00C949EA"/>
    <w:rsid w:val="00C94AB7"/>
    <w:rsid w:val="00C94C75"/>
    <w:rsid w:val="00C94E03"/>
    <w:rsid w:val="00C94FEF"/>
    <w:rsid w:val="00C95346"/>
    <w:rsid w:val="00C9554B"/>
    <w:rsid w:val="00C955B1"/>
    <w:rsid w:val="00C9570A"/>
    <w:rsid w:val="00C9591E"/>
    <w:rsid w:val="00C95B86"/>
    <w:rsid w:val="00C95DA6"/>
    <w:rsid w:val="00C95DFF"/>
    <w:rsid w:val="00C95FBA"/>
    <w:rsid w:val="00C95FBD"/>
    <w:rsid w:val="00C960F4"/>
    <w:rsid w:val="00C96250"/>
    <w:rsid w:val="00C964D8"/>
    <w:rsid w:val="00C964DF"/>
    <w:rsid w:val="00C968FE"/>
    <w:rsid w:val="00C96947"/>
    <w:rsid w:val="00C969BC"/>
    <w:rsid w:val="00C969F2"/>
    <w:rsid w:val="00C96DDF"/>
    <w:rsid w:val="00C96E17"/>
    <w:rsid w:val="00C96EC6"/>
    <w:rsid w:val="00C97276"/>
    <w:rsid w:val="00C9733A"/>
    <w:rsid w:val="00C9744D"/>
    <w:rsid w:val="00C974EF"/>
    <w:rsid w:val="00C974FF"/>
    <w:rsid w:val="00C97503"/>
    <w:rsid w:val="00C97674"/>
    <w:rsid w:val="00C97729"/>
    <w:rsid w:val="00C97991"/>
    <w:rsid w:val="00C97A03"/>
    <w:rsid w:val="00C97A50"/>
    <w:rsid w:val="00C97B08"/>
    <w:rsid w:val="00C97CB0"/>
    <w:rsid w:val="00C97CD9"/>
    <w:rsid w:val="00C97DD6"/>
    <w:rsid w:val="00C97F0A"/>
    <w:rsid w:val="00CA0096"/>
    <w:rsid w:val="00CA0164"/>
    <w:rsid w:val="00CA02DC"/>
    <w:rsid w:val="00CA03A0"/>
    <w:rsid w:val="00CA03C1"/>
    <w:rsid w:val="00CA049C"/>
    <w:rsid w:val="00CA08EF"/>
    <w:rsid w:val="00CA0B3B"/>
    <w:rsid w:val="00CA0B3C"/>
    <w:rsid w:val="00CA0C90"/>
    <w:rsid w:val="00CA0D4C"/>
    <w:rsid w:val="00CA0DDA"/>
    <w:rsid w:val="00CA0E3D"/>
    <w:rsid w:val="00CA0E74"/>
    <w:rsid w:val="00CA0E81"/>
    <w:rsid w:val="00CA0F41"/>
    <w:rsid w:val="00CA0FF2"/>
    <w:rsid w:val="00CA1015"/>
    <w:rsid w:val="00CA1250"/>
    <w:rsid w:val="00CA1253"/>
    <w:rsid w:val="00CA125A"/>
    <w:rsid w:val="00CA1320"/>
    <w:rsid w:val="00CA13B4"/>
    <w:rsid w:val="00CA140D"/>
    <w:rsid w:val="00CA1439"/>
    <w:rsid w:val="00CA151D"/>
    <w:rsid w:val="00CA15BC"/>
    <w:rsid w:val="00CA1661"/>
    <w:rsid w:val="00CA1867"/>
    <w:rsid w:val="00CA18C7"/>
    <w:rsid w:val="00CA1E97"/>
    <w:rsid w:val="00CA1EA0"/>
    <w:rsid w:val="00CA2169"/>
    <w:rsid w:val="00CA2339"/>
    <w:rsid w:val="00CA23A9"/>
    <w:rsid w:val="00CA23CB"/>
    <w:rsid w:val="00CA2484"/>
    <w:rsid w:val="00CA298C"/>
    <w:rsid w:val="00CA2A28"/>
    <w:rsid w:val="00CA2A2E"/>
    <w:rsid w:val="00CA2C53"/>
    <w:rsid w:val="00CA2DB4"/>
    <w:rsid w:val="00CA2F00"/>
    <w:rsid w:val="00CA30B0"/>
    <w:rsid w:val="00CA3D3C"/>
    <w:rsid w:val="00CA3ECE"/>
    <w:rsid w:val="00CA3F64"/>
    <w:rsid w:val="00CA3F78"/>
    <w:rsid w:val="00CA3FC4"/>
    <w:rsid w:val="00CA40C1"/>
    <w:rsid w:val="00CA4124"/>
    <w:rsid w:val="00CA4838"/>
    <w:rsid w:val="00CA4AD9"/>
    <w:rsid w:val="00CA4BC9"/>
    <w:rsid w:val="00CA4BE2"/>
    <w:rsid w:val="00CA4DC6"/>
    <w:rsid w:val="00CA4E0E"/>
    <w:rsid w:val="00CA4F30"/>
    <w:rsid w:val="00CA4F46"/>
    <w:rsid w:val="00CA4F49"/>
    <w:rsid w:val="00CA4F7B"/>
    <w:rsid w:val="00CA507B"/>
    <w:rsid w:val="00CA524E"/>
    <w:rsid w:val="00CA52E2"/>
    <w:rsid w:val="00CA536A"/>
    <w:rsid w:val="00CA5383"/>
    <w:rsid w:val="00CA56C3"/>
    <w:rsid w:val="00CA571C"/>
    <w:rsid w:val="00CA5757"/>
    <w:rsid w:val="00CA589D"/>
    <w:rsid w:val="00CA58A2"/>
    <w:rsid w:val="00CA58E6"/>
    <w:rsid w:val="00CA5E66"/>
    <w:rsid w:val="00CA5F1D"/>
    <w:rsid w:val="00CA5FE5"/>
    <w:rsid w:val="00CA6082"/>
    <w:rsid w:val="00CA6112"/>
    <w:rsid w:val="00CA61E8"/>
    <w:rsid w:val="00CA6425"/>
    <w:rsid w:val="00CA6713"/>
    <w:rsid w:val="00CA67E5"/>
    <w:rsid w:val="00CA67F9"/>
    <w:rsid w:val="00CA68FD"/>
    <w:rsid w:val="00CA698C"/>
    <w:rsid w:val="00CA6B5B"/>
    <w:rsid w:val="00CA6C14"/>
    <w:rsid w:val="00CA6D9F"/>
    <w:rsid w:val="00CA6F2F"/>
    <w:rsid w:val="00CA6FB6"/>
    <w:rsid w:val="00CA6FF9"/>
    <w:rsid w:val="00CA70F7"/>
    <w:rsid w:val="00CA7451"/>
    <w:rsid w:val="00CA766C"/>
    <w:rsid w:val="00CA7731"/>
    <w:rsid w:val="00CA77AB"/>
    <w:rsid w:val="00CA7979"/>
    <w:rsid w:val="00CA79D1"/>
    <w:rsid w:val="00CA7A3C"/>
    <w:rsid w:val="00CA7ADB"/>
    <w:rsid w:val="00CA7B12"/>
    <w:rsid w:val="00CA7DA7"/>
    <w:rsid w:val="00CA7DEF"/>
    <w:rsid w:val="00CA7E25"/>
    <w:rsid w:val="00CA7E2D"/>
    <w:rsid w:val="00CA7F90"/>
    <w:rsid w:val="00CB003D"/>
    <w:rsid w:val="00CB0072"/>
    <w:rsid w:val="00CB010B"/>
    <w:rsid w:val="00CB03A8"/>
    <w:rsid w:val="00CB042A"/>
    <w:rsid w:val="00CB06EF"/>
    <w:rsid w:val="00CB0D88"/>
    <w:rsid w:val="00CB1154"/>
    <w:rsid w:val="00CB1240"/>
    <w:rsid w:val="00CB1647"/>
    <w:rsid w:val="00CB1681"/>
    <w:rsid w:val="00CB1804"/>
    <w:rsid w:val="00CB1821"/>
    <w:rsid w:val="00CB1E31"/>
    <w:rsid w:val="00CB1E7F"/>
    <w:rsid w:val="00CB1ED9"/>
    <w:rsid w:val="00CB21B9"/>
    <w:rsid w:val="00CB242F"/>
    <w:rsid w:val="00CB265C"/>
    <w:rsid w:val="00CB2732"/>
    <w:rsid w:val="00CB2771"/>
    <w:rsid w:val="00CB295D"/>
    <w:rsid w:val="00CB2A9E"/>
    <w:rsid w:val="00CB320F"/>
    <w:rsid w:val="00CB3213"/>
    <w:rsid w:val="00CB32A6"/>
    <w:rsid w:val="00CB3474"/>
    <w:rsid w:val="00CB3563"/>
    <w:rsid w:val="00CB3571"/>
    <w:rsid w:val="00CB3643"/>
    <w:rsid w:val="00CB3A2B"/>
    <w:rsid w:val="00CB3B69"/>
    <w:rsid w:val="00CB3B6A"/>
    <w:rsid w:val="00CB3B87"/>
    <w:rsid w:val="00CB3C22"/>
    <w:rsid w:val="00CB3D61"/>
    <w:rsid w:val="00CB3E06"/>
    <w:rsid w:val="00CB3E14"/>
    <w:rsid w:val="00CB3E2D"/>
    <w:rsid w:val="00CB405C"/>
    <w:rsid w:val="00CB429C"/>
    <w:rsid w:val="00CB4467"/>
    <w:rsid w:val="00CB4478"/>
    <w:rsid w:val="00CB4503"/>
    <w:rsid w:val="00CB47BA"/>
    <w:rsid w:val="00CB49AD"/>
    <w:rsid w:val="00CB4A15"/>
    <w:rsid w:val="00CB4D7E"/>
    <w:rsid w:val="00CB4DDF"/>
    <w:rsid w:val="00CB4F32"/>
    <w:rsid w:val="00CB4F6E"/>
    <w:rsid w:val="00CB4F7B"/>
    <w:rsid w:val="00CB5008"/>
    <w:rsid w:val="00CB5050"/>
    <w:rsid w:val="00CB5111"/>
    <w:rsid w:val="00CB52CB"/>
    <w:rsid w:val="00CB5426"/>
    <w:rsid w:val="00CB5427"/>
    <w:rsid w:val="00CB5687"/>
    <w:rsid w:val="00CB572C"/>
    <w:rsid w:val="00CB582C"/>
    <w:rsid w:val="00CB58E7"/>
    <w:rsid w:val="00CB5B83"/>
    <w:rsid w:val="00CB5E4B"/>
    <w:rsid w:val="00CB5EE5"/>
    <w:rsid w:val="00CB5F5B"/>
    <w:rsid w:val="00CB6173"/>
    <w:rsid w:val="00CB62F6"/>
    <w:rsid w:val="00CB64E3"/>
    <w:rsid w:val="00CB6752"/>
    <w:rsid w:val="00CB68D8"/>
    <w:rsid w:val="00CB69D2"/>
    <w:rsid w:val="00CB6A0B"/>
    <w:rsid w:val="00CB6ABD"/>
    <w:rsid w:val="00CB6AE0"/>
    <w:rsid w:val="00CB6D54"/>
    <w:rsid w:val="00CB6D9E"/>
    <w:rsid w:val="00CB6DA3"/>
    <w:rsid w:val="00CB6FBC"/>
    <w:rsid w:val="00CB7026"/>
    <w:rsid w:val="00CB7297"/>
    <w:rsid w:val="00CB7318"/>
    <w:rsid w:val="00CB7603"/>
    <w:rsid w:val="00CB7790"/>
    <w:rsid w:val="00CB78B0"/>
    <w:rsid w:val="00CB7B7A"/>
    <w:rsid w:val="00CB7E56"/>
    <w:rsid w:val="00CC0104"/>
    <w:rsid w:val="00CC0380"/>
    <w:rsid w:val="00CC0676"/>
    <w:rsid w:val="00CC06E1"/>
    <w:rsid w:val="00CC0745"/>
    <w:rsid w:val="00CC0942"/>
    <w:rsid w:val="00CC0A90"/>
    <w:rsid w:val="00CC0C4F"/>
    <w:rsid w:val="00CC0DAC"/>
    <w:rsid w:val="00CC0E6A"/>
    <w:rsid w:val="00CC0E97"/>
    <w:rsid w:val="00CC1059"/>
    <w:rsid w:val="00CC1157"/>
    <w:rsid w:val="00CC1314"/>
    <w:rsid w:val="00CC131A"/>
    <w:rsid w:val="00CC135E"/>
    <w:rsid w:val="00CC136E"/>
    <w:rsid w:val="00CC148D"/>
    <w:rsid w:val="00CC14FD"/>
    <w:rsid w:val="00CC15AA"/>
    <w:rsid w:val="00CC15F7"/>
    <w:rsid w:val="00CC161D"/>
    <w:rsid w:val="00CC1621"/>
    <w:rsid w:val="00CC1643"/>
    <w:rsid w:val="00CC1704"/>
    <w:rsid w:val="00CC176B"/>
    <w:rsid w:val="00CC18C0"/>
    <w:rsid w:val="00CC1912"/>
    <w:rsid w:val="00CC1A25"/>
    <w:rsid w:val="00CC2130"/>
    <w:rsid w:val="00CC250D"/>
    <w:rsid w:val="00CC25B2"/>
    <w:rsid w:val="00CC2643"/>
    <w:rsid w:val="00CC288E"/>
    <w:rsid w:val="00CC2967"/>
    <w:rsid w:val="00CC2B2D"/>
    <w:rsid w:val="00CC2BE2"/>
    <w:rsid w:val="00CC2C84"/>
    <w:rsid w:val="00CC2E93"/>
    <w:rsid w:val="00CC2F2C"/>
    <w:rsid w:val="00CC2FDE"/>
    <w:rsid w:val="00CC2FF5"/>
    <w:rsid w:val="00CC3076"/>
    <w:rsid w:val="00CC3183"/>
    <w:rsid w:val="00CC3284"/>
    <w:rsid w:val="00CC34A5"/>
    <w:rsid w:val="00CC34B7"/>
    <w:rsid w:val="00CC34E2"/>
    <w:rsid w:val="00CC35F0"/>
    <w:rsid w:val="00CC36BA"/>
    <w:rsid w:val="00CC3BBF"/>
    <w:rsid w:val="00CC3CB0"/>
    <w:rsid w:val="00CC3FDC"/>
    <w:rsid w:val="00CC4071"/>
    <w:rsid w:val="00CC416F"/>
    <w:rsid w:val="00CC442A"/>
    <w:rsid w:val="00CC4547"/>
    <w:rsid w:val="00CC4574"/>
    <w:rsid w:val="00CC4720"/>
    <w:rsid w:val="00CC48CC"/>
    <w:rsid w:val="00CC4933"/>
    <w:rsid w:val="00CC499D"/>
    <w:rsid w:val="00CC49E1"/>
    <w:rsid w:val="00CC4A14"/>
    <w:rsid w:val="00CC4A15"/>
    <w:rsid w:val="00CC4A57"/>
    <w:rsid w:val="00CC4C55"/>
    <w:rsid w:val="00CC4CA1"/>
    <w:rsid w:val="00CC4D31"/>
    <w:rsid w:val="00CC4DB1"/>
    <w:rsid w:val="00CC4E10"/>
    <w:rsid w:val="00CC4F6D"/>
    <w:rsid w:val="00CC51E7"/>
    <w:rsid w:val="00CC52A3"/>
    <w:rsid w:val="00CC5660"/>
    <w:rsid w:val="00CC5666"/>
    <w:rsid w:val="00CC5735"/>
    <w:rsid w:val="00CC5767"/>
    <w:rsid w:val="00CC5E1F"/>
    <w:rsid w:val="00CC5F63"/>
    <w:rsid w:val="00CC629A"/>
    <w:rsid w:val="00CC62DF"/>
    <w:rsid w:val="00CC63B2"/>
    <w:rsid w:val="00CC64D4"/>
    <w:rsid w:val="00CC6599"/>
    <w:rsid w:val="00CC6BE0"/>
    <w:rsid w:val="00CC6D4F"/>
    <w:rsid w:val="00CC7041"/>
    <w:rsid w:val="00CC7083"/>
    <w:rsid w:val="00CC729E"/>
    <w:rsid w:val="00CC7575"/>
    <w:rsid w:val="00CC7647"/>
    <w:rsid w:val="00CC7736"/>
    <w:rsid w:val="00CC7B98"/>
    <w:rsid w:val="00CC7D39"/>
    <w:rsid w:val="00CC7E45"/>
    <w:rsid w:val="00CC7FB2"/>
    <w:rsid w:val="00CD0123"/>
    <w:rsid w:val="00CD013C"/>
    <w:rsid w:val="00CD0189"/>
    <w:rsid w:val="00CD049E"/>
    <w:rsid w:val="00CD04AF"/>
    <w:rsid w:val="00CD06AF"/>
    <w:rsid w:val="00CD07A0"/>
    <w:rsid w:val="00CD08E1"/>
    <w:rsid w:val="00CD0AE5"/>
    <w:rsid w:val="00CD0B50"/>
    <w:rsid w:val="00CD0B7F"/>
    <w:rsid w:val="00CD0B95"/>
    <w:rsid w:val="00CD0D0E"/>
    <w:rsid w:val="00CD0ED3"/>
    <w:rsid w:val="00CD0F0E"/>
    <w:rsid w:val="00CD0FE7"/>
    <w:rsid w:val="00CD10A0"/>
    <w:rsid w:val="00CD10C0"/>
    <w:rsid w:val="00CD1373"/>
    <w:rsid w:val="00CD146A"/>
    <w:rsid w:val="00CD147A"/>
    <w:rsid w:val="00CD1843"/>
    <w:rsid w:val="00CD18E3"/>
    <w:rsid w:val="00CD1944"/>
    <w:rsid w:val="00CD19C0"/>
    <w:rsid w:val="00CD1A03"/>
    <w:rsid w:val="00CD1AB6"/>
    <w:rsid w:val="00CD1E2F"/>
    <w:rsid w:val="00CD1E89"/>
    <w:rsid w:val="00CD1EDB"/>
    <w:rsid w:val="00CD1F73"/>
    <w:rsid w:val="00CD1FAD"/>
    <w:rsid w:val="00CD2118"/>
    <w:rsid w:val="00CD23D4"/>
    <w:rsid w:val="00CD2476"/>
    <w:rsid w:val="00CD2645"/>
    <w:rsid w:val="00CD2660"/>
    <w:rsid w:val="00CD26DC"/>
    <w:rsid w:val="00CD2744"/>
    <w:rsid w:val="00CD27EA"/>
    <w:rsid w:val="00CD2828"/>
    <w:rsid w:val="00CD2951"/>
    <w:rsid w:val="00CD2952"/>
    <w:rsid w:val="00CD29FC"/>
    <w:rsid w:val="00CD2C2E"/>
    <w:rsid w:val="00CD2C39"/>
    <w:rsid w:val="00CD2D4E"/>
    <w:rsid w:val="00CD2E83"/>
    <w:rsid w:val="00CD2E87"/>
    <w:rsid w:val="00CD2F2D"/>
    <w:rsid w:val="00CD2FAB"/>
    <w:rsid w:val="00CD3248"/>
    <w:rsid w:val="00CD32F4"/>
    <w:rsid w:val="00CD3761"/>
    <w:rsid w:val="00CD376B"/>
    <w:rsid w:val="00CD378C"/>
    <w:rsid w:val="00CD3824"/>
    <w:rsid w:val="00CD394D"/>
    <w:rsid w:val="00CD3BA0"/>
    <w:rsid w:val="00CD3C1F"/>
    <w:rsid w:val="00CD3FAB"/>
    <w:rsid w:val="00CD3FAE"/>
    <w:rsid w:val="00CD45DD"/>
    <w:rsid w:val="00CD4732"/>
    <w:rsid w:val="00CD485E"/>
    <w:rsid w:val="00CD49FF"/>
    <w:rsid w:val="00CD4A79"/>
    <w:rsid w:val="00CD4AA6"/>
    <w:rsid w:val="00CD4F95"/>
    <w:rsid w:val="00CD5069"/>
    <w:rsid w:val="00CD514A"/>
    <w:rsid w:val="00CD54A2"/>
    <w:rsid w:val="00CD54FB"/>
    <w:rsid w:val="00CD5984"/>
    <w:rsid w:val="00CD59EA"/>
    <w:rsid w:val="00CD5C0C"/>
    <w:rsid w:val="00CD5CE8"/>
    <w:rsid w:val="00CD6028"/>
    <w:rsid w:val="00CD60CC"/>
    <w:rsid w:val="00CD6122"/>
    <w:rsid w:val="00CD641B"/>
    <w:rsid w:val="00CD6627"/>
    <w:rsid w:val="00CD676A"/>
    <w:rsid w:val="00CD6786"/>
    <w:rsid w:val="00CD6A97"/>
    <w:rsid w:val="00CD6B43"/>
    <w:rsid w:val="00CD6CEE"/>
    <w:rsid w:val="00CD6D0C"/>
    <w:rsid w:val="00CD6E14"/>
    <w:rsid w:val="00CD6E26"/>
    <w:rsid w:val="00CD6E4F"/>
    <w:rsid w:val="00CD6EC2"/>
    <w:rsid w:val="00CD7072"/>
    <w:rsid w:val="00CD70DD"/>
    <w:rsid w:val="00CD72A9"/>
    <w:rsid w:val="00CD72EC"/>
    <w:rsid w:val="00CD7327"/>
    <w:rsid w:val="00CD744A"/>
    <w:rsid w:val="00CD7538"/>
    <w:rsid w:val="00CD7738"/>
    <w:rsid w:val="00CD77B2"/>
    <w:rsid w:val="00CD790F"/>
    <w:rsid w:val="00CD7FDE"/>
    <w:rsid w:val="00CE0255"/>
    <w:rsid w:val="00CE02E6"/>
    <w:rsid w:val="00CE04AC"/>
    <w:rsid w:val="00CE0530"/>
    <w:rsid w:val="00CE067D"/>
    <w:rsid w:val="00CE073A"/>
    <w:rsid w:val="00CE07A6"/>
    <w:rsid w:val="00CE08D7"/>
    <w:rsid w:val="00CE09E1"/>
    <w:rsid w:val="00CE0D6B"/>
    <w:rsid w:val="00CE0DDB"/>
    <w:rsid w:val="00CE106A"/>
    <w:rsid w:val="00CE14FF"/>
    <w:rsid w:val="00CE1621"/>
    <w:rsid w:val="00CE19DA"/>
    <w:rsid w:val="00CE1D01"/>
    <w:rsid w:val="00CE1F10"/>
    <w:rsid w:val="00CE1F1D"/>
    <w:rsid w:val="00CE2185"/>
    <w:rsid w:val="00CE261F"/>
    <w:rsid w:val="00CE26DB"/>
    <w:rsid w:val="00CE26DE"/>
    <w:rsid w:val="00CE26E5"/>
    <w:rsid w:val="00CE2B17"/>
    <w:rsid w:val="00CE2B81"/>
    <w:rsid w:val="00CE2C80"/>
    <w:rsid w:val="00CE2D75"/>
    <w:rsid w:val="00CE2E32"/>
    <w:rsid w:val="00CE2E55"/>
    <w:rsid w:val="00CE2E60"/>
    <w:rsid w:val="00CE2ED8"/>
    <w:rsid w:val="00CE2F71"/>
    <w:rsid w:val="00CE326E"/>
    <w:rsid w:val="00CE32D4"/>
    <w:rsid w:val="00CE3439"/>
    <w:rsid w:val="00CE38C9"/>
    <w:rsid w:val="00CE3A2E"/>
    <w:rsid w:val="00CE3B23"/>
    <w:rsid w:val="00CE4021"/>
    <w:rsid w:val="00CE40DC"/>
    <w:rsid w:val="00CE418F"/>
    <w:rsid w:val="00CE4298"/>
    <w:rsid w:val="00CE42CD"/>
    <w:rsid w:val="00CE4305"/>
    <w:rsid w:val="00CE4411"/>
    <w:rsid w:val="00CE44C4"/>
    <w:rsid w:val="00CE46ED"/>
    <w:rsid w:val="00CE47C6"/>
    <w:rsid w:val="00CE4967"/>
    <w:rsid w:val="00CE4B05"/>
    <w:rsid w:val="00CE4DB6"/>
    <w:rsid w:val="00CE4DF8"/>
    <w:rsid w:val="00CE502E"/>
    <w:rsid w:val="00CE5101"/>
    <w:rsid w:val="00CE52FD"/>
    <w:rsid w:val="00CE548A"/>
    <w:rsid w:val="00CE5522"/>
    <w:rsid w:val="00CE559E"/>
    <w:rsid w:val="00CE55D1"/>
    <w:rsid w:val="00CE56DD"/>
    <w:rsid w:val="00CE5870"/>
    <w:rsid w:val="00CE5B6D"/>
    <w:rsid w:val="00CE5B9E"/>
    <w:rsid w:val="00CE5C01"/>
    <w:rsid w:val="00CE5C33"/>
    <w:rsid w:val="00CE5CC5"/>
    <w:rsid w:val="00CE5D93"/>
    <w:rsid w:val="00CE5F95"/>
    <w:rsid w:val="00CE609B"/>
    <w:rsid w:val="00CE6139"/>
    <w:rsid w:val="00CE6318"/>
    <w:rsid w:val="00CE65B7"/>
    <w:rsid w:val="00CE6612"/>
    <w:rsid w:val="00CE6832"/>
    <w:rsid w:val="00CE691C"/>
    <w:rsid w:val="00CE6A7F"/>
    <w:rsid w:val="00CE6CDC"/>
    <w:rsid w:val="00CE6DF6"/>
    <w:rsid w:val="00CE6EE0"/>
    <w:rsid w:val="00CE6FD8"/>
    <w:rsid w:val="00CE71FF"/>
    <w:rsid w:val="00CE7253"/>
    <w:rsid w:val="00CE7435"/>
    <w:rsid w:val="00CE74EA"/>
    <w:rsid w:val="00CE7703"/>
    <w:rsid w:val="00CE7744"/>
    <w:rsid w:val="00CE774A"/>
    <w:rsid w:val="00CE7826"/>
    <w:rsid w:val="00CE78FA"/>
    <w:rsid w:val="00CE7A12"/>
    <w:rsid w:val="00CE7CC0"/>
    <w:rsid w:val="00CE7D2A"/>
    <w:rsid w:val="00CE7DDC"/>
    <w:rsid w:val="00CF0091"/>
    <w:rsid w:val="00CF0185"/>
    <w:rsid w:val="00CF02EE"/>
    <w:rsid w:val="00CF034D"/>
    <w:rsid w:val="00CF03BE"/>
    <w:rsid w:val="00CF0501"/>
    <w:rsid w:val="00CF0503"/>
    <w:rsid w:val="00CF0510"/>
    <w:rsid w:val="00CF06BC"/>
    <w:rsid w:val="00CF0700"/>
    <w:rsid w:val="00CF07B2"/>
    <w:rsid w:val="00CF0993"/>
    <w:rsid w:val="00CF0A4C"/>
    <w:rsid w:val="00CF0A7F"/>
    <w:rsid w:val="00CF0A91"/>
    <w:rsid w:val="00CF0D08"/>
    <w:rsid w:val="00CF0D81"/>
    <w:rsid w:val="00CF0E63"/>
    <w:rsid w:val="00CF0F88"/>
    <w:rsid w:val="00CF10FD"/>
    <w:rsid w:val="00CF1192"/>
    <w:rsid w:val="00CF166D"/>
    <w:rsid w:val="00CF1701"/>
    <w:rsid w:val="00CF1A05"/>
    <w:rsid w:val="00CF1B8A"/>
    <w:rsid w:val="00CF1C6F"/>
    <w:rsid w:val="00CF1CDB"/>
    <w:rsid w:val="00CF1D12"/>
    <w:rsid w:val="00CF1DF4"/>
    <w:rsid w:val="00CF1E08"/>
    <w:rsid w:val="00CF1FB5"/>
    <w:rsid w:val="00CF2125"/>
    <w:rsid w:val="00CF2173"/>
    <w:rsid w:val="00CF2276"/>
    <w:rsid w:val="00CF22DC"/>
    <w:rsid w:val="00CF22E7"/>
    <w:rsid w:val="00CF24E3"/>
    <w:rsid w:val="00CF2580"/>
    <w:rsid w:val="00CF25B7"/>
    <w:rsid w:val="00CF273B"/>
    <w:rsid w:val="00CF28EC"/>
    <w:rsid w:val="00CF2A6D"/>
    <w:rsid w:val="00CF2A9D"/>
    <w:rsid w:val="00CF2D7E"/>
    <w:rsid w:val="00CF2E72"/>
    <w:rsid w:val="00CF3031"/>
    <w:rsid w:val="00CF309F"/>
    <w:rsid w:val="00CF32B3"/>
    <w:rsid w:val="00CF33A1"/>
    <w:rsid w:val="00CF3478"/>
    <w:rsid w:val="00CF34A9"/>
    <w:rsid w:val="00CF351A"/>
    <w:rsid w:val="00CF352E"/>
    <w:rsid w:val="00CF3834"/>
    <w:rsid w:val="00CF3ADE"/>
    <w:rsid w:val="00CF3B36"/>
    <w:rsid w:val="00CF3BEB"/>
    <w:rsid w:val="00CF3CC7"/>
    <w:rsid w:val="00CF3D03"/>
    <w:rsid w:val="00CF3F07"/>
    <w:rsid w:val="00CF3FAA"/>
    <w:rsid w:val="00CF405E"/>
    <w:rsid w:val="00CF4163"/>
    <w:rsid w:val="00CF419C"/>
    <w:rsid w:val="00CF4239"/>
    <w:rsid w:val="00CF4BB4"/>
    <w:rsid w:val="00CF4C46"/>
    <w:rsid w:val="00CF4DDC"/>
    <w:rsid w:val="00CF50D1"/>
    <w:rsid w:val="00CF5155"/>
    <w:rsid w:val="00CF5316"/>
    <w:rsid w:val="00CF5684"/>
    <w:rsid w:val="00CF5708"/>
    <w:rsid w:val="00CF573E"/>
    <w:rsid w:val="00CF57C1"/>
    <w:rsid w:val="00CF5AFD"/>
    <w:rsid w:val="00CF5B48"/>
    <w:rsid w:val="00CF5B85"/>
    <w:rsid w:val="00CF5C53"/>
    <w:rsid w:val="00CF5C60"/>
    <w:rsid w:val="00CF5D2E"/>
    <w:rsid w:val="00CF5DE4"/>
    <w:rsid w:val="00CF5E38"/>
    <w:rsid w:val="00CF5E83"/>
    <w:rsid w:val="00CF63B8"/>
    <w:rsid w:val="00CF64E7"/>
    <w:rsid w:val="00CF65BD"/>
    <w:rsid w:val="00CF67A2"/>
    <w:rsid w:val="00CF68F5"/>
    <w:rsid w:val="00CF6923"/>
    <w:rsid w:val="00CF6A42"/>
    <w:rsid w:val="00CF6D8D"/>
    <w:rsid w:val="00CF713D"/>
    <w:rsid w:val="00CF72E5"/>
    <w:rsid w:val="00CF73D2"/>
    <w:rsid w:val="00CF7518"/>
    <w:rsid w:val="00CF7547"/>
    <w:rsid w:val="00CF7655"/>
    <w:rsid w:val="00CF777C"/>
    <w:rsid w:val="00CF78B1"/>
    <w:rsid w:val="00CF79FD"/>
    <w:rsid w:val="00CF7AA5"/>
    <w:rsid w:val="00CF7C36"/>
    <w:rsid w:val="00CF7C4E"/>
    <w:rsid w:val="00D00103"/>
    <w:rsid w:val="00D001EA"/>
    <w:rsid w:val="00D002EE"/>
    <w:rsid w:val="00D0035D"/>
    <w:rsid w:val="00D003D0"/>
    <w:rsid w:val="00D00489"/>
    <w:rsid w:val="00D0073D"/>
    <w:rsid w:val="00D00877"/>
    <w:rsid w:val="00D00AE3"/>
    <w:rsid w:val="00D00BEF"/>
    <w:rsid w:val="00D00D7C"/>
    <w:rsid w:val="00D00D98"/>
    <w:rsid w:val="00D00E5B"/>
    <w:rsid w:val="00D00F7B"/>
    <w:rsid w:val="00D010BC"/>
    <w:rsid w:val="00D0116D"/>
    <w:rsid w:val="00D01180"/>
    <w:rsid w:val="00D01267"/>
    <w:rsid w:val="00D01442"/>
    <w:rsid w:val="00D0145F"/>
    <w:rsid w:val="00D014FC"/>
    <w:rsid w:val="00D016A0"/>
    <w:rsid w:val="00D01727"/>
    <w:rsid w:val="00D01780"/>
    <w:rsid w:val="00D01D8C"/>
    <w:rsid w:val="00D01E94"/>
    <w:rsid w:val="00D01EFA"/>
    <w:rsid w:val="00D01FCF"/>
    <w:rsid w:val="00D02030"/>
    <w:rsid w:val="00D0227F"/>
    <w:rsid w:val="00D02280"/>
    <w:rsid w:val="00D02471"/>
    <w:rsid w:val="00D024BD"/>
    <w:rsid w:val="00D025B5"/>
    <w:rsid w:val="00D025C2"/>
    <w:rsid w:val="00D025F0"/>
    <w:rsid w:val="00D02760"/>
    <w:rsid w:val="00D02849"/>
    <w:rsid w:val="00D0297F"/>
    <w:rsid w:val="00D02BCE"/>
    <w:rsid w:val="00D02D00"/>
    <w:rsid w:val="00D02D64"/>
    <w:rsid w:val="00D02D66"/>
    <w:rsid w:val="00D02DF0"/>
    <w:rsid w:val="00D02E06"/>
    <w:rsid w:val="00D02F8B"/>
    <w:rsid w:val="00D03191"/>
    <w:rsid w:val="00D03308"/>
    <w:rsid w:val="00D03353"/>
    <w:rsid w:val="00D034AF"/>
    <w:rsid w:val="00D0380A"/>
    <w:rsid w:val="00D03926"/>
    <w:rsid w:val="00D03B1D"/>
    <w:rsid w:val="00D03D4B"/>
    <w:rsid w:val="00D03D7F"/>
    <w:rsid w:val="00D03D92"/>
    <w:rsid w:val="00D03EBC"/>
    <w:rsid w:val="00D03F02"/>
    <w:rsid w:val="00D04084"/>
    <w:rsid w:val="00D040AF"/>
    <w:rsid w:val="00D04182"/>
    <w:rsid w:val="00D0430B"/>
    <w:rsid w:val="00D043D7"/>
    <w:rsid w:val="00D0470B"/>
    <w:rsid w:val="00D047D5"/>
    <w:rsid w:val="00D047F4"/>
    <w:rsid w:val="00D0488C"/>
    <w:rsid w:val="00D0496B"/>
    <w:rsid w:val="00D04975"/>
    <w:rsid w:val="00D04991"/>
    <w:rsid w:val="00D04A03"/>
    <w:rsid w:val="00D04AC7"/>
    <w:rsid w:val="00D04B07"/>
    <w:rsid w:val="00D04B2A"/>
    <w:rsid w:val="00D04C58"/>
    <w:rsid w:val="00D04E3E"/>
    <w:rsid w:val="00D04F2C"/>
    <w:rsid w:val="00D050BA"/>
    <w:rsid w:val="00D050BF"/>
    <w:rsid w:val="00D05194"/>
    <w:rsid w:val="00D0519E"/>
    <w:rsid w:val="00D051F3"/>
    <w:rsid w:val="00D054AE"/>
    <w:rsid w:val="00D059E6"/>
    <w:rsid w:val="00D05D59"/>
    <w:rsid w:val="00D05E42"/>
    <w:rsid w:val="00D05E79"/>
    <w:rsid w:val="00D05EE0"/>
    <w:rsid w:val="00D0606B"/>
    <w:rsid w:val="00D06100"/>
    <w:rsid w:val="00D0624E"/>
    <w:rsid w:val="00D06256"/>
    <w:rsid w:val="00D063B8"/>
    <w:rsid w:val="00D0649E"/>
    <w:rsid w:val="00D0667A"/>
    <w:rsid w:val="00D06778"/>
    <w:rsid w:val="00D06817"/>
    <w:rsid w:val="00D06ACF"/>
    <w:rsid w:val="00D06AE0"/>
    <w:rsid w:val="00D06CCC"/>
    <w:rsid w:val="00D06CF7"/>
    <w:rsid w:val="00D06D10"/>
    <w:rsid w:val="00D06D4F"/>
    <w:rsid w:val="00D06D58"/>
    <w:rsid w:val="00D06DD8"/>
    <w:rsid w:val="00D06E4D"/>
    <w:rsid w:val="00D06F12"/>
    <w:rsid w:val="00D06F61"/>
    <w:rsid w:val="00D070FF"/>
    <w:rsid w:val="00D07243"/>
    <w:rsid w:val="00D072CD"/>
    <w:rsid w:val="00D07422"/>
    <w:rsid w:val="00D07618"/>
    <w:rsid w:val="00D077B0"/>
    <w:rsid w:val="00D0783B"/>
    <w:rsid w:val="00D0787B"/>
    <w:rsid w:val="00D07901"/>
    <w:rsid w:val="00D0791E"/>
    <w:rsid w:val="00D079BF"/>
    <w:rsid w:val="00D07A86"/>
    <w:rsid w:val="00D07BA5"/>
    <w:rsid w:val="00D07C3C"/>
    <w:rsid w:val="00D07CEE"/>
    <w:rsid w:val="00D07D58"/>
    <w:rsid w:val="00D07F6A"/>
    <w:rsid w:val="00D07FDC"/>
    <w:rsid w:val="00D10118"/>
    <w:rsid w:val="00D101B7"/>
    <w:rsid w:val="00D10265"/>
    <w:rsid w:val="00D103A7"/>
    <w:rsid w:val="00D103F9"/>
    <w:rsid w:val="00D1060F"/>
    <w:rsid w:val="00D1063C"/>
    <w:rsid w:val="00D106AE"/>
    <w:rsid w:val="00D106D8"/>
    <w:rsid w:val="00D10944"/>
    <w:rsid w:val="00D10E6A"/>
    <w:rsid w:val="00D10FC7"/>
    <w:rsid w:val="00D1106E"/>
    <w:rsid w:val="00D111D2"/>
    <w:rsid w:val="00D114C2"/>
    <w:rsid w:val="00D116C2"/>
    <w:rsid w:val="00D11723"/>
    <w:rsid w:val="00D117DC"/>
    <w:rsid w:val="00D118C2"/>
    <w:rsid w:val="00D1193E"/>
    <w:rsid w:val="00D11ABA"/>
    <w:rsid w:val="00D11AC8"/>
    <w:rsid w:val="00D11E49"/>
    <w:rsid w:val="00D11EE9"/>
    <w:rsid w:val="00D12060"/>
    <w:rsid w:val="00D121A3"/>
    <w:rsid w:val="00D12256"/>
    <w:rsid w:val="00D1251B"/>
    <w:rsid w:val="00D126A4"/>
    <w:rsid w:val="00D129E8"/>
    <w:rsid w:val="00D12A15"/>
    <w:rsid w:val="00D12A72"/>
    <w:rsid w:val="00D12C54"/>
    <w:rsid w:val="00D12CCE"/>
    <w:rsid w:val="00D12DEF"/>
    <w:rsid w:val="00D12E09"/>
    <w:rsid w:val="00D12E0D"/>
    <w:rsid w:val="00D12E5E"/>
    <w:rsid w:val="00D12E65"/>
    <w:rsid w:val="00D12EB1"/>
    <w:rsid w:val="00D12EE5"/>
    <w:rsid w:val="00D12F74"/>
    <w:rsid w:val="00D1309F"/>
    <w:rsid w:val="00D1312B"/>
    <w:rsid w:val="00D13236"/>
    <w:rsid w:val="00D1326C"/>
    <w:rsid w:val="00D13288"/>
    <w:rsid w:val="00D1335B"/>
    <w:rsid w:val="00D13363"/>
    <w:rsid w:val="00D1341E"/>
    <w:rsid w:val="00D13649"/>
    <w:rsid w:val="00D13889"/>
    <w:rsid w:val="00D13A92"/>
    <w:rsid w:val="00D13FE3"/>
    <w:rsid w:val="00D14113"/>
    <w:rsid w:val="00D14141"/>
    <w:rsid w:val="00D142D5"/>
    <w:rsid w:val="00D14550"/>
    <w:rsid w:val="00D14740"/>
    <w:rsid w:val="00D1474E"/>
    <w:rsid w:val="00D14AC5"/>
    <w:rsid w:val="00D14ACF"/>
    <w:rsid w:val="00D14B8F"/>
    <w:rsid w:val="00D14D19"/>
    <w:rsid w:val="00D14E5A"/>
    <w:rsid w:val="00D14E84"/>
    <w:rsid w:val="00D14F36"/>
    <w:rsid w:val="00D14F89"/>
    <w:rsid w:val="00D14FC1"/>
    <w:rsid w:val="00D151D5"/>
    <w:rsid w:val="00D15292"/>
    <w:rsid w:val="00D152CD"/>
    <w:rsid w:val="00D15325"/>
    <w:rsid w:val="00D15486"/>
    <w:rsid w:val="00D156D1"/>
    <w:rsid w:val="00D15752"/>
    <w:rsid w:val="00D15773"/>
    <w:rsid w:val="00D158CE"/>
    <w:rsid w:val="00D1593F"/>
    <w:rsid w:val="00D1595D"/>
    <w:rsid w:val="00D159F6"/>
    <w:rsid w:val="00D15DD5"/>
    <w:rsid w:val="00D15ECD"/>
    <w:rsid w:val="00D1643C"/>
    <w:rsid w:val="00D1653B"/>
    <w:rsid w:val="00D16552"/>
    <w:rsid w:val="00D165B4"/>
    <w:rsid w:val="00D16626"/>
    <w:rsid w:val="00D16710"/>
    <w:rsid w:val="00D16961"/>
    <w:rsid w:val="00D16A45"/>
    <w:rsid w:val="00D16B65"/>
    <w:rsid w:val="00D16B6B"/>
    <w:rsid w:val="00D16B6C"/>
    <w:rsid w:val="00D16CBC"/>
    <w:rsid w:val="00D16CD6"/>
    <w:rsid w:val="00D16D01"/>
    <w:rsid w:val="00D16EF8"/>
    <w:rsid w:val="00D16FCF"/>
    <w:rsid w:val="00D17340"/>
    <w:rsid w:val="00D1755B"/>
    <w:rsid w:val="00D1757A"/>
    <w:rsid w:val="00D175CE"/>
    <w:rsid w:val="00D17610"/>
    <w:rsid w:val="00D1781E"/>
    <w:rsid w:val="00D17B5E"/>
    <w:rsid w:val="00D17B85"/>
    <w:rsid w:val="00D17B8D"/>
    <w:rsid w:val="00D17BB2"/>
    <w:rsid w:val="00D17C9C"/>
    <w:rsid w:val="00D17D37"/>
    <w:rsid w:val="00D17ED3"/>
    <w:rsid w:val="00D20248"/>
    <w:rsid w:val="00D20515"/>
    <w:rsid w:val="00D20564"/>
    <w:rsid w:val="00D20671"/>
    <w:rsid w:val="00D2082F"/>
    <w:rsid w:val="00D209FC"/>
    <w:rsid w:val="00D20A62"/>
    <w:rsid w:val="00D20A83"/>
    <w:rsid w:val="00D20F38"/>
    <w:rsid w:val="00D20F64"/>
    <w:rsid w:val="00D21140"/>
    <w:rsid w:val="00D21244"/>
    <w:rsid w:val="00D2125A"/>
    <w:rsid w:val="00D214D2"/>
    <w:rsid w:val="00D21966"/>
    <w:rsid w:val="00D219D5"/>
    <w:rsid w:val="00D21C56"/>
    <w:rsid w:val="00D21D34"/>
    <w:rsid w:val="00D21D62"/>
    <w:rsid w:val="00D220B8"/>
    <w:rsid w:val="00D220CD"/>
    <w:rsid w:val="00D2210F"/>
    <w:rsid w:val="00D22236"/>
    <w:rsid w:val="00D22301"/>
    <w:rsid w:val="00D22556"/>
    <w:rsid w:val="00D2258E"/>
    <w:rsid w:val="00D226C7"/>
    <w:rsid w:val="00D22737"/>
    <w:rsid w:val="00D22AB6"/>
    <w:rsid w:val="00D22C03"/>
    <w:rsid w:val="00D22C9C"/>
    <w:rsid w:val="00D22DD6"/>
    <w:rsid w:val="00D22F5E"/>
    <w:rsid w:val="00D230AF"/>
    <w:rsid w:val="00D232E4"/>
    <w:rsid w:val="00D23389"/>
    <w:rsid w:val="00D23498"/>
    <w:rsid w:val="00D234DA"/>
    <w:rsid w:val="00D234FF"/>
    <w:rsid w:val="00D2362C"/>
    <w:rsid w:val="00D2364A"/>
    <w:rsid w:val="00D23A0D"/>
    <w:rsid w:val="00D23A9F"/>
    <w:rsid w:val="00D23C19"/>
    <w:rsid w:val="00D23CD3"/>
    <w:rsid w:val="00D23DCD"/>
    <w:rsid w:val="00D23F41"/>
    <w:rsid w:val="00D23FD2"/>
    <w:rsid w:val="00D241F0"/>
    <w:rsid w:val="00D24352"/>
    <w:rsid w:val="00D24400"/>
    <w:rsid w:val="00D2447D"/>
    <w:rsid w:val="00D245DC"/>
    <w:rsid w:val="00D246DD"/>
    <w:rsid w:val="00D24881"/>
    <w:rsid w:val="00D24916"/>
    <w:rsid w:val="00D24A27"/>
    <w:rsid w:val="00D24B9B"/>
    <w:rsid w:val="00D24C01"/>
    <w:rsid w:val="00D24C53"/>
    <w:rsid w:val="00D24E45"/>
    <w:rsid w:val="00D24F65"/>
    <w:rsid w:val="00D251CA"/>
    <w:rsid w:val="00D25496"/>
    <w:rsid w:val="00D25581"/>
    <w:rsid w:val="00D25584"/>
    <w:rsid w:val="00D25591"/>
    <w:rsid w:val="00D25601"/>
    <w:rsid w:val="00D256BC"/>
    <w:rsid w:val="00D258AF"/>
    <w:rsid w:val="00D25955"/>
    <w:rsid w:val="00D25A91"/>
    <w:rsid w:val="00D25C28"/>
    <w:rsid w:val="00D25CDD"/>
    <w:rsid w:val="00D25E86"/>
    <w:rsid w:val="00D25F19"/>
    <w:rsid w:val="00D26048"/>
    <w:rsid w:val="00D261A4"/>
    <w:rsid w:val="00D261AC"/>
    <w:rsid w:val="00D2627E"/>
    <w:rsid w:val="00D26313"/>
    <w:rsid w:val="00D263A0"/>
    <w:rsid w:val="00D263EC"/>
    <w:rsid w:val="00D26529"/>
    <w:rsid w:val="00D2652D"/>
    <w:rsid w:val="00D26582"/>
    <w:rsid w:val="00D266DE"/>
    <w:rsid w:val="00D26773"/>
    <w:rsid w:val="00D26816"/>
    <w:rsid w:val="00D268C2"/>
    <w:rsid w:val="00D26BA9"/>
    <w:rsid w:val="00D26DA2"/>
    <w:rsid w:val="00D26E89"/>
    <w:rsid w:val="00D26F2E"/>
    <w:rsid w:val="00D27076"/>
    <w:rsid w:val="00D27184"/>
    <w:rsid w:val="00D27216"/>
    <w:rsid w:val="00D2724B"/>
    <w:rsid w:val="00D2759A"/>
    <w:rsid w:val="00D27868"/>
    <w:rsid w:val="00D279C9"/>
    <w:rsid w:val="00D279E3"/>
    <w:rsid w:val="00D279E9"/>
    <w:rsid w:val="00D27A34"/>
    <w:rsid w:val="00D27ADB"/>
    <w:rsid w:val="00D27C0D"/>
    <w:rsid w:val="00D27E93"/>
    <w:rsid w:val="00D27F5F"/>
    <w:rsid w:val="00D30162"/>
    <w:rsid w:val="00D30273"/>
    <w:rsid w:val="00D30395"/>
    <w:rsid w:val="00D30397"/>
    <w:rsid w:val="00D303AA"/>
    <w:rsid w:val="00D3042C"/>
    <w:rsid w:val="00D30778"/>
    <w:rsid w:val="00D308EA"/>
    <w:rsid w:val="00D30DE1"/>
    <w:rsid w:val="00D30E6D"/>
    <w:rsid w:val="00D30ED3"/>
    <w:rsid w:val="00D30ED8"/>
    <w:rsid w:val="00D313E0"/>
    <w:rsid w:val="00D31412"/>
    <w:rsid w:val="00D314D0"/>
    <w:rsid w:val="00D3174A"/>
    <w:rsid w:val="00D31802"/>
    <w:rsid w:val="00D319AB"/>
    <w:rsid w:val="00D31A9F"/>
    <w:rsid w:val="00D31B2B"/>
    <w:rsid w:val="00D31B46"/>
    <w:rsid w:val="00D31DD7"/>
    <w:rsid w:val="00D32136"/>
    <w:rsid w:val="00D32246"/>
    <w:rsid w:val="00D32371"/>
    <w:rsid w:val="00D3237E"/>
    <w:rsid w:val="00D3260D"/>
    <w:rsid w:val="00D3265A"/>
    <w:rsid w:val="00D32678"/>
    <w:rsid w:val="00D326BE"/>
    <w:rsid w:val="00D32739"/>
    <w:rsid w:val="00D32AC3"/>
    <w:rsid w:val="00D32B15"/>
    <w:rsid w:val="00D32BCC"/>
    <w:rsid w:val="00D32D85"/>
    <w:rsid w:val="00D32E28"/>
    <w:rsid w:val="00D32E84"/>
    <w:rsid w:val="00D32ECC"/>
    <w:rsid w:val="00D33012"/>
    <w:rsid w:val="00D3304D"/>
    <w:rsid w:val="00D334FE"/>
    <w:rsid w:val="00D33634"/>
    <w:rsid w:val="00D33A48"/>
    <w:rsid w:val="00D33B86"/>
    <w:rsid w:val="00D33C8C"/>
    <w:rsid w:val="00D33C8E"/>
    <w:rsid w:val="00D33D2A"/>
    <w:rsid w:val="00D33E54"/>
    <w:rsid w:val="00D3405E"/>
    <w:rsid w:val="00D340FB"/>
    <w:rsid w:val="00D34153"/>
    <w:rsid w:val="00D34394"/>
    <w:rsid w:val="00D34989"/>
    <w:rsid w:val="00D34A8A"/>
    <w:rsid w:val="00D34ABD"/>
    <w:rsid w:val="00D34B40"/>
    <w:rsid w:val="00D34C22"/>
    <w:rsid w:val="00D34C8B"/>
    <w:rsid w:val="00D34DAA"/>
    <w:rsid w:val="00D34DC9"/>
    <w:rsid w:val="00D34F1C"/>
    <w:rsid w:val="00D35105"/>
    <w:rsid w:val="00D35204"/>
    <w:rsid w:val="00D35375"/>
    <w:rsid w:val="00D353A2"/>
    <w:rsid w:val="00D356D1"/>
    <w:rsid w:val="00D356F7"/>
    <w:rsid w:val="00D35885"/>
    <w:rsid w:val="00D358E9"/>
    <w:rsid w:val="00D35959"/>
    <w:rsid w:val="00D35B31"/>
    <w:rsid w:val="00D35C65"/>
    <w:rsid w:val="00D35CEB"/>
    <w:rsid w:val="00D35DBA"/>
    <w:rsid w:val="00D3617B"/>
    <w:rsid w:val="00D36226"/>
    <w:rsid w:val="00D36406"/>
    <w:rsid w:val="00D364BB"/>
    <w:rsid w:val="00D36585"/>
    <w:rsid w:val="00D3658A"/>
    <w:rsid w:val="00D3662F"/>
    <w:rsid w:val="00D368B5"/>
    <w:rsid w:val="00D369BB"/>
    <w:rsid w:val="00D36BD7"/>
    <w:rsid w:val="00D36CCB"/>
    <w:rsid w:val="00D36D04"/>
    <w:rsid w:val="00D36DC8"/>
    <w:rsid w:val="00D36F18"/>
    <w:rsid w:val="00D36F5C"/>
    <w:rsid w:val="00D37040"/>
    <w:rsid w:val="00D3706D"/>
    <w:rsid w:val="00D37105"/>
    <w:rsid w:val="00D37153"/>
    <w:rsid w:val="00D371FF"/>
    <w:rsid w:val="00D37707"/>
    <w:rsid w:val="00D377D3"/>
    <w:rsid w:val="00D3793E"/>
    <w:rsid w:val="00D37A71"/>
    <w:rsid w:val="00D37AEB"/>
    <w:rsid w:val="00D37C91"/>
    <w:rsid w:val="00D37CB4"/>
    <w:rsid w:val="00D37CD2"/>
    <w:rsid w:val="00D40215"/>
    <w:rsid w:val="00D40257"/>
    <w:rsid w:val="00D40603"/>
    <w:rsid w:val="00D40A32"/>
    <w:rsid w:val="00D40B17"/>
    <w:rsid w:val="00D40D6F"/>
    <w:rsid w:val="00D40DED"/>
    <w:rsid w:val="00D40E5F"/>
    <w:rsid w:val="00D40F0F"/>
    <w:rsid w:val="00D4104D"/>
    <w:rsid w:val="00D411EB"/>
    <w:rsid w:val="00D411EC"/>
    <w:rsid w:val="00D41256"/>
    <w:rsid w:val="00D41386"/>
    <w:rsid w:val="00D413AA"/>
    <w:rsid w:val="00D4142D"/>
    <w:rsid w:val="00D4153C"/>
    <w:rsid w:val="00D4163D"/>
    <w:rsid w:val="00D41663"/>
    <w:rsid w:val="00D41715"/>
    <w:rsid w:val="00D41766"/>
    <w:rsid w:val="00D4176F"/>
    <w:rsid w:val="00D41782"/>
    <w:rsid w:val="00D417F5"/>
    <w:rsid w:val="00D41A66"/>
    <w:rsid w:val="00D41B61"/>
    <w:rsid w:val="00D41D02"/>
    <w:rsid w:val="00D41D10"/>
    <w:rsid w:val="00D41D83"/>
    <w:rsid w:val="00D41E7C"/>
    <w:rsid w:val="00D41E87"/>
    <w:rsid w:val="00D42110"/>
    <w:rsid w:val="00D422B1"/>
    <w:rsid w:val="00D422BD"/>
    <w:rsid w:val="00D426C3"/>
    <w:rsid w:val="00D426ED"/>
    <w:rsid w:val="00D428CE"/>
    <w:rsid w:val="00D42B71"/>
    <w:rsid w:val="00D42E5F"/>
    <w:rsid w:val="00D42EF3"/>
    <w:rsid w:val="00D42F1E"/>
    <w:rsid w:val="00D430CA"/>
    <w:rsid w:val="00D434E8"/>
    <w:rsid w:val="00D4372F"/>
    <w:rsid w:val="00D43822"/>
    <w:rsid w:val="00D43940"/>
    <w:rsid w:val="00D439D0"/>
    <w:rsid w:val="00D43ACF"/>
    <w:rsid w:val="00D43BD2"/>
    <w:rsid w:val="00D43C64"/>
    <w:rsid w:val="00D43FD4"/>
    <w:rsid w:val="00D44051"/>
    <w:rsid w:val="00D441E1"/>
    <w:rsid w:val="00D44371"/>
    <w:rsid w:val="00D445A7"/>
    <w:rsid w:val="00D44618"/>
    <w:rsid w:val="00D44B15"/>
    <w:rsid w:val="00D44DBC"/>
    <w:rsid w:val="00D45009"/>
    <w:rsid w:val="00D4504A"/>
    <w:rsid w:val="00D45062"/>
    <w:rsid w:val="00D4529C"/>
    <w:rsid w:val="00D45361"/>
    <w:rsid w:val="00D4559E"/>
    <w:rsid w:val="00D455E4"/>
    <w:rsid w:val="00D4567B"/>
    <w:rsid w:val="00D457F4"/>
    <w:rsid w:val="00D4582D"/>
    <w:rsid w:val="00D4593B"/>
    <w:rsid w:val="00D45BC7"/>
    <w:rsid w:val="00D45BD5"/>
    <w:rsid w:val="00D45C6D"/>
    <w:rsid w:val="00D45C93"/>
    <w:rsid w:val="00D45D2A"/>
    <w:rsid w:val="00D45D43"/>
    <w:rsid w:val="00D45E93"/>
    <w:rsid w:val="00D45EB5"/>
    <w:rsid w:val="00D45F66"/>
    <w:rsid w:val="00D46775"/>
    <w:rsid w:val="00D468E4"/>
    <w:rsid w:val="00D46983"/>
    <w:rsid w:val="00D46AB4"/>
    <w:rsid w:val="00D46B53"/>
    <w:rsid w:val="00D46C9D"/>
    <w:rsid w:val="00D46E9B"/>
    <w:rsid w:val="00D470F8"/>
    <w:rsid w:val="00D471ED"/>
    <w:rsid w:val="00D4727E"/>
    <w:rsid w:val="00D47305"/>
    <w:rsid w:val="00D4730E"/>
    <w:rsid w:val="00D47329"/>
    <w:rsid w:val="00D475ED"/>
    <w:rsid w:val="00D4773D"/>
    <w:rsid w:val="00D478DD"/>
    <w:rsid w:val="00D47C50"/>
    <w:rsid w:val="00D47C86"/>
    <w:rsid w:val="00D47CBB"/>
    <w:rsid w:val="00D50047"/>
    <w:rsid w:val="00D5017A"/>
    <w:rsid w:val="00D504E7"/>
    <w:rsid w:val="00D50562"/>
    <w:rsid w:val="00D505C2"/>
    <w:rsid w:val="00D506AC"/>
    <w:rsid w:val="00D50949"/>
    <w:rsid w:val="00D509FD"/>
    <w:rsid w:val="00D50ACE"/>
    <w:rsid w:val="00D50C0B"/>
    <w:rsid w:val="00D51021"/>
    <w:rsid w:val="00D5130F"/>
    <w:rsid w:val="00D514A3"/>
    <w:rsid w:val="00D515C0"/>
    <w:rsid w:val="00D517B3"/>
    <w:rsid w:val="00D517BB"/>
    <w:rsid w:val="00D51820"/>
    <w:rsid w:val="00D5186E"/>
    <w:rsid w:val="00D518C0"/>
    <w:rsid w:val="00D518DD"/>
    <w:rsid w:val="00D51984"/>
    <w:rsid w:val="00D519B5"/>
    <w:rsid w:val="00D519BB"/>
    <w:rsid w:val="00D51A09"/>
    <w:rsid w:val="00D51DA3"/>
    <w:rsid w:val="00D51DDA"/>
    <w:rsid w:val="00D51EE7"/>
    <w:rsid w:val="00D51FB2"/>
    <w:rsid w:val="00D52050"/>
    <w:rsid w:val="00D52283"/>
    <w:rsid w:val="00D522DA"/>
    <w:rsid w:val="00D52382"/>
    <w:rsid w:val="00D523C1"/>
    <w:rsid w:val="00D524EF"/>
    <w:rsid w:val="00D52636"/>
    <w:rsid w:val="00D526D6"/>
    <w:rsid w:val="00D52821"/>
    <w:rsid w:val="00D52C4C"/>
    <w:rsid w:val="00D52D33"/>
    <w:rsid w:val="00D531B2"/>
    <w:rsid w:val="00D535CE"/>
    <w:rsid w:val="00D53636"/>
    <w:rsid w:val="00D53644"/>
    <w:rsid w:val="00D5369D"/>
    <w:rsid w:val="00D53870"/>
    <w:rsid w:val="00D53932"/>
    <w:rsid w:val="00D53960"/>
    <w:rsid w:val="00D53AD9"/>
    <w:rsid w:val="00D53BA7"/>
    <w:rsid w:val="00D53CB8"/>
    <w:rsid w:val="00D53D5B"/>
    <w:rsid w:val="00D54273"/>
    <w:rsid w:val="00D54275"/>
    <w:rsid w:val="00D544DD"/>
    <w:rsid w:val="00D54670"/>
    <w:rsid w:val="00D5467C"/>
    <w:rsid w:val="00D546AC"/>
    <w:rsid w:val="00D547FC"/>
    <w:rsid w:val="00D548BD"/>
    <w:rsid w:val="00D548DB"/>
    <w:rsid w:val="00D54978"/>
    <w:rsid w:val="00D549D5"/>
    <w:rsid w:val="00D54AC3"/>
    <w:rsid w:val="00D54B55"/>
    <w:rsid w:val="00D5532B"/>
    <w:rsid w:val="00D553EA"/>
    <w:rsid w:val="00D559F1"/>
    <w:rsid w:val="00D55A26"/>
    <w:rsid w:val="00D55B62"/>
    <w:rsid w:val="00D56109"/>
    <w:rsid w:val="00D5615F"/>
    <w:rsid w:val="00D561EE"/>
    <w:rsid w:val="00D56341"/>
    <w:rsid w:val="00D56485"/>
    <w:rsid w:val="00D564B5"/>
    <w:rsid w:val="00D5661B"/>
    <w:rsid w:val="00D56886"/>
    <w:rsid w:val="00D568A2"/>
    <w:rsid w:val="00D56999"/>
    <w:rsid w:val="00D56CF4"/>
    <w:rsid w:val="00D56D4C"/>
    <w:rsid w:val="00D56D55"/>
    <w:rsid w:val="00D56D6D"/>
    <w:rsid w:val="00D56DA2"/>
    <w:rsid w:val="00D56F51"/>
    <w:rsid w:val="00D57014"/>
    <w:rsid w:val="00D573A4"/>
    <w:rsid w:val="00D57562"/>
    <w:rsid w:val="00D575A8"/>
    <w:rsid w:val="00D5760E"/>
    <w:rsid w:val="00D576E1"/>
    <w:rsid w:val="00D57708"/>
    <w:rsid w:val="00D57853"/>
    <w:rsid w:val="00D57B47"/>
    <w:rsid w:val="00D57B59"/>
    <w:rsid w:val="00D57BFA"/>
    <w:rsid w:val="00D57CBD"/>
    <w:rsid w:val="00D57DF4"/>
    <w:rsid w:val="00D57FB9"/>
    <w:rsid w:val="00D60031"/>
    <w:rsid w:val="00D60336"/>
    <w:rsid w:val="00D603A7"/>
    <w:rsid w:val="00D6045C"/>
    <w:rsid w:val="00D6050E"/>
    <w:rsid w:val="00D605B0"/>
    <w:rsid w:val="00D60969"/>
    <w:rsid w:val="00D60ADF"/>
    <w:rsid w:val="00D60C59"/>
    <w:rsid w:val="00D60C86"/>
    <w:rsid w:val="00D60D74"/>
    <w:rsid w:val="00D60E7A"/>
    <w:rsid w:val="00D60EA5"/>
    <w:rsid w:val="00D60F6A"/>
    <w:rsid w:val="00D610E7"/>
    <w:rsid w:val="00D612FA"/>
    <w:rsid w:val="00D61324"/>
    <w:rsid w:val="00D61326"/>
    <w:rsid w:val="00D6156B"/>
    <w:rsid w:val="00D61594"/>
    <w:rsid w:val="00D61610"/>
    <w:rsid w:val="00D6165B"/>
    <w:rsid w:val="00D61693"/>
    <w:rsid w:val="00D61962"/>
    <w:rsid w:val="00D619A7"/>
    <w:rsid w:val="00D619B5"/>
    <w:rsid w:val="00D619DC"/>
    <w:rsid w:val="00D61DE1"/>
    <w:rsid w:val="00D61EB3"/>
    <w:rsid w:val="00D61F27"/>
    <w:rsid w:val="00D6200E"/>
    <w:rsid w:val="00D621A1"/>
    <w:rsid w:val="00D621DE"/>
    <w:rsid w:val="00D62500"/>
    <w:rsid w:val="00D6257A"/>
    <w:rsid w:val="00D62800"/>
    <w:rsid w:val="00D6290D"/>
    <w:rsid w:val="00D6291E"/>
    <w:rsid w:val="00D62D7E"/>
    <w:rsid w:val="00D630E0"/>
    <w:rsid w:val="00D63174"/>
    <w:rsid w:val="00D63195"/>
    <w:rsid w:val="00D631C3"/>
    <w:rsid w:val="00D632DA"/>
    <w:rsid w:val="00D63468"/>
    <w:rsid w:val="00D63487"/>
    <w:rsid w:val="00D634A3"/>
    <w:rsid w:val="00D634AF"/>
    <w:rsid w:val="00D634BA"/>
    <w:rsid w:val="00D6357E"/>
    <w:rsid w:val="00D635E7"/>
    <w:rsid w:val="00D63A34"/>
    <w:rsid w:val="00D63C32"/>
    <w:rsid w:val="00D63EFB"/>
    <w:rsid w:val="00D6403B"/>
    <w:rsid w:val="00D64099"/>
    <w:rsid w:val="00D640B5"/>
    <w:rsid w:val="00D6413C"/>
    <w:rsid w:val="00D64340"/>
    <w:rsid w:val="00D6460E"/>
    <w:rsid w:val="00D648FB"/>
    <w:rsid w:val="00D64909"/>
    <w:rsid w:val="00D6499E"/>
    <w:rsid w:val="00D64AA6"/>
    <w:rsid w:val="00D64AB8"/>
    <w:rsid w:val="00D64BD3"/>
    <w:rsid w:val="00D64CB2"/>
    <w:rsid w:val="00D64CF5"/>
    <w:rsid w:val="00D64D2D"/>
    <w:rsid w:val="00D64D68"/>
    <w:rsid w:val="00D64DDB"/>
    <w:rsid w:val="00D64EB5"/>
    <w:rsid w:val="00D64ED0"/>
    <w:rsid w:val="00D65130"/>
    <w:rsid w:val="00D6516C"/>
    <w:rsid w:val="00D65370"/>
    <w:rsid w:val="00D65824"/>
    <w:rsid w:val="00D6592E"/>
    <w:rsid w:val="00D65AAE"/>
    <w:rsid w:val="00D65B14"/>
    <w:rsid w:val="00D65BC4"/>
    <w:rsid w:val="00D65C8D"/>
    <w:rsid w:val="00D65D63"/>
    <w:rsid w:val="00D65F41"/>
    <w:rsid w:val="00D6615B"/>
    <w:rsid w:val="00D662D6"/>
    <w:rsid w:val="00D662FF"/>
    <w:rsid w:val="00D6666A"/>
    <w:rsid w:val="00D6673F"/>
    <w:rsid w:val="00D6680F"/>
    <w:rsid w:val="00D66843"/>
    <w:rsid w:val="00D6695C"/>
    <w:rsid w:val="00D669A7"/>
    <w:rsid w:val="00D66A9B"/>
    <w:rsid w:val="00D66AA2"/>
    <w:rsid w:val="00D66B56"/>
    <w:rsid w:val="00D66C28"/>
    <w:rsid w:val="00D66EC5"/>
    <w:rsid w:val="00D66ECA"/>
    <w:rsid w:val="00D66F23"/>
    <w:rsid w:val="00D672FD"/>
    <w:rsid w:val="00D67557"/>
    <w:rsid w:val="00D6757B"/>
    <w:rsid w:val="00D67644"/>
    <w:rsid w:val="00D67728"/>
    <w:rsid w:val="00D6782D"/>
    <w:rsid w:val="00D6784B"/>
    <w:rsid w:val="00D6796F"/>
    <w:rsid w:val="00D67995"/>
    <w:rsid w:val="00D679C1"/>
    <w:rsid w:val="00D67A4E"/>
    <w:rsid w:val="00D67F9D"/>
    <w:rsid w:val="00D70181"/>
    <w:rsid w:val="00D702F9"/>
    <w:rsid w:val="00D7033F"/>
    <w:rsid w:val="00D7056C"/>
    <w:rsid w:val="00D70578"/>
    <w:rsid w:val="00D70860"/>
    <w:rsid w:val="00D7092E"/>
    <w:rsid w:val="00D7093B"/>
    <w:rsid w:val="00D7093F"/>
    <w:rsid w:val="00D709D6"/>
    <w:rsid w:val="00D70B3F"/>
    <w:rsid w:val="00D7129F"/>
    <w:rsid w:val="00D713AB"/>
    <w:rsid w:val="00D71673"/>
    <w:rsid w:val="00D71732"/>
    <w:rsid w:val="00D71864"/>
    <w:rsid w:val="00D71912"/>
    <w:rsid w:val="00D71987"/>
    <w:rsid w:val="00D719B3"/>
    <w:rsid w:val="00D71A2D"/>
    <w:rsid w:val="00D71B98"/>
    <w:rsid w:val="00D71C36"/>
    <w:rsid w:val="00D71DA6"/>
    <w:rsid w:val="00D71EB6"/>
    <w:rsid w:val="00D720D7"/>
    <w:rsid w:val="00D72413"/>
    <w:rsid w:val="00D7247F"/>
    <w:rsid w:val="00D72576"/>
    <w:rsid w:val="00D72580"/>
    <w:rsid w:val="00D725ED"/>
    <w:rsid w:val="00D727CE"/>
    <w:rsid w:val="00D728C7"/>
    <w:rsid w:val="00D728F0"/>
    <w:rsid w:val="00D72D72"/>
    <w:rsid w:val="00D72E07"/>
    <w:rsid w:val="00D7341D"/>
    <w:rsid w:val="00D734C5"/>
    <w:rsid w:val="00D73610"/>
    <w:rsid w:val="00D73635"/>
    <w:rsid w:val="00D7380A"/>
    <w:rsid w:val="00D73811"/>
    <w:rsid w:val="00D73A1A"/>
    <w:rsid w:val="00D73ADA"/>
    <w:rsid w:val="00D73E35"/>
    <w:rsid w:val="00D73EC6"/>
    <w:rsid w:val="00D73F93"/>
    <w:rsid w:val="00D73FDD"/>
    <w:rsid w:val="00D7414A"/>
    <w:rsid w:val="00D7423A"/>
    <w:rsid w:val="00D743B3"/>
    <w:rsid w:val="00D74481"/>
    <w:rsid w:val="00D7456B"/>
    <w:rsid w:val="00D746F3"/>
    <w:rsid w:val="00D74856"/>
    <w:rsid w:val="00D748BF"/>
    <w:rsid w:val="00D7493B"/>
    <w:rsid w:val="00D7493F"/>
    <w:rsid w:val="00D74A54"/>
    <w:rsid w:val="00D74D4F"/>
    <w:rsid w:val="00D74DFD"/>
    <w:rsid w:val="00D74E3B"/>
    <w:rsid w:val="00D74E6D"/>
    <w:rsid w:val="00D74F66"/>
    <w:rsid w:val="00D74F99"/>
    <w:rsid w:val="00D74F9D"/>
    <w:rsid w:val="00D74FF5"/>
    <w:rsid w:val="00D750ED"/>
    <w:rsid w:val="00D75158"/>
    <w:rsid w:val="00D753A4"/>
    <w:rsid w:val="00D7541D"/>
    <w:rsid w:val="00D75605"/>
    <w:rsid w:val="00D757AD"/>
    <w:rsid w:val="00D7596D"/>
    <w:rsid w:val="00D75A8E"/>
    <w:rsid w:val="00D75B0C"/>
    <w:rsid w:val="00D75B36"/>
    <w:rsid w:val="00D75B8B"/>
    <w:rsid w:val="00D75C06"/>
    <w:rsid w:val="00D75C5F"/>
    <w:rsid w:val="00D75E1E"/>
    <w:rsid w:val="00D760DA"/>
    <w:rsid w:val="00D7624E"/>
    <w:rsid w:val="00D76256"/>
    <w:rsid w:val="00D7629E"/>
    <w:rsid w:val="00D762AE"/>
    <w:rsid w:val="00D762C2"/>
    <w:rsid w:val="00D76415"/>
    <w:rsid w:val="00D76695"/>
    <w:rsid w:val="00D76A97"/>
    <w:rsid w:val="00D76F1C"/>
    <w:rsid w:val="00D77058"/>
    <w:rsid w:val="00D7714B"/>
    <w:rsid w:val="00D77206"/>
    <w:rsid w:val="00D77364"/>
    <w:rsid w:val="00D77377"/>
    <w:rsid w:val="00D77439"/>
    <w:rsid w:val="00D77471"/>
    <w:rsid w:val="00D77539"/>
    <w:rsid w:val="00D77641"/>
    <w:rsid w:val="00D77718"/>
    <w:rsid w:val="00D779EF"/>
    <w:rsid w:val="00D77AA1"/>
    <w:rsid w:val="00D77B01"/>
    <w:rsid w:val="00D77BFD"/>
    <w:rsid w:val="00D77DFF"/>
    <w:rsid w:val="00D77E6A"/>
    <w:rsid w:val="00D77E94"/>
    <w:rsid w:val="00D77E97"/>
    <w:rsid w:val="00D77E9B"/>
    <w:rsid w:val="00D77ECF"/>
    <w:rsid w:val="00D80165"/>
    <w:rsid w:val="00D80313"/>
    <w:rsid w:val="00D803C4"/>
    <w:rsid w:val="00D8059C"/>
    <w:rsid w:val="00D8086E"/>
    <w:rsid w:val="00D80AF7"/>
    <w:rsid w:val="00D80B1F"/>
    <w:rsid w:val="00D80CD9"/>
    <w:rsid w:val="00D80D0E"/>
    <w:rsid w:val="00D80E0E"/>
    <w:rsid w:val="00D80EDD"/>
    <w:rsid w:val="00D81036"/>
    <w:rsid w:val="00D8115C"/>
    <w:rsid w:val="00D81237"/>
    <w:rsid w:val="00D81350"/>
    <w:rsid w:val="00D8154D"/>
    <w:rsid w:val="00D81596"/>
    <w:rsid w:val="00D815DD"/>
    <w:rsid w:val="00D8172D"/>
    <w:rsid w:val="00D817EC"/>
    <w:rsid w:val="00D81A35"/>
    <w:rsid w:val="00D81B2E"/>
    <w:rsid w:val="00D81C93"/>
    <w:rsid w:val="00D81E6B"/>
    <w:rsid w:val="00D81EE1"/>
    <w:rsid w:val="00D81FCC"/>
    <w:rsid w:val="00D820F9"/>
    <w:rsid w:val="00D8213F"/>
    <w:rsid w:val="00D821A5"/>
    <w:rsid w:val="00D82242"/>
    <w:rsid w:val="00D82308"/>
    <w:rsid w:val="00D8233B"/>
    <w:rsid w:val="00D82446"/>
    <w:rsid w:val="00D824C1"/>
    <w:rsid w:val="00D825B4"/>
    <w:rsid w:val="00D826C9"/>
    <w:rsid w:val="00D826D6"/>
    <w:rsid w:val="00D826F6"/>
    <w:rsid w:val="00D82A19"/>
    <w:rsid w:val="00D82C82"/>
    <w:rsid w:val="00D82F97"/>
    <w:rsid w:val="00D82FF1"/>
    <w:rsid w:val="00D8320A"/>
    <w:rsid w:val="00D8330A"/>
    <w:rsid w:val="00D83378"/>
    <w:rsid w:val="00D833A4"/>
    <w:rsid w:val="00D833B9"/>
    <w:rsid w:val="00D83455"/>
    <w:rsid w:val="00D83473"/>
    <w:rsid w:val="00D8352A"/>
    <w:rsid w:val="00D8357E"/>
    <w:rsid w:val="00D835A4"/>
    <w:rsid w:val="00D8360C"/>
    <w:rsid w:val="00D8361A"/>
    <w:rsid w:val="00D83673"/>
    <w:rsid w:val="00D83747"/>
    <w:rsid w:val="00D8375D"/>
    <w:rsid w:val="00D839FE"/>
    <w:rsid w:val="00D83D86"/>
    <w:rsid w:val="00D83FAC"/>
    <w:rsid w:val="00D8409C"/>
    <w:rsid w:val="00D840C2"/>
    <w:rsid w:val="00D84212"/>
    <w:rsid w:val="00D84357"/>
    <w:rsid w:val="00D84394"/>
    <w:rsid w:val="00D849D0"/>
    <w:rsid w:val="00D84A3D"/>
    <w:rsid w:val="00D84BEC"/>
    <w:rsid w:val="00D84D6D"/>
    <w:rsid w:val="00D84D81"/>
    <w:rsid w:val="00D84E4C"/>
    <w:rsid w:val="00D84EC5"/>
    <w:rsid w:val="00D84F4E"/>
    <w:rsid w:val="00D850DF"/>
    <w:rsid w:val="00D85273"/>
    <w:rsid w:val="00D85391"/>
    <w:rsid w:val="00D85407"/>
    <w:rsid w:val="00D85498"/>
    <w:rsid w:val="00D854F3"/>
    <w:rsid w:val="00D85558"/>
    <w:rsid w:val="00D85639"/>
    <w:rsid w:val="00D85C71"/>
    <w:rsid w:val="00D85D89"/>
    <w:rsid w:val="00D85DDE"/>
    <w:rsid w:val="00D85DEB"/>
    <w:rsid w:val="00D85E76"/>
    <w:rsid w:val="00D85E97"/>
    <w:rsid w:val="00D860E3"/>
    <w:rsid w:val="00D86238"/>
    <w:rsid w:val="00D86399"/>
    <w:rsid w:val="00D863B5"/>
    <w:rsid w:val="00D86486"/>
    <w:rsid w:val="00D865DD"/>
    <w:rsid w:val="00D866B3"/>
    <w:rsid w:val="00D866C0"/>
    <w:rsid w:val="00D868D9"/>
    <w:rsid w:val="00D86A46"/>
    <w:rsid w:val="00D86ABC"/>
    <w:rsid w:val="00D86BFD"/>
    <w:rsid w:val="00D86CF2"/>
    <w:rsid w:val="00D86CF6"/>
    <w:rsid w:val="00D86DFD"/>
    <w:rsid w:val="00D86E5B"/>
    <w:rsid w:val="00D87233"/>
    <w:rsid w:val="00D876ED"/>
    <w:rsid w:val="00D8770A"/>
    <w:rsid w:val="00D87944"/>
    <w:rsid w:val="00D87A20"/>
    <w:rsid w:val="00D87AB8"/>
    <w:rsid w:val="00D87DBA"/>
    <w:rsid w:val="00D87EA0"/>
    <w:rsid w:val="00D87F5B"/>
    <w:rsid w:val="00D9006E"/>
    <w:rsid w:val="00D900F0"/>
    <w:rsid w:val="00D90126"/>
    <w:rsid w:val="00D9015B"/>
    <w:rsid w:val="00D9020C"/>
    <w:rsid w:val="00D905E6"/>
    <w:rsid w:val="00D909CC"/>
    <w:rsid w:val="00D90AC3"/>
    <w:rsid w:val="00D90C60"/>
    <w:rsid w:val="00D90C6B"/>
    <w:rsid w:val="00D90DE0"/>
    <w:rsid w:val="00D90DF6"/>
    <w:rsid w:val="00D90F2A"/>
    <w:rsid w:val="00D91084"/>
    <w:rsid w:val="00D911E3"/>
    <w:rsid w:val="00D9124D"/>
    <w:rsid w:val="00D914B0"/>
    <w:rsid w:val="00D915B3"/>
    <w:rsid w:val="00D91667"/>
    <w:rsid w:val="00D918FB"/>
    <w:rsid w:val="00D91910"/>
    <w:rsid w:val="00D91B03"/>
    <w:rsid w:val="00D91C60"/>
    <w:rsid w:val="00D91C71"/>
    <w:rsid w:val="00D91DBC"/>
    <w:rsid w:val="00D91E35"/>
    <w:rsid w:val="00D91E9D"/>
    <w:rsid w:val="00D91F82"/>
    <w:rsid w:val="00D920D8"/>
    <w:rsid w:val="00D92362"/>
    <w:rsid w:val="00D92393"/>
    <w:rsid w:val="00D9262B"/>
    <w:rsid w:val="00D926C3"/>
    <w:rsid w:val="00D92838"/>
    <w:rsid w:val="00D928AA"/>
    <w:rsid w:val="00D9296D"/>
    <w:rsid w:val="00D92B38"/>
    <w:rsid w:val="00D92B9B"/>
    <w:rsid w:val="00D930D7"/>
    <w:rsid w:val="00D93339"/>
    <w:rsid w:val="00D933A2"/>
    <w:rsid w:val="00D93424"/>
    <w:rsid w:val="00D934CB"/>
    <w:rsid w:val="00D9352D"/>
    <w:rsid w:val="00D93541"/>
    <w:rsid w:val="00D93586"/>
    <w:rsid w:val="00D935A5"/>
    <w:rsid w:val="00D937BE"/>
    <w:rsid w:val="00D93895"/>
    <w:rsid w:val="00D93912"/>
    <w:rsid w:val="00D939A4"/>
    <w:rsid w:val="00D93A40"/>
    <w:rsid w:val="00D93B17"/>
    <w:rsid w:val="00D93BE4"/>
    <w:rsid w:val="00D93C12"/>
    <w:rsid w:val="00D93CE8"/>
    <w:rsid w:val="00D93F99"/>
    <w:rsid w:val="00D94423"/>
    <w:rsid w:val="00D947B7"/>
    <w:rsid w:val="00D948DA"/>
    <w:rsid w:val="00D94A0B"/>
    <w:rsid w:val="00D94BF4"/>
    <w:rsid w:val="00D94C62"/>
    <w:rsid w:val="00D94CAB"/>
    <w:rsid w:val="00D94F71"/>
    <w:rsid w:val="00D951E1"/>
    <w:rsid w:val="00D95243"/>
    <w:rsid w:val="00D95489"/>
    <w:rsid w:val="00D95670"/>
    <w:rsid w:val="00D956BE"/>
    <w:rsid w:val="00D956BF"/>
    <w:rsid w:val="00D957E8"/>
    <w:rsid w:val="00D957FC"/>
    <w:rsid w:val="00D95983"/>
    <w:rsid w:val="00D95984"/>
    <w:rsid w:val="00D95A82"/>
    <w:rsid w:val="00D95B30"/>
    <w:rsid w:val="00D95B84"/>
    <w:rsid w:val="00D95B93"/>
    <w:rsid w:val="00D95CB4"/>
    <w:rsid w:val="00D95EA9"/>
    <w:rsid w:val="00D95F03"/>
    <w:rsid w:val="00D96364"/>
    <w:rsid w:val="00D96383"/>
    <w:rsid w:val="00D96418"/>
    <w:rsid w:val="00D9643D"/>
    <w:rsid w:val="00D96474"/>
    <w:rsid w:val="00D96483"/>
    <w:rsid w:val="00D96850"/>
    <w:rsid w:val="00D96874"/>
    <w:rsid w:val="00D96C61"/>
    <w:rsid w:val="00D96E26"/>
    <w:rsid w:val="00D96E2D"/>
    <w:rsid w:val="00D97018"/>
    <w:rsid w:val="00D97180"/>
    <w:rsid w:val="00D9718F"/>
    <w:rsid w:val="00D97390"/>
    <w:rsid w:val="00D97471"/>
    <w:rsid w:val="00D974B7"/>
    <w:rsid w:val="00D974C8"/>
    <w:rsid w:val="00D974F7"/>
    <w:rsid w:val="00D97508"/>
    <w:rsid w:val="00D9759A"/>
    <w:rsid w:val="00D97664"/>
    <w:rsid w:val="00D97C15"/>
    <w:rsid w:val="00D97D65"/>
    <w:rsid w:val="00D97E30"/>
    <w:rsid w:val="00D97EF9"/>
    <w:rsid w:val="00D97F43"/>
    <w:rsid w:val="00D97FE4"/>
    <w:rsid w:val="00DA00FA"/>
    <w:rsid w:val="00DA01FE"/>
    <w:rsid w:val="00DA03E0"/>
    <w:rsid w:val="00DA058A"/>
    <w:rsid w:val="00DA05B2"/>
    <w:rsid w:val="00DA0887"/>
    <w:rsid w:val="00DA0930"/>
    <w:rsid w:val="00DA0C1E"/>
    <w:rsid w:val="00DA0CB7"/>
    <w:rsid w:val="00DA0DEE"/>
    <w:rsid w:val="00DA117B"/>
    <w:rsid w:val="00DA119E"/>
    <w:rsid w:val="00DA11A4"/>
    <w:rsid w:val="00DA13D8"/>
    <w:rsid w:val="00DA14CA"/>
    <w:rsid w:val="00DA1502"/>
    <w:rsid w:val="00DA1909"/>
    <w:rsid w:val="00DA1951"/>
    <w:rsid w:val="00DA198F"/>
    <w:rsid w:val="00DA1A70"/>
    <w:rsid w:val="00DA1BA1"/>
    <w:rsid w:val="00DA1C62"/>
    <w:rsid w:val="00DA1D50"/>
    <w:rsid w:val="00DA1E01"/>
    <w:rsid w:val="00DA1F21"/>
    <w:rsid w:val="00DA2073"/>
    <w:rsid w:val="00DA20B7"/>
    <w:rsid w:val="00DA210D"/>
    <w:rsid w:val="00DA2161"/>
    <w:rsid w:val="00DA21FC"/>
    <w:rsid w:val="00DA228F"/>
    <w:rsid w:val="00DA234E"/>
    <w:rsid w:val="00DA2856"/>
    <w:rsid w:val="00DA2893"/>
    <w:rsid w:val="00DA2971"/>
    <w:rsid w:val="00DA2A9F"/>
    <w:rsid w:val="00DA2BDA"/>
    <w:rsid w:val="00DA2C43"/>
    <w:rsid w:val="00DA2E2F"/>
    <w:rsid w:val="00DA308D"/>
    <w:rsid w:val="00DA30C7"/>
    <w:rsid w:val="00DA3578"/>
    <w:rsid w:val="00DA39D0"/>
    <w:rsid w:val="00DA3A9A"/>
    <w:rsid w:val="00DA3AAC"/>
    <w:rsid w:val="00DA3AFB"/>
    <w:rsid w:val="00DA3BF4"/>
    <w:rsid w:val="00DA3CC0"/>
    <w:rsid w:val="00DA3D28"/>
    <w:rsid w:val="00DA3E21"/>
    <w:rsid w:val="00DA3F68"/>
    <w:rsid w:val="00DA40B7"/>
    <w:rsid w:val="00DA40F2"/>
    <w:rsid w:val="00DA41E2"/>
    <w:rsid w:val="00DA425E"/>
    <w:rsid w:val="00DA437B"/>
    <w:rsid w:val="00DA489C"/>
    <w:rsid w:val="00DA4985"/>
    <w:rsid w:val="00DA499B"/>
    <w:rsid w:val="00DA49F0"/>
    <w:rsid w:val="00DA4C7A"/>
    <w:rsid w:val="00DA4C96"/>
    <w:rsid w:val="00DA4D27"/>
    <w:rsid w:val="00DA4D6E"/>
    <w:rsid w:val="00DA4DA4"/>
    <w:rsid w:val="00DA4DCD"/>
    <w:rsid w:val="00DA4F32"/>
    <w:rsid w:val="00DA5027"/>
    <w:rsid w:val="00DA502C"/>
    <w:rsid w:val="00DA50B3"/>
    <w:rsid w:val="00DA53BB"/>
    <w:rsid w:val="00DA5427"/>
    <w:rsid w:val="00DA55C4"/>
    <w:rsid w:val="00DA55F0"/>
    <w:rsid w:val="00DA576A"/>
    <w:rsid w:val="00DA58A1"/>
    <w:rsid w:val="00DA5F4B"/>
    <w:rsid w:val="00DA622E"/>
    <w:rsid w:val="00DA625C"/>
    <w:rsid w:val="00DA634D"/>
    <w:rsid w:val="00DA63A8"/>
    <w:rsid w:val="00DA6563"/>
    <w:rsid w:val="00DA6594"/>
    <w:rsid w:val="00DA65B2"/>
    <w:rsid w:val="00DA66D4"/>
    <w:rsid w:val="00DA67E4"/>
    <w:rsid w:val="00DA68A5"/>
    <w:rsid w:val="00DA6938"/>
    <w:rsid w:val="00DA6A13"/>
    <w:rsid w:val="00DA6DCC"/>
    <w:rsid w:val="00DA6F17"/>
    <w:rsid w:val="00DA6F34"/>
    <w:rsid w:val="00DA6F7B"/>
    <w:rsid w:val="00DA710C"/>
    <w:rsid w:val="00DA753D"/>
    <w:rsid w:val="00DA7680"/>
    <w:rsid w:val="00DA76E5"/>
    <w:rsid w:val="00DA77C9"/>
    <w:rsid w:val="00DA77FD"/>
    <w:rsid w:val="00DA7940"/>
    <w:rsid w:val="00DA7A0C"/>
    <w:rsid w:val="00DA7B96"/>
    <w:rsid w:val="00DA7C5C"/>
    <w:rsid w:val="00DA7DB1"/>
    <w:rsid w:val="00DB004F"/>
    <w:rsid w:val="00DB0129"/>
    <w:rsid w:val="00DB01AE"/>
    <w:rsid w:val="00DB0392"/>
    <w:rsid w:val="00DB0505"/>
    <w:rsid w:val="00DB08EE"/>
    <w:rsid w:val="00DB0A2B"/>
    <w:rsid w:val="00DB0B93"/>
    <w:rsid w:val="00DB0BD1"/>
    <w:rsid w:val="00DB0C85"/>
    <w:rsid w:val="00DB0E88"/>
    <w:rsid w:val="00DB0F36"/>
    <w:rsid w:val="00DB10CC"/>
    <w:rsid w:val="00DB110A"/>
    <w:rsid w:val="00DB1122"/>
    <w:rsid w:val="00DB1132"/>
    <w:rsid w:val="00DB1277"/>
    <w:rsid w:val="00DB12DB"/>
    <w:rsid w:val="00DB1513"/>
    <w:rsid w:val="00DB1797"/>
    <w:rsid w:val="00DB1802"/>
    <w:rsid w:val="00DB1A30"/>
    <w:rsid w:val="00DB1B46"/>
    <w:rsid w:val="00DB1C3F"/>
    <w:rsid w:val="00DB1CCD"/>
    <w:rsid w:val="00DB1F0E"/>
    <w:rsid w:val="00DB21EE"/>
    <w:rsid w:val="00DB2257"/>
    <w:rsid w:val="00DB243A"/>
    <w:rsid w:val="00DB264F"/>
    <w:rsid w:val="00DB2685"/>
    <w:rsid w:val="00DB2716"/>
    <w:rsid w:val="00DB287D"/>
    <w:rsid w:val="00DB28FB"/>
    <w:rsid w:val="00DB2A65"/>
    <w:rsid w:val="00DB2C10"/>
    <w:rsid w:val="00DB2C12"/>
    <w:rsid w:val="00DB2DDF"/>
    <w:rsid w:val="00DB2FB0"/>
    <w:rsid w:val="00DB300F"/>
    <w:rsid w:val="00DB3100"/>
    <w:rsid w:val="00DB32BB"/>
    <w:rsid w:val="00DB3395"/>
    <w:rsid w:val="00DB375A"/>
    <w:rsid w:val="00DB3768"/>
    <w:rsid w:val="00DB3C2D"/>
    <w:rsid w:val="00DB3ECA"/>
    <w:rsid w:val="00DB3EFD"/>
    <w:rsid w:val="00DB40C2"/>
    <w:rsid w:val="00DB4293"/>
    <w:rsid w:val="00DB459B"/>
    <w:rsid w:val="00DB4754"/>
    <w:rsid w:val="00DB47A0"/>
    <w:rsid w:val="00DB47C4"/>
    <w:rsid w:val="00DB4AFE"/>
    <w:rsid w:val="00DB4BBA"/>
    <w:rsid w:val="00DB4D44"/>
    <w:rsid w:val="00DB518E"/>
    <w:rsid w:val="00DB51F3"/>
    <w:rsid w:val="00DB52CA"/>
    <w:rsid w:val="00DB5513"/>
    <w:rsid w:val="00DB5559"/>
    <w:rsid w:val="00DB5681"/>
    <w:rsid w:val="00DB56AC"/>
    <w:rsid w:val="00DB5761"/>
    <w:rsid w:val="00DB5945"/>
    <w:rsid w:val="00DB5A71"/>
    <w:rsid w:val="00DB5B3E"/>
    <w:rsid w:val="00DB5FAE"/>
    <w:rsid w:val="00DB639D"/>
    <w:rsid w:val="00DB6543"/>
    <w:rsid w:val="00DB6574"/>
    <w:rsid w:val="00DB6703"/>
    <w:rsid w:val="00DB6769"/>
    <w:rsid w:val="00DB6838"/>
    <w:rsid w:val="00DB693D"/>
    <w:rsid w:val="00DB6AC1"/>
    <w:rsid w:val="00DB6CAB"/>
    <w:rsid w:val="00DB6D6E"/>
    <w:rsid w:val="00DB7071"/>
    <w:rsid w:val="00DB70DC"/>
    <w:rsid w:val="00DB70FD"/>
    <w:rsid w:val="00DB730F"/>
    <w:rsid w:val="00DB742D"/>
    <w:rsid w:val="00DB7529"/>
    <w:rsid w:val="00DB7585"/>
    <w:rsid w:val="00DB778C"/>
    <w:rsid w:val="00DB783E"/>
    <w:rsid w:val="00DB7940"/>
    <w:rsid w:val="00DB795A"/>
    <w:rsid w:val="00DB7973"/>
    <w:rsid w:val="00DB7B43"/>
    <w:rsid w:val="00DB7B66"/>
    <w:rsid w:val="00DB7C17"/>
    <w:rsid w:val="00DB7C89"/>
    <w:rsid w:val="00DB7D63"/>
    <w:rsid w:val="00DB7DDB"/>
    <w:rsid w:val="00DB7E8C"/>
    <w:rsid w:val="00DB7EC2"/>
    <w:rsid w:val="00DB7EFF"/>
    <w:rsid w:val="00DC0244"/>
    <w:rsid w:val="00DC031B"/>
    <w:rsid w:val="00DC04B1"/>
    <w:rsid w:val="00DC055D"/>
    <w:rsid w:val="00DC0632"/>
    <w:rsid w:val="00DC0884"/>
    <w:rsid w:val="00DC09DE"/>
    <w:rsid w:val="00DC0A1C"/>
    <w:rsid w:val="00DC0B11"/>
    <w:rsid w:val="00DC0C58"/>
    <w:rsid w:val="00DC0CD7"/>
    <w:rsid w:val="00DC0DDF"/>
    <w:rsid w:val="00DC0F8A"/>
    <w:rsid w:val="00DC0F94"/>
    <w:rsid w:val="00DC12DB"/>
    <w:rsid w:val="00DC14A3"/>
    <w:rsid w:val="00DC153E"/>
    <w:rsid w:val="00DC1566"/>
    <w:rsid w:val="00DC158C"/>
    <w:rsid w:val="00DC15A1"/>
    <w:rsid w:val="00DC16AA"/>
    <w:rsid w:val="00DC1827"/>
    <w:rsid w:val="00DC18C7"/>
    <w:rsid w:val="00DC1929"/>
    <w:rsid w:val="00DC1B23"/>
    <w:rsid w:val="00DC1C35"/>
    <w:rsid w:val="00DC1E6C"/>
    <w:rsid w:val="00DC1EF8"/>
    <w:rsid w:val="00DC23BC"/>
    <w:rsid w:val="00DC2427"/>
    <w:rsid w:val="00DC2437"/>
    <w:rsid w:val="00DC2560"/>
    <w:rsid w:val="00DC2739"/>
    <w:rsid w:val="00DC2798"/>
    <w:rsid w:val="00DC2880"/>
    <w:rsid w:val="00DC28E9"/>
    <w:rsid w:val="00DC2AA1"/>
    <w:rsid w:val="00DC2B26"/>
    <w:rsid w:val="00DC2C8B"/>
    <w:rsid w:val="00DC2DC3"/>
    <w:rsid w:val="00DC2E34"/>
    <w:rsid w:val="00DC2EED"/>
    <w:rsid w:val="00DC2F6A"/>
    <w:rsid w:val="00DC309A"/>
    <w:rsid w:val="00DC3253"/>
    <w:rsid w:val="00DC33F3"/>
    <w:rsid w:val="00DC34CA"/>
    <w:rsid w:val="00DC34F8"/>
    <w:rsid w:val="00DC3527"/>
    <w:rsid w:val="00DC3545"/>
    <w:rsid w:val="00DC35C5"/>
    <w:rsid w:val="00DC36BB"/>
    <w:rsid w:val="00DC371C"/>
    <w:rsid w:val="00DC375E"/>
    <w:rsid w:val="00DC3928"/>
    <w:rsid w:val="00DC3937"/>
    <w:rsid w:val="00DC397C"/>
    <w:rsid w:val="00DC3AFD"/>
    <w:rsid w:val="00DC3C01"/>
    <w:rsid w:val="00DC3C68"/>
    <w:rsid w:val="00DC3D72"/>
    <w:rsid w:val="00DC3E62"/>
    <w:rsid w:val="00DC4042"/>
    <w:rsid w:val="00DC4622"/>
    <w:rsid w:val="00DC4902"/>
    <w:rsid w:val="00DC490E"/>
    <w:rsid w:val="00DC4995"/>
    <w:rsid w:val="00DC49B0"/>
    <w:rsid w:val="00DC4B0C"/>
    <w:rsid w:val="00DC4BE5"/>
    <w:rsid w:val="00DC4D77"/>
    <w:rsid w:val="00DC4E69"/>
    <w:rsid w:val="00DC4EA1"/>
    <w:rsid w:val="00DC4FB8"/>
    <w:rsid w:val="00DC5094"/>
    <w:rsid w:val="00DC5106"/>
    <w:rsid w:val="00DC52E4"/>
    <w:rsid w:val="00DC53A9"/>
    <w:rsid w:val="00DC5632"/>
    <w:rsid w:val="00DC566C"/>
    <w:rsid w:val="00DC58F4"/>
    <w:rsid w:val="00DC5CF3"/>
    <w:rsid w:val="00DC5D59"/>
    <w:rsid w:val="00DC60BD"/>
    <w:rsid w:val="00DC61A9"/>
    <w:rsid w:val="00DC64E1"/>
    <w:rsid w:val="00DC64FA"/>
    <w:rsid w:val="00DC65DE"/>
    <w:rsid w:val="00DC66F2"/>
    <w:rsid w:val="00DC69E2"/>
    <w:rsid w:val="00DC6C7D"/>
    <w:rsid w:val="00DC6D0C"/>
    <w:rsid w:val="00DC6D3A"/>
    <w:rsid w:val="00DC6E03"/>
    <w:rsid w:val="00DC6F98"/>
    <w:rsid w:val="00DC7041"/>
    <w:rsid w:val="00DC72C1"/>
    <w:rsid w:val="00DC72C3"/>
    <w:rsid w:val="00DC73A3"/>
    <w:rsid w:val="00DC74DA"/>
    <w:rsid w:val="00DC74E4"/>
    <w:rsid w:val="00DC75EB"/>
    <w:rsid w:val="00DC7792"/>
    <w:rsid w:val="00DC7917"/>
    <w:rsid w:val="00DC7D43"/>
    <w:rsid w:val="00DC7FD3"/>
    <w:rsid w:val="00DC7FE0"/>
    <w:rsid w:val="00DD02FC"/>
    <w:rsid w:val="00DD0AF6"/>
    <w:rsid w:val="00DD0C0F"/>
    <w:rsid w:val="00DD0FCB"/>
    <w:rsid w:val="00DD106B"/>
    <w:rsid w:val="00DD118F"/>
    <w:rsid w:val="00DD1491"/>
    <w:rsid w:val="00DD1556"/>
    <w:rsid w:val="00DD17DF"/>
    <w:rsid w:val="00DD188C"/>
    <w:rsid w:val="00DD1A15"/>
    <w:rsid w:val="00DD1A88"/>
    <w:rsid w:val="00DD1AF0"/>
    <w:rsid w:val="00DD1D37"/>
    <w:rsid w:val="00DD1ED4"/>
    <w:rsid w:val="00DD2625"/>
    <w:rsid w:val="00DD270A"/>
    <w:rsid w:val="00DD27D3"/>
    <w:rsid w:val="00DD2846"/>
    <w:rsid w:val="00DD28AA"/>
    <w:rsid w:val="00DD28F1"/>
    <w:rsid w:val="00DD29D7"/>
    <w:rsid w:val="00DD2AC3"/>
    <w:rsid w:val="00DD2B2F"/>
    <w:rsid w:val="00DD2D5F"/>
    <w:rsid w:val="00DD2DB1"/>
    <w:rsid w:val="00DD3267"/>
    <w:rsid w:val="00DD329D"/>
    <w:rsid w:val="00DD32BE"/>
    <w:rsid w:val="00DD331C"/>
    <w:rsid w:val="00DD340D"/>
    <w:rsid w:val="00DD3527"/>
    <w:rsid w:val="00DD3937"/>
    <w:rsid w:val="00DD3B0B"/>
    <w:rsid w:val="00DD3B40"/>
    <w:rsid w:val="00DD3D30"/>
    <w:rsid w:val="00DD3DF0"/>
    <w:rsid w:val="00DD4041"/>
    <w:rsid w:val="00DD408B"/>
    <w:rsid w:val="00DD4137"/>
    <w:rsid w:val="00DD42FC"/>
    <w:rsid w:val="00DD43B9"/>
    <w:rsid w:val="00DD44B4"/>
    <w:rsid w:val="00DD4810"/>
    <w:rsid w:val="00DD4A24"/>
    <w:rsid w:val="00DD4B99"/>
    <w:rsid w:val="00DD4C49"/>
    <w:rsid w:val="00DD4E76"/>
    <w:rsid w:val="00DD4EE2"/>
    <w:rsid w:val="00DD5010"/>
    <w:rsid w:val="00DD5193"/>
    <w:rsid w:val="00DD530F"/>
    <w:rsid w:val="00DD5A2D"/>
    <w:rsid w:val="00DD5B67"/>
    <w:rsid w:val="00DD5B71"/>
    <w:rsid w:val="00DD5E58"/>
    <w:rsid w:val="00DD5E79"/>
    <w:rsid w:val="00DD5F39"/>
    <w:rsid w:val="00DD6043"/>
    <w:rsid w:val="00DD60F1"/>
    <w:rsid w:val="00DD64DE"/>
    <w:rsid w:val="00DD64F9"/>
    <w:rsid w:val="00DD665A"/>
    <w:rsid w:val="00DD6876"/>
    <w:rsid w:val="00DD6944"/>
    <w:rsid w:val="00DD69AA"/>
    <w:rsid w:val="00DD6A4C"/>
    <w:rsid w:val="00DD6BA4"/>
    <w:rsid w:val="00DD6CC5"/>
    <w:rsid w:val="00DD6DAA"/>
    <w:rsid w:val="00DD7275"/>
    <w:rsid w:val="00DD7418"/>
    <w:rsid w:val="00DD7480"/>
    <w:rsid w:val="00DD7719"/>
    <w:rsid w:val="00DD77DC"/>
    <w:rsid w:val="00DD79CA"/>
    <w:rsid w:val="00DD7BF5"/>
    <w:rsid w:val="00DD7D6E"/>
    <w:rsid w:val="00DD7E22"/>
    <w:rsid w:val="00DD7FBB"/>
    <w:rsid w:val="00DD7FD2"/>
    <w:rsid w:val="00DE063E"/>
    <w:rsid w:val="00DE087F"/>
    <w:rsid w:val="00DE0886"/>
    <w:rsid w:val="00DE0997"/>
    <w:rsid w:val="00DE09B7"/>
    <w:rsid w:val="00DE0A6B"/>
    <w:rsid w:val="00DE0AE7"/>
    <w:rsid w:val="00DE0B84"/>
    <w:rsid w:val="00DE0C0B"/>
    <w:rsid w:val="00DE0C99"/>
    <w:rsid w:val="00DE0E4D"/>
    <w:rsid w:val="00DE0F2D"/>
    <w:rsid w:val="00DE109C"/>
    <w:rsid w:val="00DE13E3"/>
    <w:rsid w:val="00DE1486"/>
    <w:rsid w:val="00DE1497"/>
    <w:rsid w:val="00DE15F2"/>
    <w:rsid w:val="00DE168E"/>
    <w:rsid w:val="00DE191C"/>
    <w:rsid w:val="00DE19E3"/>
    <w:rsid w:val="00DE1C78"/>
    <w:rsid w:val="00DE1CEB"/>
    <w:rsid w:val="00DE1DE1"/>
    <w:rsid w:val="00DE1E03"/>
    <w:rsid w:val="00DE1E49"/>
    <w:rsid w:val="00DE1EDA"/>
    <w:rsid w:val="00DE1FF2"/>
    <w:rsid w:val="00DE220F"/>
    <w:rsid w:val="00DE2222"/>
    <w:rsid w:val="00DE24C7"/>
    <w:rsid w:val="00DE2630"/>
    <w:rsid w:val="00DE27D5"/>
    <w:rsid w:val="00DE28B5"/>
    <w:rsid w:val="00DE2A36"/>
    <w:rsid w:val="00DE2C1F"/>
    <w:rsid w:val="00DE2FC4"/>
    <w:rsid w:val="00DE314A"/>
    <w:rsid w:val="00DE337E"/>
    <w:rsid w:val="00DE353C"/>
    <w:rsid w:val="00DE3620"/>
    <w:rsid w:val="00DE3660"/>
    <w:rsid w:val="00DE368A"/>
    <w:rsid w:val="00DE39D9"/>
    <w:rsid w:val="00DE3B1E"/>
    <w:rsid w:val="00DE3C2F"/>
    <w:rsid w:val="00DE40D1"/>
    <w:rsid w:val="00DE40E6"/>
    <w:rsid w:val="00DE41BA"/>
    <w:rsid w:val="00DE441F"/>
    <w:rsid w:val="00DE4467"/>
    <w:rsid w:val="00DE4495"/>
    <w:rsid w:val="00DE4530"/>
    <w:rsid w:val="00DE4639"/>
    <w:rsid w:val="00DE4743"/>
    <w:rsid w:val="00DE4760"/>
    <w:rsid w:val="00DE47AC"/>
    <w:rsid w:val="00DE4805"/>
    <w:rsid w:val="00DE4854"/>
    <w:rsid w:val="00DE49F4"/>
    <w:rsid w:val="00DE4C55"/>
    <w:rsid w:val="00DE4D82"/>
    <w:rsid w:val="00DE4DFB"/>
    <w:rsid w:val="00DE4FC8"/>
    <w:rsid w:val="00DE4FFD"/>
    <w:rsid w:val="00DE5065"/>
    <w:rsid w:val="00DE518F"/>
    <w:rsid w:val="00DE51FF"/>
    <w:rsid w:val="00DE523B"/>
    <w:rsid w:val="00DE532A"/>
    <w:rsid w:val="00DE56E5"/>
    <w:rsid w:val="00DE5941"/>
    <w:rsid w:val="00DE598B"/>
    <w:rsid w:val="00DE5A1A"/>
    <w:rsid w:val="00DE5A51"/>
    <w:rsid w:val="00DE5A6B"/>
    <w:rsid w:val="00DE5B99"/>
    <w:rsid w:val="00DE5BCF"/>
    <w:rsid w:val="00DE5BFC"/>
    <w:rsid w:val="00DE5E46"/>
    <w:rsid w:val="00DE5EF5"/>
    <w:rsid w:val="00DE6049"/>
    <w:rsid w:val="00DE6062"/>
    <w:rsid w:val="00DE60CF"/>
    <w:rsid w:val="00DE60FF"/>
    <w:rsid w:val="00DE626C"/>
    <w:rsid w:val="00DE6389"/>
    <w:rsid w:val="00DE646C"/>
    <w:rsid w:val="00DE65B1"/>
    <w:rsid w:val="00DE6609"/>
    <w:rsid w:val="00DE66B0"/>
    <w:rsid w:val="00DE68CC"/>
    <w:rsid w:val="00DE6CC4"/>
    <w:rsid w:val="00DE6EA8"/>
    <w:rsid w:val="00DE6F8E"/>
    <w:rsid w:val="00DE7300"/>
    <w:rsid w:val="00DE76C8"/>
    <w:rsid w:val="00DE76ED"/>
    <w:rsid w:val="00DE7755"/>
    <w:rsid w:val="00DE77A6"/>
    <w:rsid w:val="00DE77B6"/>
    <w:rsid w:val="00DE77F6"/>
    <w:rsid w:val="00DE7874"/>
    <w:rsid w:val="00DE78BF"/>
    <w:rsid w:val="00DE78E9"/>
    <w:rsid w:val="00DE79A5"/>
    <w:rsid w:val="00DE7A18"/>
    <w:rsid w:val="00DE7AA8"/>
    <w:rsid w:val="00DE7ADB"/>
    <w:rsid w:val="00DE7B31"/>
    <w:rsid w:val="00DE7C85"/>
    <w:rsid w:val="00DE7CFC"/>
    <w:rsid w:val="00DF0262"/>
    <w:rsid w:val="00DF0400"/>
    <w:rsid w:val="00DF0748"/>
    <w:rsid w:val="00DF075B"/>
    <w:rsid w:val="00DF0A83"/>
    <w:rsid w:val="00DF0DC6"/>
    <w:rsid w:val="00DF0F49"/>
    <w:rsid w:val="00DF105B"/>
    <w:rsid w:val="00DF1092"/>
    <w:rsid w:val="00DF1149"/>
    <w:rsid w:val="00DF14FB"/>
    <w:rsid w:val="00DF15EA"/>
    <w:rsid w:val="00DF16A7"/>
    <w:rsid w:val="00DF18C7"/>
    <w:rsid w:val="00DF1A13"/>
    <w:rsid w:val="00DF1A5B"/>
    <w:rsid w:val="00DF1B99"/>
    <w:rsid w:val="00DF1C40"/>
    <w:rsid w:val="00DF1D78"/>
    <w:rsid w:val="00DF1E81"/>
    <w:rsid w:val="00DF1FCE"/>
    <w:rsid w:val="00DF1FCF"/>
    <w:rsid w:val="00DF20B0"/>
    <w:rsid w:val="00DF21BD"/>
    <w:rsid w:val="00DF2288"/>
    <w:rsid w:val="00DF2463"/>
    <w:rsid w:val="00DF2534"/>
    <w:rsid w:val="00DF265E"/>
    <w:rsid w:val="00DF2F81"/>
    <w:rsid w:val="00DF30BB"/>
    <w:rsid w:val="00DF31A8"/>
    <w:rsid w:val="00DF33EF"/>
    <w:rsid w:val="00DF349A"/>
    <w:rsid w:val="00DF35B2"/>
    <w:rsid w:val="00DF35EE"/>
    <w:rsid w:val="00DF38CE"/>
    <w:rsid w:val="00DF38D9"/>
    <w:rsid w:val="00DF3A13"/>
    <w:rsid w:val="00DF3B43"/>
    <w:rsid w:val="00DF3C09"/>
    <w:rsid w:val="00DF3D53"/>
    <w:rsid w:val="00DF3F2A"/>
    <w:rsid w:val="00DF4223"/>
    <w:rsid w:val="00DF43D5"/>
    <w:rsid w:val="00DF443F"/>
    <w:rsid w:val="00DF4449"/>
    <w:rsid w:val="00DF4539"/>
    <w:rsid w:val="00DF457B"/>
    <w:rsid w:val="00DF4A4C"/>
    <w:rsid w:val="00DF4CCB"/>
    <w:rsid w:val="00DF4DF2"/>
    <w:rsid w:val="00DF4E3F"/>
    <w:rsid w:val="00DF4F24"/>
    <w:rsid w:val="00DF4F44"/>
    <w:rsid w:val="00DF4F80"/>
    <w:rsid w:val="00DF4FB2"/>
    <w:rsid w:val="00DF50F1"/>
    <w:rsid w:val="00DF510C"/>
    <w:rsid w:val="00DF52BF"/>
    <w:rsid w:val="00DF5359"/>
    <w:rsid w:val="00DF54F9"/>
    <w:rsid w:val="00DF5690"/>
    <w:rsid w:val="00DF571A"/>
    <w:rsid w:val="00DF57F7"/>
    <w:rsid w:val="00DF597E"/>
    <w:rsid w:val="00DF59DA"/>
    <w:rsid w:val="00DF59F2"/>
    <w:rsid w:val="00DF5C37"/>
    <w:rsid w:val="00DF5CC5"/>
    <w:rsid w:val="00DF5D7D"/>
    <w:rsid w:val="00DF5E70"/>
    <w:rsid w:val="00DF5FEC"/>
    <w:rsid w:val="00DF6180"/>
    <w:rsid w:val="00DF6213"/>
    <w:rsid w:val="00DF63CC"/>
    <w:rsid w:val="00DF6489"/>
    <w:rsid w:val="00DF6674"/>
    <w:rsid w:val="00DF68E4"/>
    <w:rsid w:val="00DF6975"/>
    <w:rsid w:val="00DF6A00"/>
    <w:rsid w:val="00DF6D61"/>
    <w:rsid w:val="00DF6E5A"/>
    <w:rsid w:val="00DF6EA4"/>
    <w:rsid w:val="00DF6FE1"/>
    <w:rsid w:val="00DF72DA"/>
    <w:rsid w:val="00DF72F9"/>
    <w:rsid w:val="00DF7438"/>
    <w:rsid w:val="00DF76C0"/>
    <w:rsid w:val="00DF7744"/>
    <w:rsid w:val="00DF7809"/>
    <w:rsid w:val="00DF7863"/>
    <w:rsid w:val="00DF78CF"/>
    <w:rsid w:val="00DF7901"/>
    <w:rsid w:val="00DF7A6F"/>
    <w:rsid w:val="00DF7E98"/>
    <w:rsid w:val="00DF7F95"/>
    <w:rsid w:val="00DF7FB7"/>
    <w:rsid w:val="00E00030"/>
    <w:rsid w:val="00E0021A"/>
    <w:rsid w:val="00E00289"/>
    <w:rsid w:val="00E00609"/>
    <w:rsid w:val="00E00708"/>
    <w:rsid w:val="00E00742"/>
    <w:rsid w:val="00E009B1"/>
    <w:rsid w:val="00E00A05"/>
    <w:rsid w:val="00E00A1F"/>
    <w:rsid w:val="00E00B89"/>
    <w:rsid w:val="00E00C8C"/>
    <w:rsid w:val="00E00CAD"/>
    <w:rsid w:val="00E0122E"/>
    <w:rsid w:val="00E01314"/>
    <w:rsid w:val="00E014D3"/>
    <w:rsid w:val="00E01613"/>
    <w:rsid w:val="00E0182E"/>
    <w:rsid w:val="00E02031"/>
    <w:rsid w:val="00E0211E"/>
    <w:rsid w:val="00E022AB"/>
    <w:rsid w:val="00E0238D"/>
    <w:rsid w:val="00E0244E"/>
    <w:rsid w:val="00E025C4"/>
    <w:rsid w:val="00E0268E"/>
    <w:rsid w:val="00E02939"/>
    <w:rsid w:val="00E029EE"/>
    <w:rsid w:val="00E02C15"/>
    <w:rsid w:val="00E02D31"/>
    <w:rsid w:val="00E02EE5"/>
    <w:rsid w:val="00E02F4E"/>
    <w:rsid w:val="00E02FAE"/>
    <w:rsid w:val="00E034AD"/>
    <w:rsid w:val="00E03529"/>
    <w:rsid w:val="00E03540"/>
    <w:rsid w:val="00E036C8"/>
    <w:rsid w:val="00E0376A"/>
    <w:rsid w:val="00E03BE2"/>
    <w:rsid w:val="00E03DA1"/>
    <w:rsid w:val="00E03F57"/>
    <w:rsid w:val="00E03F5A"/>
    <w:rsid w:val="00E03FE0"/>
    <w:rsid w:val="00E0400B"/>
    <w:rsid w:val="00E04049"/>
    <w:rsid w:val="00E0406F"/>
    <w:rsid w:val="00E04280"/>
    <w:rsid w:val="00E04380"/>
    <w:rsid w:val="00E04599"/>
    <w:rsid w:val="00E04693"/>
    <w:rsid w:val="00E046AA"/>
    <w:rsid w:val="00E046EB"/>
    <w:rsid w:val="00E04863"/>
    <w:rsid w:val="00E049EF"/>
    <w:rsid w:val="00E04A35"/>
    <w:rsid w:val="00E04A5E"/>
    <w:rsid w:val="00E04BB5"/>
    <w:rsid w:val="00E04BF6"/>
    <w:rsid w:val="00E04BFD"/>
    <w:rsid w:val="00E04CD5"/>
    <w:rsid w:val="00E04EBE"/>
    <w:rsid w:val="00E04F57"/>
    <w:rsid w:val="00E05001"/>
    <w:rsid w:val="00E050C7"/>
    <w:rsid w:val="00E050E6"/>
    <w:rsid w:val="00E0514E"/>
    <w:rsid w:val="00E052E3"/>
    <w:rsid w:val="00E05345"/>
    <w:rsid w:val="00E0543D"/>
    <w:rsid w:val="00E05460"/>
    <w:rsid w:val="00E05519"/>
    <w:rsid w:val="00E055B5"/>
    <w:rsid w:val="00E055C4"/>
    <w:rsid w:val="00E0562F"/>
    <w:rsid w:val="00E059E3"/>
    <w:rsid w:val="00E05A17"/>
    <w:rsid w:val="00E05B2B"/>
    <w:rsid w:val="00E05BC5"/>
    <w:rsid w:val="00E05DF2"/>
    <w:rsid w:val="00E05E86"/>
    <w:rsid w:val="00E060EA"/>
    <w:rsid w:val="00E062CA"/>
    <w:rsid w:val="00E0643E"/>
    <w:rsid w:val="00E06601"/>
    <w:rsid w:val="00E066D4"/>
    <w:rsid w:val="00E066D7"/>
    <w:rsid w:val="00E0671C"/>
    <w:rsid w:val="00E068E6"/>
    <w:rsid w:val="00E06916"/>
    <w:rsid w:val="00E06A3E"/>
    <w:rsid w:val="00E06B85"/>
    <w:rsid w:val="00E06DF7"/>
    <w:rsid w:val="00E06E3E"/>
    <w:rsid w:val="00E06EF9"/>
    <w:rsid w:val="00E0702E"/>
    <w:rsid w:val="00E070AD"/>
    <w:rsid w:val="00E0744A"/>
    <w:rsid w:val="00E075A9"/>
    <w:rsid w:val="00E0768F"/>
    <w:rsid w:val="00E07691"/>
    <w:rsid w:val="00E07966"/>
    <w:rsid w:val="00E07A1D"/>
    <w:rsid w:val="00E07B80"/>
    <w:rsid w:val="00E07CA2"/>
    <w:rsid w:val="00E07D02"/>
    <w:rsid w:val="00E07D55"/>
    <w:rsid w:val="00E07F7C"/>
    <w:rsid w:val="00E07FAE"/>
    <w:rsid w:val="00E1010A"/>
    <w:rsid w:val="00E103A0"/>
    <w:rsid w:val="00E10466"/>
    <w:rsid w:val="00E10546"/>
    <w:rsid w:val="00E10609"/>
    <w:rsid w:val="00E10626"/>
    <w:rsid w:val="00E10736"/>
    <w:rsid w:val="00E107AB"/>
    <w:rsid w:val="00E10815"/>
    <w:rsid w:val="00E1085B"/>
    <w:rsid w:val="00E108BE"/>
    <w:rsid w:val="00E10A68"/>
    <w:rsid w:val="00E10B7B"/>
    <w:rsid w:val="00E10BDD"/>
    <w:rsid w:val="00E10F3C"/>
    <w:rsid w:val="00E10FA8"/>
    <w:rsid w:val="00E1102F"/>
    <w:rsid w:val="00E11045"/>
    <w:rsid w:val="00E11098"/>
    <w:rsid w:val="00E112BC"/>
    <w:rsid w:val="00E112DC"/>
    <w:rsid w:val="00E113F1"/>
    <w:rsid w:val="00E11515"/>
    <w:rsid w:val="00E115E5"/>
    <w:rsid w:val="00E117CD"/>
    <w:rsid w:val="00E11B6A"/>
    <w:rsid w:val="00E11BEF"/>
    <w:rsid w:val="00E11C1C"/>
    <w:rsid w:val="00E11D58"/>
    <w:rsid w:val="00E120EA"/>
    <w:rsid w:val="00E1239B"/>
    <w:rsid w:val="00E123F0"/>
    <w:rsid w:val="00E12401"/>
    <w:rsid w:val="00E12410"/>
    <w:rsid w:val="00E12859"/>
    <w:rsid w:val="00E128BB"/>
    <w:rsid w:val="00E129B4"/>
    <w:rsid w:val="00E129EA"/>
    <w:rsid w:val="00E12A5B"/>
    <w:rsid w:val="00E12CE7"/>
    <w:rsid w:val="00E12E7A"/>
    <w:rsid w:val="00E12F9B"/>
    <w:rsid w:val="00E1315A"/>
    <w:rsid w:val="00E13164"/>
    <w:rsid w:val="00E1337D"/>
    <w:rsid w:val="00E13398"/>
    <w:rsid w:val="00E13522"/>
    <w:rsid w:val="00E135B1"/>
    <w:rsid w:val="00E137FB"/>
    <w:rsid w:val="00E138C6"/>
    <w:rsid w:val="00E13C33"/>
    <w:rsid w:val="00E13E23"/>
    <w:rsid w:val="00E13E3B"/>
    <w:rsid w:val="00E13E69"/>
    <w:rsid w:val="00E13F20"/>
    <w:rsid w:val="00E13F29"/>
    <w:rsid w:val="00E13FA5"/>
    <w:rsid w:val="00E1403F"/>
    <w:rsid w:val="00E14140"/>
    <w:rsid w:val="00E145A0"/>
    <w:rsid w:val="00E14653"/>
    <w:rsid w:val="00E1466E"/>
    <w:rsid w:val="00E148F6"/>
    <w:rsid w:val="00E14AA9"/>
    <w:rsid w:val="00E14B9D"/>
    <w:rsid w:val="00E14D03"/>
    <w:rsid w:val="00E14DA2"/>
    <w:rsid w:val="00E14E07"/>
    <w:rsid w:val="00E1520E"/>
    <w:rsid w:val="00E1528B"/>
    <w:rsid w:val="00E1565F"/>
    <w:rsid w:val="00E156AF"/>
    <w:rsid w:val="00E156C0"/>
    <w:rsid w:val="00E156E3"/>
    <w:rsid w:val="00E15799"/>
    <w:rsid w:val="00E157C6"/>
    <w:rsid w:val="00E158AE"/>
    <w:rsid w:val="00E158BA"/>
    <w:rsid w:val="00E15A44"/>
    <w:rsid w:val="00E15D98"/>
    <w:rsid w:val="00E15E85"/>
    <w:rsid w:val="00E161CF"/>
    <w:rsid w:val="00E164D7"/>
    <w:rsid w:val="00E16780"/>
    <w:rsid w:val="00E1680B"/>
    <w:rsid w:val="00E16CD3"/>
    <w:rsid w:val="00E16D1D"/>
    <w:rsid w:val="00E16E89"/>
    <w:rsid w:val="00E16EE3"/>
    <w:rsid w:val="00E16F16"/>
    <w:rsid w:val="00E17007"/>
    <w:rsid w:val="00E172E8"/>
    <w:rsid w:val="00E17309"/>
    <w:rsid w:val="00E1736F"/>
    <w:rsid w:val="00E17464"/>
    <w:rsid w:val="00E17505"/>
    <w:rsid w:val="00E1751F"/>
    <w:rsid w:val="00E1755A"/>
    <w:rsid w:val="00E17655"/>
    <w:rsid w:val="00E17658"/>
    <w:rsid w:val="00E17675"/>
    <w:rsid w:val="00E17992"/>
    <w:rsid w:val="00E17A1C"/>
    <w:rsid w:val="00E17A94"/>
    <w:rsid w:val="00E17B01"/>
    <w:rsid w:val="00E17B1A"/>
    <w:rsid w:val="00E17B95"/>
    <w:rsid w:val="00E20015"/>
    <w:rsid w:val="00E20077"/>
    <w:rsid w:val="00E201C9"/>
    <w:rsid w:val="00E20257"/>
    <w:rsid w:val="00E205BD"/>
    <w:rsid w:val="00E2077F"/>
    <w:rsid w:val="00E2083D"/>
    <w:rsid w:val="00E20958"/>
    <w:rsid w:val="00E209BD"/>
    <w:rsid w:val="00E20A0B"/>
    <w:rsid w:val="00E20A2D"/>
    <w:rsid w:val="00E20AA7"/>
    <w:rsid w:val="00E20F27"/>
    <w:rsid w:val="00E2123C"/>
    <w:rsid w:val="00E2127A"/>
    <w:rsid w:val="00E212A5"/>
    <w:rsid w:val="00E216CF"/>
    <w:rsid w:val="00E217CC"/>
    <w:rsid w:val="00E21B3B"/>
    <w:rsid w:val="00E21C8C"/>
    <w:rsid w:val="00E21DE9"/>
    <w:rsid w:val="00E22062"/>
    <w:rsid w:val="00E2209C"/>
    <w:rsid w:val="00E22110"/>
    <w:rsid w:val="00E22234"/>
    <w:rsid w:val="00E22374"/>
    <w:rsid w:val="00E22531"/>
    <w:rsid w:val="00E22897"/>
    <w:rsid w:val="00E228E3"/>
    <w:rsid w:val="00E22999"/>
    <w:rsid w:val="00E22A04"/>
    <w:rsid w:val="00E22A39"/>
    <w:rsid w:val="00E22AE0"/>
    <w:rsid w:val="00E22DCE"/>
    <w:rsid w:val="00E232F3"/>
    <w:rsid w:val="00E234C9"/>
    <w:rsid w:val="00E23603"/>
    <w:rsid w:val="00E2362A"/>
    <w:rsid w:val="00E236E9"/>
    <w:rsid w:val="00E2389F"/>
    <w:rsid w:val="00E2392B"/>
    <w:rsid w:val="00E23974"/>
    <w:rsid w:val="00E239CA"/>
    <w:rsid w:val="00E23A0C"/>
    <w:rsid w:val="00E23BE6"/>
    <w:rsid w:val="00E23C99"/>
    <w:rsid w:val="00E23E23"/>
    <w:rsid w:val="00E23EC3"/>
    <w:rsid w:val="00E23F2C"/>
    <w:rsid w:val="00E23FE3"/>
    <w:rsid w:val="00E242C7"/>
    <w:rsid w:val="00E24406"/>
    <w:rsid w:val="00E24786"/>
    <w:rsid w:val="00E24844"/>
    <w:rsid w:val="00E2498A"/>
    <w:rsid w:val="00E249CF"/>
    <w:rsid w:val="00E24BF2"/>
    <w:rsid w:val="00E24CB4"/>
    <w:rsid w:val="00E24E9C"/>
    <w:rsid w:val="00E24F77"/>
    <w:rsid w:val="00E24F86"/>
    <w:rsid w:val="00E24FA5"/>
    <w:rsid w:val="00E25401"/>
    <w:rsid w:val="00E254FB"/>
    <w:rsid w:val="00E2556A"/>
    <w:rsid w:val="00E2557D"/>
    <w:rsid w:val="00E256DB"/>
    <w:rsid w:val="00E2573C"/>
    <w:rsid w:val="00E257A7"/>
    <w:rsid w:val="00E257E0"/>
    <w:rsid w:val="00E25862"/>
    <w:rsid w:val="00E25867"/>
    <w:rsid w:val="00E258AD"/>
    <w:rsid w:val="00E2596D"/>
    <w:rsid w:val="00E25977"/>
    <w:rsid w:val="00E25A54"/>
    <w:rsid w:val="00E25A8D"/>
    <w:rsid w:val="00E25AE2"/>
    <w:rsid w:val="00E25DF0"/>
    <w:rsid w:val="00E25E47"/>
    <w:rsid w:val="00E25FCF"/>
    <w:rsid w:val="00E26095"/>
    <w:rsid w:val="00E2621F"/>
    <w:rsid w:val="00E26390"/>
    <w:rsid w:val="00E263F2"/>
    <w:rsid w:val="00E2649B"/>
    <w:rsid w:val="00E265E6"/>
    <w:rsid w:val="00E26652"/>
    <w:rsid w:val="00E26897"/>
    <w:rsid w:val="00E26919"/>
    <w:rsid w:val="00E269B0"/>
    <w:rsid w:val="00E26B0F"/>
    <w:rsid w:val="00E26BF1"/>
    <w:rsid w:val="00E26CCE"/>
    <w:rsid w:val="00E26D6C"/>
    <w:rsid w:val="00E26F8F"/>
    <w:rsid w:val="00E26FC9"/>
    <w:rsid w:val="00E27051"/>
    <w:rsid w:val="00E270C3"/>
    <w:rsid w:val="00E271A7"/>
    <w:rsid w:val="00E2752E"/>
    <w:rsid w:val="00E27540"/>
    <w:rsid w:val="00E276D2"/>
    <w:rsid w:val="00E2784E"/>
    <w:rsid w:val="00E278EF"/>
    <w:rsid w:val="00E2792F"/>
    <w:rsid w:val="00E27996"/>
    <w:rsid w:val="00E27A34"/>
    <w:rsid w:val="00E27A3E"/>
    <w:rsid w:val="00E27B31"/>
    <w:rsid w:val="00E27B7A"/>
    <w:rsid w:val="00E27C3B"/>
    <w:rsid w:val="00E27D0A"/>
    <w:rsid w:val="00E27D16"/>
    <w:rsid w:val="00E27EE3"/>
    <w:rsid w:val="00E27FEA"/>
    <w:rsid w:val="00E3002E"/>
    <w:rsid w:val="00E300CA"/>
    <w:rsid w:val="00E305D8"/>
    <w:rsid w:val="00E305E4"/>
    <w:rsid w:val="00E307D5"/>
    <w:rsid w:val="00E307E1"/>
    <w:rsid w:val="00E30954"/>
    <w:rsid w:val="00E309A0"/>
    <w:rsid w:val="00E30B54"/>
    <w:rsid w:val="00E30D2A"/>
    <w:rsid w:val="00E30DBB"/>
    <w:rsid w:val="00E30DD0"/>
    <w:rsid w:val="00E30FEA"/>
    <w:rsid w:val="00E3117A"/>
    <w:rsid w:val="00E313C2"/>
    <w:rsid w:val="00E31698"/>
    <w:rsid w:val="00E316C6"/>
    <w:rsid w:val="00E3170F"/>
    <w:rsid w:val="00E317E8"/>
    <w:rsid w:val="00E318BE"/>
    <w:rsid w:val="00E31A0B"/>
    <w:rsid w:val="00E31AF1"/>
    <w:rsid w:val="00E31CFB"/>
    <w:rsid w:val="00E31E8D"/>
    <w:rsid w:val="00E31FC4"/>
    <w:rsid w:val="00E32017"/>
    <w:rsid w:val="00E32032"/>
    <w:rsid w:val="00E32157"/>
    <w:rsid w:val="00E32426"/>
    <w:rsid w:val="00E32468"/>
    <w:rsid w:val="00E3249E"/>
    <w:rsid w:val="00E32511"/>
    <w:rsid w:val="00E325AB"/>
    <w:rsid w:val="00E32663"/>
    <w:rsid w:val="00E32796"/>
    <w:rsid w:val="00E32899"/>
    <w:rsid w:val="00E32A6D"/>
    <w:rsid w:val="00E32B44"/>
    <w:rsid w:val="00E32B64"/>
    <w:rsid w:val="00E32D0B"/>
    <w:rsid w:val="00E331EF"/>
    <w:rsid w:val="00E33266"/>
    <w:rsid w:val="00E334B0"/>
    <w:rsid w:val="00E3353F"/>
    <w:rsid w:val="00E33619"/>
    <w:rsid w:val="00E336B9"/>
    <w:rsid w:val="00E336FF"/>
    <w:rsid w:val="00E33804"/>
    <w:rsid w:val="00E33852"/>
    <w:rsid w:val="00E3385B"/>
    <w:rsid w:val="00E338AF"/>
    <w:rsid w:val="00E3395E"/>
    <w:rsid w:val="00E33A22"/>
    <w:rsid w:val="00E33A92"/>
    <w:rsid w:val="00E33A9A"/>
    <w:rsid w:val="00E33BED"/>
    <w:rsid w:val="00E33D40"/>
    <w:rsid w:val="00E33EE5"/>
    <w:rsid w:val="00E33F00"/>
    <w:rsid w:val="00E33F19"/>
    <w:rsid w:val="00E3404F"/>
    <w:rsid w:val="00E3406F"/>
    <w:rsid w:val="00E34125"/>
    <w:rsid w:val="00E34265"/>
    <w:rsid w:val="00E34282"/>
    <w:rsid w:val="00E34375"/>
    <w:rsid w:val="00E343E1"/>
    <w:rsid w:val="00E343F1"/>
    <w:rsid w:val="00E34917"/>
    <w:rsid w:val="00E3496E"/>
    <w:rsid w:val="00E34A68"/>
    <w:rsid w:val="00E34B4D"/>
    <w:rsid w:val="00E34C09"/>
    <w:rsid w:val="00E34C58"/>
    <w:rsid w:val="00E34D2B"/>
    <w:rsid w:val="00E34EAE"/>
    <w:rsid w:val="00E34FF4"/>
    <w:rsid w:val="00E3502B"/>
    <w:rsid w:val="00E35076"/>
    <w:rsid w:val="00E35139"/>
    <w:rsid w:val="00E352A1"/>
    <w:rsid w:val="00E352DD"/>
    <w:rsid w:val="00E35303"/>
    <w:rsid w:val="00E35577"/>
    <w:rsid w:val="00E35773"/>
    <w:rsid w:val="00E35873"/>
    <w:rsid w:val="00E3597A"/>
    <w:rsid w:val="00E35B32"/>
    <w:rsid w:val="00E35BD0"/>
    <w:rsid w:val="00E35D77"/>
    <w:rsid w:val="00E35FF8"/>
    <w:rsid w:val="00E362EC"/>
    <w:rsid w:val="00E36610"/>
    <w:rsid w:val="00E36A9D"/>
    <w:rsid w:val="00E36ABC"/>
    <w:rsid w:val="00E3720C"/>
    <w:rsid w:val="00E37480"/>
    <w:rsid w:val="00E374F5"/>
    <w:rsid w:val="00E3752E"/>
    <w:rsid w:val="00E37A97"/>
    <w:rsid w:val="00E37D63"/>
    <w:rsid w:val="00E37D9D"/>
    <w:rsid w:val="00E37DCF"/>
    <w:rsid w:val="00E37DD0"/>
    <w:rsid w:val="00E4017F"/>
    <w:rsid w:val="00E4022D"/>
    <w:rsid w:val="00E402D8"/>
    <w:rsid w:val="00E403EB"/>
    <w:rsid w:val="00E404EE"/>
    <w:rsid w:val="00E405AA"/>
    <w:rsid w:val="00E405AE"/>
    <w:rsid w:val="00E4061D"/>
    <w:rsid w:val="00E4087E"/>
    <w:rsid w:val="00E4088B"/>
    <w:rsid w:val="00E408DF"/>
    <w:rsid w:val="00E409CA"/>
    <w:rsid w:val="00E40A20"/>
    <w:rsid w:val="00E40AF9"/>
    <w:rsid w:val="00E40BC5"/>
    <w:rsid w:val="00E40BD4"/>
    <w:rsid w:val="00E40CE1"/>
    <w:rsid w:val="00E40DD6"/>
    <w:rsid w:val="00E40F1E"/>
    <w:rsid w:val="00E4100D"/>
    <w:rsid w:val="00E4105D"/>
    <w:rsid w:val="00E413ED"/>
    <w:rsid w:val="00E4140D"/>
    <w:rsid w:val="00E414D7"/>
    <w:rsid w:val="00E41501"/>
    <w:rsid w:val="00E416B5"/>
    <w:rsid w:val="00E41752"/>
    <w:rsid w:val="00E41A63"/>
    <w:rsid w:val="00E41AD8"/>
    <w:rsid w:val="00E41BA2"/>
    <w:rsid w:val="00E41BBE"/>
    <w:rsid w:val="00E41F1B"/>
    <w:rsid w:val="00E4210C"/>
    <w:rsid w:val="00E421B9"/>
    <w:rsid w:val="00E42510"/>
    <w:rsid w:val="00E42528"/>
    <w:rsid w:val="00E425B5"/>
    <w:rsid w:val="00E426E9"/>
    <w:rsid w:val="00E428BC"/>
    <w:rsid w:val="00E428F8"/>
    <w:rsid w:val="00E429B0"/>
    <w:rsid w:val="00E42ACC"/>
    <w:rsid w:val="00E42BB8"/>
    <w:rsid w:val="00E42C78"/>
    <w:rsid w:val="00E42E3A"/>
    <w:rsid w:val="00E42F19"/>
    <w:rsid w:val="00E42F2D"/>
    <w:rsid w:val="00E42F99"/>
    <w:rsid w:val="00E4311C"/>
    <w:rsid w:val="00E4313F"/>
    <w:rsid w:val="00E43149"/>
    <w:rsid w:val="00E431A6"/>
    <w:rsid w:val="00E43200"/>
    <w:rsid w:val="00E43452"/>
    <w:rsid w:val="00E4351D"/>
    <w:rsid w:val="00E43630"/>
    <w:rsid w:val="00E439C5"/>
    <w:rsid w:val="00E43A2E"/>
    <w:rsid w:val="00E43AAF"/>
    <w:rsid w:val="00E43D3B"/>
    <w:rsid w:val="00E43D9F"/>
    <w:rsid w:val="00E43F09"/>
    <w:rsid w:val="00E43FEB"/>
    <w:rsid w:val="00E44106"/>
    <w:rsid w:val="00E4412C"/>
    <w:rsid w:val="00E442CF"/>
    <w:rsid w:val="00E44368"/>
    <w:rsid w:val="00E44506"/>
    <w:rsid w:val="00E447B7"/>
    <w:rsid w:val="00E44807"/>
    <w:rsid w:val="00E44857"/>
    <w:rsid w:val="00E449BE"/>
    <w:rsid w:val="00E44BE6"/>
    <w:rsid w:val="00E44ECF"/>
    <w:rsid w:val="00E44EDB"/>
    <w:rsid w:val="00E44F09"/>
    <w:rsid w:val="00E45023"/>
    <w:rsid w:val="00E45553"/>
    <w:rsid w:val="00E45560"/>
    <w:rsid w:val="00E457D0"/>
    <w:rsid w:val="00E458B9"/>
    <w:rsid w:val="00E45A43"/>
    <w:rsid w:val="00E45BD8"/>
    <w:rsid w:val="00E45C6F"/>
    <w:rsid w:val="00E45D55"/>
    <w:rsid w:val="00E45DCA"/>
    <w:rsid w:val="00E46168"/>
    <w:rsid w:val="00E4637D"/>
    <w:rsid w:val="00E4648C"/>
    <w:rsid w:val="00E464F1"/>
    <w:rsid w:val="00E46508"/>
    <w:rsid w:val="00E46634"/>
    <w:rsid w:val="00E466A2"/>
    <w:rsid w:val="00E466C1"/>
    <w:rsid w:val="00E466D9"/>
    <w:rsid w:val="00E46793"/>
    <w:rsid w:val="00E468AE"/>
    <w:rsid w:val="00E468E5"/>
    <w:rsid w:val="00E46A56"/>
    <w:rsid w:val="00E46F53"/>
    <w:rsid w:val="00E470A7"/>
    <w:rsid w:val="00E47238"/>
    <w:rsid w:val="00E47421"/>
    <w:rsid w:val="00E4743F"/>
    <w:rsid w:val="00E47488"/>
    <w:rsid w:val="00E474A6"/>
    <w:rsid w:val="00E4780B"/>
    <w:rsid w:val="00E478F1"/>
    <w:rsid w:val="00E47DF0"/>
    <w:rsid w:val="00E501B8"/>
    <w:rsid w:val="00E50322"/>
    <w:rsid w:val="00E50975"/>
    <w:rsid w:val="00E50CF7"/>
    <w:rsid w:val="00E50D1D"/>
    <w:rsid w:val="00E50E80"/>
    <w:rsid w:val="00E50E8A"/>
    <w:rsid w:val="00E50F0C"/>
    <w:rsid w:val="00E50F8C"/>
    <w:rsid w:val="00E5102B"/>
    <w:rsid w:val="00E510B3"/>
    <w:rsid w:val="00E513F4"/>
    <w:rsid w:val="00E51436"/>
    <w:rsid w:val="00E515DA"/>
    <w:rsid w:val="00E516D3"/>
    <w:rsid w:val="00E516E2"/>
    <w:rsid w:val="00E517B9"/>
    <w:rsid w:val="00E5187C"/>
    <w:rsid w:val="00E519B9"/>
    <w:rsid w:val="00E51AB9"/>
    <w:rsid w:val="00E51AC1"/>
    <w:rsid w:val="00E51B85"/>
    <w:rsid w:val="00E51CE0"/>
    <w:rsid w:val="00E51D6A"/>
    <w:rsid w:val="00E51DEB"/>
    <w:rsid w:val="00E520B5"/>
    <w:rsid w:val="00E520DB"/>
    <w:rsid w:val="00E5214B"/>
    <w:rsid w:val="00E522AE"/>
    <w:rsid w:val="00E522E3"/>
    <w:rsid w:val="00E526D4"/>
    <w:rsid w:val="00E52770"/>
    <w:rsid w:val="00E528B0"/>
    <w:rsid w:val="00E528B2"/>
    <w:rsid w:val="00E52A19"/>
    <w:rsid w:val="00E52A92"/>
    <w:rsid w:val="00E52AF0"/>
    <w:rsid w:val="00E52B3F"/>
    <w:rsid w:val="00E52DD5"/>
    <w:rsid w:val="00E52E0E"/>
    <w:rsid w:val="00E52EF5"/>
    <w:rsid w:val="00E52F10"/>
    <w:rsid w:val="00E52F4C"/>
    <w:rsid w:val="00E532C5"/>
    <w:rsid w:val="00E53519"/>
    <w:rsid w:val="00E53682"/>
    <w:rsid w:val="00E53717"/>
    <w:rsid w:val="00E53787"/>
    <w:rsid w:val="00E5380B"/>
    <w:rsid w:val="00E538C2"/>
    <w:rsid w:val="00E53B84"/>
    <w:rsid w:val="00E53BFF"/>
    <w:rsid w:val="00E53E2E"/>
    <w:rsid w:val="00E53E48"/>
    <w:rsid w:val="00E53F08"/>
    <w:rsid w:val="00E54014"/>
    <w:rsid w:val="00E54177"/>
    <w:rsid w:val="00E541D7"/>
    <w:rsid w:val="00E54391"/>
    <w:rsid w:val="00E5464D"/>
    <w:rsid w:val="00E546D8"/>
    <w:rsid w:val="00E54785"/>
    <w:rsid w:val="00E54868"/>
    <w:rsid w:val="00E54990"/>
    <w:rsid w:val="00E54999"/>
    <w:rsid w:val="00E54AB2"/>
    <w:rsid w:val="00E54D21"/>
    <w:rsid w:val="00E54EB1"/>
    <w:rsid w:val="00E5504A"/>
    <w:rsid w:val="00E55454"/>
    <w:rsid w:val="00E5554E"/>
    <w:rsid w:val="00E555B1"/>
    <w:rsid w:val="00E5570F"/>
    <w:rsid w:val="00E55939"/>
    <w:rsid w:val="00E559D4"/>
    <w:rsid w:val="00E55B8E"/>
    <w:rsid w:val="00E55BC2"/>
    <w:rsid w:val="00E55C47"/>
    <w:rsid w:val="00E55C9B"/>
    <w:rsid w:val="00E55EE6"/>
    <w:rsid w:val="00E56108"/>
    <w:rsid w:val="00E56221"/>
    <w:rsid w:val="00E5629E"/>
    <w:rsid w:val="00E562D5"/>
    <w:rsid w:val="00E56438"/>
    <w:rsid w:val="00E564ED"/>
    <w:rsid w:val="00E5656C"/>
    <w:rsid w:val="00E567BB"/>
    <w:rsid w:val="00E56930"/>
    <w:rsid w:val="00E56A50"/>
    <w:rsid w:val="00E56B2E"/>
    <w:rsid w:val="00E57060"/>
    <w:rsid w:val="00E57280"/>
    <w:rsid w:val="00E573DF"/>
    <w:rsid w:val="00E57450"/>
    <w:rsid w:val="00E57455"/>
    <w:rsid w:val="00E5755D"/>
    <w:rsid w:val="00E57564"/>
    <w:rsid w:val="00E575BA"/>
    <w:rsid w:val="00E577C9"/>
    <w:rsid w:val="00E579AD"/>
    <w:rsid w:val="00E57A14"/>
    <w:rsid w:val="00E57B84"/>
    <w:rsid w:val="00E57C97"/>
    <w:rsid w:val="00E57CDF"/>
    <w:rsid w:val="00E57E8E"/>
    <w:rsid w:val="00E57EF2"/>
    <w:rsid w:val="00E57F51"/>
    <w:rsid w:val="00E6012B"/>
    <w:rsid w:val="00E6014A"/>
    <w:rsid w:val="00E601BE"/>
    <w:rsid w:val="00E601F0"/>
    <w:rsid w:val="00E60405"/>
    <w:rsid w:val="00E604B8"/>
    <w:rsid w:val="00E60563"/>
    <w:rsid w:val="00E60574"/>
    <w:rsid w:val="00E60829"/>
    <w:rsid w:val="00E6082D"/>
    <w:rsid w:val="00E60838"/>
    <w:rsid w:val="00E60871"/>
    <w:rsid w:val="00E60A14"/>
    <w:rsid w:val="00E60A1B"/>
    <w:rsid w:val="00E60D28"/>
    <w:rsid w:val="00E60E22"/>
    <w:rsid w:val="00E610EF"/>
    <w:rsid w:val="00E61803"/>
    <w:rsid w:val="00E61A7B"/>
    <w:rsid w:val="00E61B54"/>
    <w:rsid w:val="00E61C11"/>
    <w:rsid w:val="00E61D27"/>
    <w:rsid w:val="00E61D55"/>
    <w:rsid w:val="00E6209A"/>
    <w:rsid w:val="00E6214B"/>
    <w:rsid w:val="00E621A4"/>
    <w:rsid w:val="00E62216"/>
    <w:rsid w:val="00E622C0"/>
    <w:rsid w:val="00E62319"/>
    <w:rsid w:val="00E6239E"/>
    <w:rsid w:val="00E62447"/>
    <w:rsid w:val="00E6280E"/>
    <w:rsid w:val="00E628B7"/>
    <w:rsid w:val="00E62B2C"/>
    <w:rsid w:val="00E62BAA"/>
    <w:rsid w:val="00E62C82"/>
    <w:rsid w:val="00E62DAC"/>
    <w:rsid w:val="00E62DB6"/>
    <w:rsid w:val="00E62DE1"/>
    <w:rsid w:val="00E62DEE"/>
    <w:rsid w:val="00E62ECD"/>
    <w:rsid w:val="00E62EF4"/>
    <w:rsid w:val="00E63177"/>
    <w:rsid w:val="00E63317"/>
    <w:rsid w:val="00E63340"/>
    <w:rsid w:val="00E6337D"/>
    <w:rsid w:val="00E633A3"/>
    <w:rsid w:val="00E63580"/>
    <w:rsid w:val="00E63828"/>
    <w:rsid w:val="00E6388A"/>
    <w:rsid w:val="00E63A4A"/>
    <w:rsid w:val="00E63B65"/>
    <w:rsid w:val="00E63D5D"/>
    <w:rsid w:val="00E63E18"/>
    <w:rsid w:val="00E63EBC"/>
    <w:rsid w:val="00E63F6A"/>
    <w:rsid w:val="00E64065"/>
    <w:rsid w:val="00E642E0"/>
    <w:rsid w:val="00E64449"/>
    <w:rsid w:val="00E644BE"/>
    <w:rsid w:val="00E646D7"/>
    <w:rsid w:val="00E647D8"/>
    <w:rsid w:val="00E64835"/>
    <w:rsid w:val="00E64957"/>
    <w:rsid w:val="00E649E6"/>
    <w:rsid w:val="00E64A5D"/>
    <w:rsid w:val="00E64A5F"/>
    <w:rsid w:val="00E64CAD"/>
    <w:rsid w:val="00E64DB9"/>
    <w:rsid w:val="00E64EA0"/>
    <w:rsid w:val="00E64EB4"/>
    <w:rsid w:val="00E64EE1"/>
    <w:rsid w:val="00E64F08"/>
    <w:rsid w:val="00E65161"/>
    <w:rsid w:val="00E65230"/>
    <w:rsid w:val="00E6544B"/>
    <w:rsid w:val="00E65502"/>
    <w:rsid w:val="00E65A98"/>
    <w:rsid w:val="00E65C6E"/>
    <w:rsid w:val="00E6623E"/>
    <w:rsid w:val="00E663D4"/>
    <w:rsid w:val="00E66653"/>
    <w:rsid w:val="00E6667F"/>
    <w:rsid w:val="00E668FC"/>
    <w:rsid w:val="00E6690C"/>
    <w:rsid w:val="00E66B69"/>
    <w:rsid w:val="00E66C6F"/>
    <w:rsid w:val="00E66D2B"/>
    <w:rsid w:val="00E66D5C"/>
    <w:rsid w:val="00E66D82"/>
    <w:rsid w:val="00E66E2A"/>
    <w:rsid w:val="00E66EF6"/>
    <w:rsid w:val="00E670BE"/>
    <w:rsid w:val="00E6721E"/>
    <w:rsid w:val="00E67497"/>
    <w:rsid w:val="00E676E9"/>
    <w:rsid w:val="00E67744"/>
    <w:rsid w:val="00E679B8"/>
    <w:rsid w:val="00E67A38"/>
    <w:rsid w:val="00E67F4A"/>
    <w:rsid w:val="00E67FAF"/>
    <w:rsid w:val="00E703E8"/>
    <w:rsid w:val="00E7042E"/>
    <w:rsid w:val="00E70474"/>
    <w:rsid w:val="00E7048D"/>
    <w:rsid w:val="00E70666"/>
    <w:rsid w:val="00E70716"/>
    <w:rsid w:val="00E707FE"/>
    <w:rsid w:val="00E708AE"/>
    <w:rsid w:val="00E7094B"/>
    <w:rsid w:val="00E70981"/>
    <w:rsid w:val="00E70AF1"/>
    <w:rsid w:val="00E70C2E"/>
    <w:rsid w:val="00E70C79"/>
    <w:rsid w:val="00E70F1B"/>
    <w:rsid w:val="00E70FA9"/>
    <w:rsid w:val="00E71070"/>
    <w:rsid w:val="00E71318"/>
    <w:rsid w:val="00E71445"/>
    <w:rsid w:val="00E71553"/>
    <w:rsid w:val="00E71611"/>
    <w:rsid w:val="00E717AE"/>
    <w:rsid w:val="00E71822"/>
    <w:rsid w:val="00E71ACC"/>
    <w:rsid w:val="00E71CB0"/>
    <w:rsid w:val="00E71D6F"/>
    <w:rsid w:val="00E71D84"/>
    <w:rsid w:val="00E71DE6"/>
    <w:rsid w:val="00E7209F"/>
    <w:rsid w:val="00E7212B"/>
    <w:rsid w:val="00E72143"/>
    <w:rsid w:val="00E72240"/>
    <w:rsid w:val="00E72284"/>
    <w:rsid w:val="00E72342"/>
    <w:rsid w:val="00E723B2"/>
    <w:rsid w:val="00E7246A"/>
    <w:rsid w:val="00E724BF"/>
    <w:rsid w:val="00E724F7"/>
    <w:rsid w:val="00E725D1"/>
    <w:rsid w:val="00E7274E"/>
    <w:rsid w:val="00E72781"/>
    <w:rsid w:val="00E727CE"/>
    <w:rsid w:val="00E728CB"/>
    <w:rsid w:val="00E72C7D"/>
    <w:rsid w:val="00E72CEA"/>
    <w:rsid w:val="00E72D35"/>
    <w:rsid w:val="00E72F7B"/>
    <w:rsid w:val="00E73235"/>
    <w:rsid w:val="00E732BA"/>
    <w:rsid w:val="00E734AA"/>
    <w:rsid w:val="00E73945"/>
    <w:rsid w:val="00E73BF1"/>
    <w:rsid w:val="00E73CEF"/>
    <w:rsid w:val="00E74185"/>
    <w:rsid w:val="00E742E9"/>
    <w:rsid w:val="00E743E1"/>
    <w:rsid w:val="00E74785"/>
    <w:rsid w:val="00E7490B"/>
    <w:rsid w:val="00E74CF8"/>
    <w:rsid w:val="00E74DCC"/>
    <w:rsid w:val="00E74E52"/>
    <w:rsid w:val="00E74E7F"/>
    <w:rsid w:val="00E74F07"/>
    <w:rsid w:val="00E75123"/>
    <w:rsid w:val="00E754A0"/>
    <w:rsid w:val="00E756C7"/>
    <w:rsid w:val="00E75B35"/>
    <w:rsid w:val="00E75CA1"/>
    <w:rsid w:val="00E75D90"/>
    <w:rsid w:val="00E75E97"/>
    <w:rsid w:val="00E75F2B"/>
    <w:rsid w:val="00E760D9"/>
    <w:rsid w:val="00E761BA"/>
    <w:rsid w:val="00E7628D"/>
    <w:rsid w:val="00E762A7"/>
    <w:rsid w:val="00E764AD"/>
    <w:rsid w:val="00E76625"/>
    <w:rsid w:val="00E7673E"/>
    <w:rsid w:val="00E76759"/>
    <w:rsid w:val="00E767B6"/>
    <w:rsid w:val="00E769CD"/>
    <w:rsid w:val="00E76B76"/>
    <w:rsid w:val="00E76C16"/>
    <w:rsid w:val="00E76CF8"/>
    <w:rsid w:val="00E77027"/>
    <w:rsid w:val="00E771BE"/>
    <w:rsid w:val="00E77214"/>
    <w:rsid w:val="00E77270"/>
    <w:rsid w:val="00E77357"/>
    <w:rsid w:val="00E77483"/>
    <w:rsid w:val="00E774F0"/>
    <w:rsid w:val="00E7753F"/>
    <w:rsid w:val="00E77565"/>
    <w:rsid w:val="00E775ED"/>
    <w:rsid w:val="00E77715"/>
    <w:rsid w:val="00E7779B"/>
    <w:rsid w:val="00E77850"/>
    <w:rsid w:val="00E7787A"/>
    <w:rsid w:val="00E77940"/>
    <w:rsid w:val="00E7798C"/>
    <w:rsid w:val="00E77A60"/>
    <w:rsid w:val="00E77D49"/>
    <w:rsid w:val="00E77FE0"/>
    <w:rsid w:val="00E8015D"/>
    <w:rsid w:val="00E80172"/>
    <w:rsid w:val="00E801B6"/>
    <w:rsid w:val="00E8023C"/>
    <w:rsid w:val="00E8029F"/>
    <w:rsid w:val="00E8039B"/>
    <w:rsid w:val="00E803B5"/>
    <w:rsid w:val="00E808BA"/>
    <w:rsid w:val="00E80C48"/>
    <w:rsid w:val="00E80CEE"/>
    <w:rsid w:val="00E80FDF"/>
    <w:rsid w:val="00E80FF9"/>
    <w:rsid w:val="00E810B1"/>
    <w:rsid w:val="00E81141"/>
    <w:rsid w:val="00E81193"/>
    <w:rsid w:val="00E8126B"/>
    <w:rsid w:val="00E81280"/>
    <w:rsid w:val="00E813E2"/>
    <w:rsid w:val="00E8142E"/>
    <w:rsid w:val="00E81539"/>
    <w:rsid w:val="00E815E0"/>
    <w:rsid w:val="00E815F9"/>
    <w:rsid w:val="00E81642"/>
    <w:rsid w:val="00E81676"/>
    <w:rsid w:val="00E81894"/>
    <w:rsid w:val="00E818AB"/>
    <w:rsid w:val="00E81A20"/>
    <w:rsid w:val="00E81BDE"/>
    <w:rsid w:val="00E81F35"/>
    <w:rsid w:val="00E81F3D"/>
    <w:rsid w:val="00E8207D"/>
    <w:rsid w:val="00E82141"/>
    <w:rsid w:val="00E82647"/>
    <w:rsid w:val="00E827C5"/>
    <w:rsid w:val="00E82860"/>
    <w:rsid w:val="00E829D4"/>
    <w:rsid w:val="00E82A8A"/>
    <w:rsid w:val="00E82B72"/>
    <w:rsid w:val="00E82E49"/>
    <w:rsid w:val="00E82E74"/>
    <w:rsid w:val="00E82FCB"/>
    <w:rsid w:val="00E82FEB"/>
    <w:rsid w:val="00E83097"/>
    <w:rsid w:val="00E832AC"/>
    <w:rsid w:val="00E83384"/>
    <w:rsid w:val="00E83895"/>
    <w:rsid w:val="00E8391E"/>
    <w:rsid w:val="00E83ADF"/>
    <w:rsid w:val="00E83B24"/>
    <w:rsid w:val="00E83BB0"/>
    <w:rsid w:val="00E83C63"/>
    <w:rsid w:val="00E83D0C"/>
    <w:rsid w:val="00E83D85"/>
    <w:rsid w:val="00E83D94"/>
    <w:rsid w:val="00E83F1D"/>
    <w:rsid w:val="00E84284"/>
    <w:rsid w:val="00E84565"/>
    <w:rsid w:val="00E84724"/>
    <w:rsid w:val="00E8488C"/>
    <w:rsid w:val="00E848F6"/>
    <w:rsid w:val="00E84A1F"/>
    <w:rsid w:val="00E84B0C"/>
    <w:rsid w:val="00E84B1D"/>
    <w:rsid w:val="00E84B9C"/>
    <w:rsid w:val="00E84B9F"/>
    <w:rsid w:val="00E84E2E"/>
    <w:rsid w:val="00E84FC2"/>
    <w:rsid w:val="00E85264"/>
    <w:rsid w:val="00E85340"/>
    <w:rsid w:val="00E854AD"/>
    <w:rsid w:val="00E85565"/>
    <w:rsid w:val="00E855C4"/>
    <w:rsid w:val="00E857B5"/>
    <w:rsid w:val="00E85A79"/>
    <w:rsid w:val="00E85C48"/>
    <w:rsid w:val="00E85DCD"/>
    <w:rsid w:val="00E85F88"/>
    <w:rsid w:val="00E860C7"/>
    <w:rsid w:val="00E860DA"/>
    <w:rsid w:val="00E860E2"/>
    <w:rsid w:val="00E86175"/>
    <w:rsid w:val="00E861AC"/>
    <w:rsid w:val="00E861F3"/>
    <w:rsid w:val="00E86406"/>
    <w:rsid w:val="00E864BA"/>
    <w:rsid w:val="00E86623"/>
    <w:rsid w:val="00E866D3"/>
    <w:rsid w:val="00E8679F"/>
    <w:rsid w:val="00E8697F"/>
    <w:rsid w:val="00E869CA"/>
    <w:rsid w:val="00E86A37"/>
    <w:rsid w:val="00E86B2A"/>
    <w:rsid w:val="00E86C6C"/>
    <w:rsid w:val="00E86F79"/>
    <w:rsid w:val="00E86FB3"/>
    <w:rsid w:val="00E87090"/>
    <w:rsid w:val="00E870E7"/>
    <w:rsid w:val="00E871F4"/>
    <w:rsid w:val="00E8721B"/>
    <w:rsid w:val="00E87247"/>
    <w:rsid w:val="00E8725E"/>
    <w:rsid w:val="00E87275"/>
    <w:rsid w:val="00E87536"/>
    <w:rsid w:val="00E875B1"/>
    <w:rsid w:val="00E876F5"/>
    <w:rsid w:val="00E87719"/>
    <w:rsid w:val="00E87822"/>
    <w:rsid w:val="00E878CA"/>
    <w:rsid w:val="00E87975"/>
    <w:rsid w:val="00E87991"/>
    <w:rsid w:val="00E879AD"/>
    <w:rsid w:val="00E87A14"/>
    <w:rsid w:val="00E87B33"/>
    <w:rsid w:val="00E87BB6"/>
    <w:rsid w:val="00E87BF3"/>
    <w:rsid w:val="00E87C00"/>
    <w:rsid w:val="00E87E36"/>
    <w:rsid w:val="00E87FBA"/>
    <w:rsid w:val="00E90131"/>
    <w:rsid w:val="00E902C6"/>
    <w:rsid w:val="00E9057E"/>
    <w:rsid w:val="00E905EB"/>
    <w:rsid w:val="00E9065A"/>
    <w:rsid w:val="00E906A5"/>
    <w:rsid w:val="00E90DE7"/>
    <w:rsid w:val="00E90FD8"/>
    <w:rsid w:val="00E916F7"/>
    <w:rsid w:val="00E919E7"/>
    <w:rsid w:val="00E91A30"/>
    <w:rsid w:val="00E91B4F"/>
    <w:rsid w:val="00E91C20"/>
    <w:rsid w:val="00E91D85"/>
    <w:rsid w:val="00E91E73"/>
    <w:rsid w:val="00E91EBF"/>
    <w:rsid w:val="00E91F67"/>
    <w:rsid w:val="00E9235F"/>
    <w:rsid w:val="00E9271B"/>
    <w:rsid w:val="00E928C2"/>
    <w:rsid w:val="00E928D0"/>
    <w:rsid w:val="00E92A38"/>
    <w:rsid w:val="00E92AC0"/>
    <w:rsid w:val="00E92AE0"/>
    <w:rsid w:val="00E92B04"/>
    <w:rsid w:val="00E92C81"/>
    <w:rsid w:val="00E92C8D"/>
    <w:rsid w:val="00E92D91"/>
    <w:rsid w:val="00E92DED"/>
    <w:rsid w:val="00E92E1D"/>
    <w:rsid w:val="00E92ECF"/>
    <w:rsid w:val="00E930FE"/>
    <w:rsid w:val="00E93227"/>
    <w:rsid w:val="00E932A3"/>
    <w:rsid w:val="00E93592"/>
    <w:rsid w:val="00E93708"/>
    <w:rsid w:val="00E93795"/>
    <w:rsid w:val="00E93835"/>
    <w:rsid w:val="00E93913"/>
    <w:rsid w:val="00E93A48"/>
    <w:rsid w:val="00E93AEF"/>
    <w:rsid w:val="00E93E53"/>
    <w:rsid w:val="00E9421E"/>
    <w:rsid w:val="00E94254"/>
    <w:rsid w:val="00E94274"/>
    <w:rsid w:val="00E94309"/>
    <w:rsid w:val="00E94402"/>
    <w:rsid w:val="00E944B5"/>
    <w:rsid w:val="00E9466D"/>
    <w:rsid w:val="00E9468B"/>
    <w:rsid w:val="00E946D5"/>
    <w:rsid w:val="00E9476E"/>
    <w:rsid w:val="00E9490F"/>
    <w:rsid w:val="00E94A12"/>
    <w:rsid w:val="00E94DA7"/>
    <w:rsid w:val="00E94E3E"/>
    <w:rsid w:val="00E9517C"/>
    <w:rsid w:val="00E951AA"/>
    <w:rsid w:val="00E952B1"/>
    <w:rsid w:val="00E9544E"/>
    <w:rsid w:val="00E954C5"/>
    <w:rsid w:val="00E956F3"/>
    <w:rsid w:val="00E957DE"/>
    <w:rsid w:val="00E959C5"/>
    <w:rsid w:val="00E95A17"/>
    <w:rsid w:val="00E95ACB"/>
    <w:rsid w:val="00E95E2F"/>
    <w:rsid w:val="00E95EC5"/>
    <w:rsid w:val="00E9600C"/>
    <w:rsid w:val="00E96153"/>
    <w:rsid w:val="00E96172"/>
    <w:rsid w:val="00E963D2"/>
    <w:rsid w:val="00E96433"/>
    <w:rsid w:val="00E9689A"/>
    <w:rsid w:val="00E96947"/>
    <w:rsid w:val="00E969B7"/>
    <w:rsid w:val="00E969F3"/>
    <w:rsid w:val="00E96A63"/>
    <w:rsid w:val="00E96BB0"/>
    <w:rsid w:val="00E96C11"/>
    <w:rsid w:val="00E96C7C"/>
    <w:rsid w:val="00E96FDE"/>
    <w:rsid w:val="00E97159"/>
    <w:rsid w:val="00E97235"/>
    <w:rsid w:val="00E9733B"/>
    <w:rsid w:val="00E97356"/>
    <w:rsid w:val="00E9748D"/>
    <w:rsid w:val="00E97636"/>
    <w:rsid w:val="00E978C5"/>
    <w:rsid w:val="00E97904"/>
    <w:rsid w:val="00E97B80"/>
    <w:rsid w:val="00E97CF5"/>
    <w:rsid w:val="00E97D77"/>
    <w:rsid w:val="00E97E58"/>
    <w:rsid w:val="00E97EB1"/>
    <w:rsid w:val="00E97FDA"/>
    <w:rsid w:val="00EA0010"/>
    <w:rsid w:val="00EA0115"/>
    <w:rsid w:val="00EA02E9"/>
    <w:rsid w:val="00EA059C"/>
    <w:rsid w:val="00EA0857"/>
    <w:rsid w:val="00EA08DA"/>
    <w:rsid w:val="00EA0993"/>
    <w:rsid w:val="00EA0A6A"/>
    <w:rsid w:val="00EA0F5D"/>
    <w:rsid w:val="00EA1141"/>
    <w:rsid w:val="00EA1525"/>
    <w:rsid w:val="00EA1593"/>
    <w:rsid w:val="00EA15ED"/>
    <w:rsid w:val="00EA169A"/>
    <w:rsid w:val="00EA1701"/>
    <w:rsid w:val="00EA17A8"/>
    <w:rsid w:val="00EA1836"/>
    <w:rsid w:val="00EA1A11"/>
    <w:rsid w:val="00EA1A20"/>
    <w:rsid w:val="00EA1C7B"/>
    <w:rsid w:val="00EA1C89"/>
    <w:rsid w:val="00EA1FD3"/>
    <w:rsid w:val="00EA20C2"/>
    <w:rsid w:val="00EA20D4"/>
    <w:rsid w:val="00EA20FD"/>
    <w:rsid w:val="00EA221C"/>
    <w:rsid w:val="00EA2263"/>
    <w:rsid w:val="00EA22B5"/>
    <w:rsid w:val="00EA244E"/>
    <w:rsid w:val="00EA2459"/>
    <w:rsid w:val="00EA24E4"/>
    <w:rsid w:val="00EA24F8"/>
    <w:rsid w:val="00EA2558"/>
    <w:rsid w:val="00EA27E5"/>
    <w:rsid w:val="00EA27F4"/>
    <w:rsid w:val="00EA28C8"/>
    <w:rsid w:val="00EA28ED"/>
    <w:rsid w:val="00EA2A27"/>
    <w:rsid w:val="00EA2BE1"/>
    <w:rsid w:val="00EA2C1D"/>
    <w:rsid w:val="00EA2C21"/>
    <w:rsid w:val="00EA2C2A"/>
    <w:rsid w:val="00EA2C60"/>
    <w:rsid w:val="00EA2D29"/>
    <w:rsid w:val="00EA2D3B"/>
    <w:rsid w:val="00EA2F8A"/>
    <w:rsid w:val="00EA2FCB"/>
    <w:rsid w:val="00EA31F2"/>
    <w:rsid w:val="00EA3289"/>
    <w:rsid w:val="00EA3561"/>
    <w:rsid w:val="00EA35E5"/>
    <w:rsid w:val="00EA360F"/>
    <w:rsid w:val="00EA3678"/>
    <w:rsid w:val="00EA37E8"/>
    <w:rsid w:val="00EA38EB"/>
    <w:rsid w:val="00EA39D0"/>
    <w:rsid w:val="00EA3B5E"/>
    <w:rsid w:val="00EA3BD9"/>
    <w:rsid w:val="00EA3CEE"/>
    <w:rsid w:val="00EA3E36"/>
    <w:rsid w:val="00EA3FD3"/>
    <w:rsid w:val="00EA411A"/>
    <w:rsid w:val="00EA43EA"/>
    <w:rsid w:val="00EA4430"/>
    <w:rsid w:val="00EA4462"/>
    <w:rsid w:val="00EA451C"/>
    <w:rsid w:val="00EA45A5"/>
    <w:rsid w:val="00EA45D7"/>
    <w:rsid w:val="00EA46BF"/>
    <w:rsid w:val="00EA46D0"/>
    <w:rsid w:val="00EA470D"/>
    <w:rsid w:val="00EA48C4"/>
    <w:rsid w:val="00EA4A85"/>
    <w:rsid w:val="00EA4D92"/>
    <w:rsid w:val="00EA4E0E"/>
    <w:rsid w:val="00EA4E19"/>
    <w:rsid w:val="00EA4EE4"/>
    <w:rsid w:val="00EA4FA7"/>
    <w:rsid w:val="00EA50B5"/>
    <w:rsid w:val="00EA51B6"/>
    <w:rsid w:val="00EA524A"/>
    <w:rsid w:val="00EA5285"/>
    <w:rsid w:val="00EA5307"/>
    <w:rsid w:val="00EA59A7"/>
    <w:rsid w:val="00EA5A44"/>
    <w:rsid w:val="00EA5B49"/>
    <w:rsid w:val="00EA5F95"/>
    <w:rsid w:val="00EA5FB7"/>
    <w:rsid w:val="00EA603F"/>
    <w:rsid w:val="00EA60E4"/>
    <w:rsid w:val="00EA61E0"/>
    <w:rsid w:val="00EA63D1"/>
    <w:rsid w:val="00EA6508"/>
    <w:rsid w:val="00EA66B0"/>
    <w:rsid w:val="00EA68F4"/>
    <w:rsid w:val="00EA6903"/>
    <w:rsid w:val="00EA6922"/>
    <w:rsid w:val="00EA6927"/>
    <w:rsid w:val="00EA695B"/>
    <w:rsid w:val="00EA6CD9"/>
    <w:rsid w:val="00EA6FB8"/>
    <w:rsid w:val="00EA701E"/>
    <w:rsid w:val="00EA719C"/>
    <w:rsid w:val="00EA72AD"/>
    <w:rsid w:val="00EA7371"/>
    <w:rsid w:val="00EA7630"/>
    <w:rsid w:val="00EA786D"/>
    <w:rsid w:val="00EA7984"/>
    <w:rsid w:val="00EA7A61"/>
    <w:rsid w:val="00EA7CAF"/>
    <w:rsid w:val="00EA7CB7"/>
    <w:rsid w:val="00EA7CDC"/>
    <w:rsid w:val="00EA7D23"/>
    <w:rsid w:val="00EA7E37"/>
    <w:rsid w:val="00EA7EFD"/>
    <w:rsid w:val="00EA7FA7"/>
    <w:rsid w:val="00EA7FDD"/>
    <w:rsid w:val="00EB0051"/>
    <w:rsid w:val="00EB0068"/>
    <w:rsid w:val="00EB028B"/>
    <w:rsid w:val="00EB0320"/>
    <w:rsid w:val="00EB0339"/>
    <w:rsid w:val="00EB03EC"/>
    <w:rsid w:val="00EB0450"/>
    <w:rsid w:val="00EB053D"/>
    <w:rsid w:val="00EB05AA"/>
    <w:rsid w:val="00EB07A4"/>
    <w:rsid w:val="00EB0B77"/>
    <w:rsid w:val="00EB0CEA"/>
    <w:rsid w:val="00EB0DF1"/>
    <w:rsid w:val="00EB0E9C"/>
    <w:rsid w:val="00EB0EC7"/>
    <w:rsid w:val="00EB15D9"/>
    <w:rsid w:val="00EB16E4"/>
    <w:rsid w:val="00EB1831"/>
    <w:rsid w:val="00EB1853"/>
    <w:rsid w:val="00EB185C"/>
    <w:rsid w:val="00EB18EE"/>
    <w:rsid w:val="00EB1988"/>
    <w:rsid w:val="00EB19F1"/>
    <w:rsid w:val="00EB19F8"/>
    <w:rsid w:val="00EB1C76"/>
    <w:rsid w:val="00EB1CE6"/>
    <w:rsid w:val="00EB1D4B"/>
    <w:rsid w:val="00EB1E10"/>
    <w:rsid w:val="00EB1F07"/>
    <w:rsid w:val="00EB20CB"/>
    <w:rsid w:val="00EB22C3"/>
    <w:rsid w:val="00EB22F9"/>
    <w:rsid w:val="00EB2349"/>
    <w:rsid w:val="00EB23C8"/>
    <w:rsid w:val="00EB25AD"/>
    <w:rsid w:val="00EB26E9"/>
    <w:rsid w:val="00EB27FB"/>
    <w:rsid w:val="00EB283F"/>
    <w:rsid w:val="00EB29C3"/>
    <w:rsid w:val="00EB2E15"/>
    <w:rsid w:val="00EB2FD2"/>
    <w:rsid w:val="00EB3225"/>
    <w:rsid w:val="00EB3302"/>
    <w:rsid w:val="00EB3378"/>
    <w:rsid w:val="00EB34DB"/>
    <w:rsid w:val="00EB34FC"/>
    <w:rsid w:val="00EB3591"/>
    <w:rsid w:val="00EB35F2"/>
    <w:rsid w:val="00EB36B8"/>
    <w:rsid w:val="00EB379C"/>
    <w:rsid w:val="00EB37A9"/>
    <w:rsid w:val="00EB37B6"/>
    <w:rsid w:val="00EB3936"/>
    <w:rsid w:val="00EB3D38"/>
    <w:rsid w:val="00EB3E9D"/>
    <w:rsid w:val="00EB3F01"/>
    <w:rsid w:val="00EB405E"/>
    <w:rsid w:val="00EB4078"/>
    <w:rsid w:val="00EB413C"/>
    <w:rsid w:val="00EB4210"/>
    <w:rsid w:val="00EB4243"/>
    <w:rsid w:val="00EB42C3"/>
    <w:rsid w:val="00EB42CA"/>
    <w:rsid w:val="00EB4344"/>
    <w:rsid w:val="00EB45BE"/>
    <w:rsid w:val="00EB46EF"/>
    <w:rsid w:val="00EB478A"/>
    <w:rsid w:val="00EB4C80"/>
    <w:rsid w:val="00EB4CD5"/>
    <w:rsid w:val="00EB4FCF"/>
    <w:rsid w:val="00EB519B"/>
    <w:rsid w:val="00EB5219"/>
    <w:rsid w:val="00EB52EC"/>
    <w:rsid w:val="00EB5368"/>
    <w:rsid w:val="00EB54B2"/>
    <w:rsid w:val="00EB5546"/>
    <w:rsid w:val="00EB5670"/>
    <w:rsid w:val="00EB56AE"/>
    <w:rsid w:val="00EB56E0"/>
    <w:rsid w:val="00EB5738"/>
    <w:rsid w:val="00EB586A"/>
    <w:rsid w:val="00EB5F2B"/>
    <w:rsid w:val="00EB5FC6"/>
    <w:rsid w:val="00EB601D"/>
    <w:rsid w:val="00EB6060"/>
    <w:rsid w:val="00EB609F"/>
    <w:rsid w:val="00EB618F"/>
    <w:rsid w:val="00EB6268"/>
    <w:rsid w:val="00EB62DA"/>
    <w:rsid w:val="00EB6496"/>
    <w:rsid w:val="00EB67D7"/>
    <w:rsid w:val="00EB6C6B"/>
    <w:rsid w:val="00EB6D69"/>
    <w:rsid w:val="00EB6F1B"/>
    <w:rsid w:val="00EB7232"/>
    <w:rsid w:val="00EB73C4"/>
    <w:rsid w:val="00EB7555"/>
    <w:rsid w:val="00EB757D"/>
    <w:rsid w:val="00EB758D"/>
    <w:rsid w:val="00EB78AB"/>
    <w:rsid w:val="00EB79CA"/>
    <w:rsid w:val="00EB7AE3"/>
    <w:rsid w:val="00EB7AFB"/>
    <w:rsid w:val="00EB7C2D"/>
    <w:rsid w:val="00EC0259"/>
    <w:rsid w:val="00EC0278"/>
    <w:rsid w:val="00EC0479"/>
    <w:rsid w:val="00EC054D"/>
    <w:rsid w:val="00EC05A8"/>
    <w:rsid w:val="00EC06FE"/>
    <w:rsid w:val="00EC0837"/>
    <w:rsid w:val="00EC093B"/>
    <w:rsid w:val="00EC095D"/>
    <w:rsid w:val="00EC0963"/>
    <w:rsid w:val="00EC0A22"/>
    <w:rsid w:val="00EC0B7D"/>
    <w:rsid w:val="00EC0C77"/>
    <w:rsid w:val="00EC0E59"/>
    <w:rsid w:val="00EC10BA"/>
    <w:rsid w:val="00EC11B9"/>
    <w:rsid w:val="00EC13D1"/>
    <w:rsid w:val="00EC141C"/>
    <w:rsid w:val="00EC1585"/>
    <w:rsid w:val="00EC15C5"/>
    <w:rsid w:val="00EC1680"/>
    <w:rsid w:val="00EC17B2"/>
    <w:rsid w:val="00EC1A4D"/>
    <w:rsid w:val="00EC1AF7"/>
    <w:rsid w:val="00EC1C0D"/>
    <w:rsid w:val="00EC1C1B"/>
    <w:rsid w:val="00EC1E34"/>
    <w:rsid w:val="00EC1FA9"/>
    <w:rsid w:val="00EC2162"/>
    <w:rsid w:val="00EC23CB"/>
    <w:rsid w:val="00EC2487"/>
    <w:rsid w:val="00EC255D"/>
    <w:rsid w:val="00EC2685"/>
    <w:rsid w:val="00EC2872"/>
    <w:rsid w:val="00EC295B"/>
    <w:rsid w:val="00EC2AA5"/>
    <w:rsid w:val="00EC2C55"/>
    <w:rsid w:val="00EC3416"/>
    <w:rsid w:val="00EC343E"/>
    <w:rsid w:val="00EC34E2"/>
    <w:rsid w:val="00EC37E7"/>
    <w:rsid w:val="00EC3854"/>
    <w:rsid w:val="00EC394B"/>
    <w:rsid w:val="00EC39D7"/>
    <w:rsid w:val="00EC3CBD"/>
    <w:rsid w:val="00EC3D85"/>
    <w:rsid w:val="00EC3E37"/>
    <w:rsid w:val="00EC444A"/>
    <w:rsid w:val="00EC471F"/>
    <w:rsid w:val="00EC4B3F"/>
    <w:rsid w:val="00EC4CE0"/>
    <w:rsid w:val="00EC4D1E"/>
    <w:rsid w:val="00EC4E16"/>
    <w:rsid w:val="00EC4F33"/>
    <w:rsid w:val="00EC4FDA"/>
    <w:rsid w:val="00EC51EE"/>
    <w:rsid w:val="00EC53B5"/>
    <w:rsid w:val="00EC53C7"/>
    <w:rsid w:val="00EC549D"/>
    <w:rsid w:val="00EC5799"/>
    <w:rsid w:val="00EC58FF"/>
    <w:rsid w:val="00EC5A4D"/>
    <w:rsid w:val="00EC5BE6"/>
    <w:rsid w:val="00EC5D01"/>
    <w:rsid w:val="00EC5EF7"/>
    <w:rsid w:val="00EC5EFC"/>
    <w:rsid w:val="00EC601E"/>
    <w:rsid w:val="00EC603E"/>
    <w:rsid w:val="00EC60DF"/>
    <w:rsid w:val="00EC61B9"/>
    <w:rsid w:val="00EC6326"/>
    <w:rsid w:val="00EC675D"/>
    <w:rsid w:val="00EC6879"/>
    <w:rsid w:val="00EC6913"/>
    <w:rsid w:val="00EC69DB"/>
    <w:rsid w:val="00EC6C6B"/>
    <w:rsid w:val="00EC6EEC"/>
    <w:rsid w:val="00EC6F11"/>
    <w:rsid w:val="00EC6F1D"/>
    <w:rsid w:val="00EC743B"/>
    <w:rsid w:val="00EC74EA"/>
    <w:rsid w:val="00EC7618"/>
    <w:rsid w:val="00EC76CC"/>
    <w:rsid w:val="00EC76E8"/>
    <w:rsid w:val="00EC7829"/>
    <w:rsid w:val="00EC78C1"/>
    <w:rsid w:val="00EC7A50"/>
    <w:rsid w:val="00EC7A73"/>
    <w:rsid w:val="00EC7A8B"/>
    <w:rsid w:val="00EC7B87"/>
    <w:rsid w:val="00EC7BA7"/>
    <w:rsid w:val="00EC7DDB"/>
    <w:rsid w:val="00EC7EC8"/>
    <w:rsid w:val="00ED0020"/>
    <w:rsid w:val="00ED00C5"/>
    <w:rsid w:val="00ED020F"/>
    <w:rsid w:val="00ED02DD"/>
    <w:rsid w:val="00ED0473"/>
    <w:rsid w:val="00ED073F"/>
    <w:rsid w:val="00ED0858"/>
    <w:rsid w:val="00ED09B5"/>
    <w:rsid w:val="00ED09D0"/>
    <w:rsid w:val="00ED0B76"/>
    <w:rsid w:val="00ED0CF2"/>
    <w:rsid w:val="00ED0DE1"/>
    <w:rsid w:val="00ED0E54"/>
    <w:rsid w:val="00ED0EB0"/>
    <w:rsid w:val="00ED0F2E"/>
    <w:rsid w:val="00ED0F4B"/>
    <w:rsid w:val="00ED0F6C"/>
    <w:rsid w:val="00ED113B"/>
    <w:rsid w:val="00ED13A9"/>
    <w:rsid w:val="00ED140B"/>
    <w:rsid w:val="00ED1714"/>
    <w:rsid w:val="00ED1725"/>
    <w:rsid w:val="00ED18A4"/>
    <w:rsid w:val="00ED19CF"/>
    <w:rsid w:val="00ED1AEC"/>
    <w:rsid w:val="00ED1D48"/>
    <w:rsid w:val="00ED1DD6"/>
    <w:rsid w:val="00ED1F16"/>
    <w:rsid w:val="00ED2010"/>
    <w:rsid w:val="00ED216D"/>
    <w:rsid w:val="00ED21A8"/>
    <w:rsid w:val="00ED23B3"/>
    <w:rsid w:val="00ED248A"/>
    <w:rsid w:val="00ED2667"/>
    <w:rsid w:val="00ED26AA"/>
    <w:rsid w:val="00ED271D"/>
    <w:rsid w:val="00ED2745"/>
    <w:rsid w:val="00ED27F8"/>
    <w:rsid w:val="00ED2E4F"/>
    <w:rsid w:val="00ED3038"/>
    <w:rsid w:val="00ED307A"/>
    <w:rsid w:val="00ED37F8"/>
    <w:rsid w:val="00ED38D8"/>
    <w:rsid w:val="00ED396F"/>
    <w:rsid w:val="00ED3B6A"/>
    <w:rsid w:val="00ED3F45"/>
    <w:rsid w:val="00ED434A"/>
    <w:rsid w:val="00ED43C4"/>
    <w:rsid w:val="00ED461F"/>
    <w:rsid w:val="00ED4711"/>
    <w:rsid w:val="00ED472A"/>
    <w:rsid w:val="00ED4743"/>
    <w:rsid w:val="00ED4B0A"/>
    <w:rsid w:val="00ED4B66"/>
    <w:rsid w:val="00ED4E14"/>
    <w:rsid w:val="00ED51D3"/>
    <w:rsid w:val="00ED52E7"/>
    <w:rsid w:val="00ED53CA"/>
    <w:rsid w:val="00ED5420"/>
    <w:rsid w:val="00ED557B"/>
    <w:rsid w:val="00ED5C68"/>
    <w:rsid w:val="00ED5DC7"/>
    <w:rsid w:val="00ED5E32"/>
    <w:rsid w:val="00ED5E4E"/>
    <w:rsid w:val="00ED5EEC"/>
    <w:rsid w:val="00ED5F29"/>
    <w:rsid w:val="00ED5F70"/>
    <w:rsid w:val="00ED5FFC"/>
    <w:rsid w:val="00ED600A"/>
    <w:rsid w:val="00ED62F6"/>
    <w:rsid w:val="00ED63A2"/>
    <w:rsid w:val="00ED63F5"/>
    <w:rsid w:val="00ED64A4"/>
    <w:rsid w:val="00ED6545"/>
    <w:rsid w:val="00ED6684"/>
    <w:rsid w:val="00ED67DC"/>
    <w:rsid w:val="00ED6B52"/>
    <w:rsid w:val="00ED6C30"/>
    <w:rsid w:val="00ED6D2E"/>
    <w:rsid w:val="00ED700A"/>
    <w:rsid w:val="00ED716C"/>
    <w:rsid w:val="00ED71A8"/>
    <w:rsid w:val="00ED73EB"/>
    <w:rsid w:val="00ED74B0"/>
    <w:rsid w:val="00ED74BC"/>
    <w:rsid w:val="00ED74CE"/>
    <w:rsid w:val="00ED757C"/>
    <w:rsid w:val="00ED76B3"/>
    <w:rsid w:val="00ED770D"/>
    <w:rsid w:val="00ED77BC"/>
    <w:rsid w:val="00ED79A9"/>
    <w:rsid w:val="00ED7A5B"/>
    <w:rsid w:val="00ED7A75"/>
    <w:rsid w:val="00ED7B33"/>
    <w:rsid w:val="00ED7B53"/>
    <w:rsid w:val="00ED7BEB"/>
    <w:rsid w:val="00ED7D25"/>
    <w:rsid w:val="00ED7D37"/>
    <w:rsid w:val="00ED7DE2"/>
    <w:rsid w:val="00ED7E58"/>
    <w:rsid w:val="00EE0311"/>
    <w:rsid w:val="00EE03FE"/>
    <w:rsid w:val="00EE041A"/>
    <w:rsid w:val="00EE07CC"/>
    <w:rsid w:val="00EE083B"/>
    <w:rsid w:val="00EE0936"/>
    <w:rsid w:val="00EE0BAF"/>
    <w:rsid w:val="00EE0D61"/>
    <w:rsid w:val="00EE0E24"/>
    <w:rsid w:val="00EE137A"/>
    <w:rsid w:val="00EE1716"/>
    <w:rsid w:val="00EE1749"/>
    <w:rsid w:val="00EE17AE"/>
    <w:rsid w:val="00EE1801"/>
    <w:rsid w:val="00EE1964"/>
    <w:rsid w:val="00EE19D7"/>
    <w:rsid w:val="00EE1A1C"/>
    <w:rsid w:val="00EE1A93"/>
    <w:rsid w:val="00EE1BD3"/>
    <w:rsid w:val="00EE1C7E"/>
    <w:rsid w:val="00EE21DE"/>
    <w:rsid w:val="00EE231A"/>
    <w:rsid w:val="00EE24CB"/>
    <w:rsid w:val="00EE24E9"/>
    <w:rsid w:val="00EE254A"/>
    <w:rsid w:val="00EE26EF"/>
    <w:rsid w:val="00EE2714"/>
    <w:rsid w:val="00EE27C1"/>
    <w:rsid w:val="00EE2B5D"/>
    <w:rsid w:val="00EE2BB4"/>
    <w:rsid w:val="00EE2DB3"/>
    <w:rsid w:val="00EE2E70"/>
    <w:rsid w:val="00EE2F92"/>
    <w:rsid w:val="00EE2FD9"/>
    <w:rsid w:val="00EE326D"/>
    <w:rsid w:val="00EE32E7"/>
    <w:rsid w:val="00EE345F"/>
    <w:rsid w:val="00EE3467"/>
    <w:rsid w:val="00EE3548"/>
    <w:rsid w:val="00EE35D4"/>
    <w:rsid w:val="00EE366E"/>
    <w:rsid w:val="00EE36C7"/>
    <w:rsid w:val="00EE36F9"/>
    <w:rsid w:val="00EE399C"/>
    <w:rsid w:val="00EE3BD8"/>
    <w:rsid w:val="00EE3C6B"/>
    <w:rsid w:val="00EE3D49"/>
    <w:rsid w:val="00EE3D4A"/>
    <w:rsid w:val="00EE3DCD"/>
    <w:rsid w:val="00EE3F9A"/>
    <w:rsid w:val="00EE410D"/>
    <w:rsid w:val="00EE4322"/>
    <w:rsid w:val="00EE441D"/>
    <w:rsid w:val="00EE444C"/>
    <w:rsid w:val="00EE4B66"/>
    <w:rsid w:val="00EE4DD3"/>
    <w:rsid w:val="00EE4E5E"/>
    <w:rsid w:val="00EE5059"/>
    <w:rsid w:val="00EE52D8"/>
    <w:rsid w:val="00EE5355"/>
    <w:rsid w:val="00EE542B"/>
    <w:rsid w:val="00EE5477"/>
    <w:rsid w:val="00EE548B"/>
    <w:rsid w:val="00EE5600"/>
    <w:rsid w:val="00EE562F"/>
    <w:rsid w:val="00EE5754"/>
    <w:rsid w:val="00EE58D3"/>
    <w:rsid w:val="00EE58ED"/>
    <w:rsid w:val="00EE595D"/>
    <w:rsid w:val="00EE5A25"/>
    <w:rsid w:val="00EE5AF1"/>
    <w:rsid w:val="00EE5AF8"/>
    <w:rsid w:val="00EE5B23"/>
    <w:rsid w:val="00EE5B3E"/>
    <w:rsid w:val="00EE5C70"/>
    <w:rsid w:val="00EE5CED"/>
    <w:rsid w:val="00EE5DEB"/>
    <w:rsid w:val="00EE5F72"/>
    <w:rsid w:val="00EE61E0"/>
    <w:rsid w:val="00EE63B5"/>
    <w:rsid w:val="00EE6868"/>
    <w:rsid w:val="00EE6882"/>
    <w:rsid w:val="00EE6B4A"/>
    <w:rsid w:val="00EE6CA8"/>
    <w:rsid w:val="00EE6F17"/>
    <w:rsid w:val="00EE7051"/>
    <w:rsid w:val="00EE72E3"/>
    <w:rsid w:val="00EE7381"/>
    <w:rsid w:val="00EE73DD"/>
    <w:rsid w:val="00EE742D"/>
    <w:rsid w:val="00EE74D6"/>
    <w:rsid w:val="00EE783B"/>
    <w:rsid w:val="00EE79B1"/>
    <w:rsid w:val="00EE7DBD"/>
    <w:rsid w:val="00EE7FE4"/>
    <w:rsid w:val="00EF021B"/>
    <w:rsid w:val="00EF022D"/>
    <w:rsid w:val="00EF02F0"/>
    <w:rsid w:val="00EF0497"/>
    <w:rsid w:val="00EF05B7"/>
    <w:rsid w:val="00EF06AB"/>
    <w:rsid w:val="00EF0849"/>
    <w:rsid w:val="00EF0C7D"/>
    <w:rsid w:val="00EF0CBA"/>
    <w:rsid w:val="00EF0EF8"/>
    <w:rsid w:val="00EF0F78"/>
    <w:rsid w:val="00EF123F"/>
    <w:rsid w:val="00EF1298"/>
    <w:rsid w:val="00EF1524"/>
    <w:rsid w:val="00EF1572"/>
    <w:rsid w:val="00EF1638"/>
    <w:rsid w:val="00EF174F"/>
    <w:rsid w:val="00EF1778"/>
    <w:rsid w:val="00EF185F"/>
    <w:rsid w:val="00EF18E2"/>
    <w:rsid w:val="00EF1A18"/>
    <w:rsid w:val="00EF1A59"/>
    <w:rsid w:val="00EF1AA5"/>
    <w:rsid w:val="00EF1AA7"/>
    <w:rsid w:val="00EF1AD0"/>
    <w:rsid w:val="00EF1B49"/>
    <w:rsid w:val="00EF1D62"/>
    <w:rsid w:val="00EF1EAC"/>
    <w:rsid w:val="00EF1EB1"/>
    <w:rsid w:val="00EF1EC9"/>
    <w:rsid w:val="00EF1F8C"/>
    <w:rsid w:val="00EF1FDC"/>
    <w:rsid w:val="00EF20AE"/>
    <w:rsid w:val="00EF2301"/>
    <w:rsid w:val="00EF243F"/>
    <w:rsid w:val="00EF250A"/>
    <w:rsid w:val="00EF25BB"/>
    <w:rsid w:val="00EF25C7"/>
    <w:rsid w:val="00EF264A"/>
    <w:rsid w:val="00EF285A"/>
    <w:rsid w:val="00EF2937"/>
    <w:rsid w:val="00EF2946"/>
    <w:rsid w:val="00EF2AC5"/>
    <w:rsid w:val="00EF2B99"/>
    <w:rsid w:val="00EF326C"/>
    <w:rsid w:val="00EF3586"/>
    <w:rsid w:val="00EF393B"/>
    <w:rsid w:val="00EF398C"/>
    <w:rsid w:val="00EF3998"/>
    <w:rsid w:val="00EF39B5"/>
    <w:rsid w:val="00EF3C60"/>
    <w:rsid w:val="00EF3CA8"/>
    <w:rsid w:val="00EF3F12"/>
    <w:rsid w:val="00EF44AE"/>
    <w:rsid w:val="00EF466A"/>
    <w:rsid w:val="00EF473D"/>
    <w:rsid w:val="00EF4881"/>
    <w:rsid w:val="00EF49A2"/>
    <w:rsid w:val="00EF4AB0"/>
    <w:rsid w:val="00EF4E89"/>
    <w:rsid w:val="00EF594D"/>
    <w:rsid w:val="00EF5B04"/>
    <w:rsid w:val="00EF5B1F"/>
    <w:rsid w:val="00EF5B2D"/>
    <w:rsid w:val="00EF5BAE"/>
    <w:rsid w:val="00EF5C7D"/>
    <w:rsid w:val="00EF5DDF"/>
    <w:rsid w:val="00EF5E36"/>
    <w:rsid w:val="00EF5E8C"/>
    <w:rsid w:val="00EF5EDA"/>
    <w:rsid w:val="00EF5F51"/>
    <w:rsid w:val="00EF6059"/>
    <w:rsid w:val="00EF607E"/>
    <w:rsid w:val="00EF60A6"/>
    <w:rsid w:val="00EF60B1"/>
    <w:rsid w:val="00EF6191"/>
    <w:rsid w:val="00EF62CB"/>
    <w:rsid w:val="00EF6384"/>
    <w:rsid w:val="00EF6527"/>
    <w:rsid w:val="00EF65E3"/>
    <w:rsid w:val="00EF65E8"/>
    <w:rsid w:val="00EF69D1"/>
    <w:rsid w:val="00EF6B4C"/>
    <w:rsid w:val="00EF6BF5"/>
    <w:rsid w:val="00EF6D0F"/>
    <w:rsid w:val="00EF6D44"/>
    <w:rsid w:val="00EF7094"/>
    <w:rsid w:val="00EF71F8"/>
    <w:rsid w:val="00EF7340"/>
    <w:rsid w:val="00EF738D"/>
    <w:rsid w:val="00EF740F"/>
    <w:rsid w:val="00EF7467"/>
    <w:rsid w:val="00EF77F6"/>
    <w:rsid w:val="00EF7939"/>
    <w:rsid w:val="00EF7A28"/>
    <w:rsid w:val="00EF7A3C"/>
    <w:rsid w:val="00EF7A4D"/>
    <w:rsid w:val="00EF7E42"/>
    <w:rsid w:val="00F00383"/>
    <w:rsid w:val="00F003A3"/>
    <w:rsid w:val="00F00557"/>
    <w:rsid w:val="00F005AF"/>
    <w:rsid w:val="00F00ACF"/>
    <w:rsid w:val="00F00C08"/>
    <w:rsid w:val="00F00C88"/>
    <w:rsid w:val="00F01371"/>
    <w:rsid w:val="00F015B5"/>
    <w:rsid w:val="00F01648"/>
    <w:rsid w:val="00F0179E"/>
    <w:rsid w:val="00F017B0"/>
    <w:rsid w:val="00F01843"/>
    <w:rsid w:val="00F01A47"/>
    <w:rsid w:val="00F01A63"/>
    <w:rsid w:val="00F01AB3"/>
    <w:rsid w:val="00F01CA3"/>
    <w:rsid w:val="00F01D24"/>
    <w:rsid w:val="00F01D82"/>
    <w:rsid w:val="00F01F9C"/>
    <w:rsid w:val="00F020B9"/>
    <w:rsid w:val="00F020D4"/>
    <w:rsid w:val="00F021F5"/>
    <w:rsid w:val="00F02652"/>
    <w:rsid w:val="00F026E1"/>
    <w:rsid w:val="00F029C4"/>
    <w:rsid w:val="00F02AC2"/>
    <w:rsid w:val="00F02FB5"/>
    <w:rsid w:val="00F0305C"/>
    <w:rsid w:val="00F03069"/>
    <w:rsid w:val="00F0321F"/>
    <w:rsid w:val="00F03A2A"/>
    <w:rsid w:val="00F03CA7"/>
    <w:rsid w:val="00F041EB"/>
    <w:rsid w:val="00F04361"/>
    <w:rsid w:val="00F043DD"/>
    <w:rsid w:val="00F04456"/>
    <w:rsid w:val="00F04800"/>
    <w:rsid w:val="00F04A10"/>
    <w:rsid w:val="00F04C8E"/>
    <w:rsid w:val="00F04CB4"/>
    <w:rsid w:val="00F04D24"/>
    <w:rsid w:val="00F04D3A"/>
    <w:rsid w:val="00F04EA5"/>
    <w:rsid w:val="00F05045"/>
    <w:rsid w:val="00F055AC"/>
    <w:rsid w:val="00F0563C"/>
    <w:rsid w:val="00F057F7"/>
    <w:rsid w:val="00F059B8"/>
    <w:rsid w:val="00F05A8B"/>
    <w:rsid w:val="00F05B2C"/>
    <w:rsid w:val="00F05B49"/>
    <w:rsid w:val="00F05C0F"/>
    <w:rsid w:val="00F05C39"/>
    <w:rsid w:val="00F05CD9"/>
    <w:rsid w:val="00F05CFE"/>
    <w:rsid w:val="00F05DA1"/>
    <w:rsid w:val="00F05ECB"/>
    <w:rsid w:val="00F0601A"/>
    <w:rsid w:val="00F061A3"/>
    <w:rsid w:val="00F06268"/>
    <w:rsid w:val="00F06270"/>
    <w:rsid w:val="00F0632B"/>
    <w:rsid w:val="00F0649F"/>
    <w:rsid w:val="00F066E0"/>
    <w:rsid w:val="00F06AE7"/>
    <w:rsid w:val="00F06BD6"/>
    <w:rsid w:val="00F06CA8"/>
    <w:rsid w:val="00F06F01"/>
    <w:rsid w:val="00F07397"/>
    <w:rsid w:val="00F07406"/>
    <w:rsid w:val="00F07464"/>
    <w:rsid w:val="00F074B6"/>
    <w:rsid w:val="00F0767F"/>
    <w:rsid w:val="00F0779B"/>
    <w:rsid w:val="00F0780E"/>
    <w:rsid w:val="00F078A6"/>
    <w:rsid w:val="00F07B0D"/>
    <w:rsid w:val="00F07CE1"/>
    <w:rsid w:val="00F07D06"/>
    <w:rsid w:val="00F07F25"/>
    <w:rsid w:val="00F07F27"/>
    <w:rsid w:val="00F1004E"/>
    <w:rsid w:val="00F10180"/>
    <w:rsid w:val="00F1029E"/>
    <w:rsid w:val="00F1031A"/>
    <w:rsid w:val="00F10429"/>
    <w:rsid w:val="00F104C7"/>
    <w:rsid w:val="00F10524"/>
    <w:rsid w:val="00F107BD"/>
    <w:rsid w:val="00F10810"/>
    <w:rsid w:val="00F10A25"/>
    <w:rsid w:val="00F10E28"/>
    <w:rsid w:val="00F10FFB"/>
    <w:rsid w:val="00F1107E"/>
    <w:rsid w:val="00F111BA"/>
    <w:rsid w:val="00F1145B"/>
    <w:rsid w:val="00F1156B"/>
    <w:rsid w:val="00F115B8"/>
    <w:rsid w:val="00F116F8"/>
    <w:rsid w:val="00F1199D"/>
    <w:rsid w:val="00F11ACB"/>
    <w:rsid w:val="00F11B23"/>
    <w:rsid w:val="00F11B79"/>
    <w:rsid w:val="00F11D01"/>
    <w:rsid w:val="00F11DD3"/>
    <w:rsid w:val="00F11E0D"/>
    <w:rsid w:val="00F11F57"/>
    <w:rsid w:val="00F11FB7"/>
    <w:rsid w:val="00F121DB"/>
    <w:rsid w:val="00F12378"/>
    <w:rsid w:val="00F1242B"/>
    <w:rsid w:val="00F124A9"/>
    <w:rsid w:val="00F125B9"/>
    <w:rsid w:val="00F12624"/>
    <w:rsid w:val="00F1284C"/>
    <w:rsid w:val="00F12D91"/>
    <w:rsid w:val="00F12DC1"/>
    <w:rsid w:val="00F12DCB"/>
    <w:rsid w:val="00F12EE4"/>
    <w:rsid w:val="00F12FD9"/>
    <w:rsid w:val="00F1303C"/>
    <w:rsid w:val="00F1304A"/>
    <w:rsid w:val="00F131BE"/>
    <w:rsid w:val="00F133A8"/>
    <w:rsid w:val="00F1342A"/>
    <w:rsid w:val="00F13437"/>
    <w:rsid w:val="00F1354B"/>
    <w:rsid w:val="00F13681"/>
    <w:rsid w:val="00F1377A"/>
    <w:rsid w:val="00F138B4"/>
    <w:rsid w:val="00F13990"/>
    <w:rsid w:val="00F13AAA"/>
    <w:rsid w:val="00F13B2F"/>
    <w:rsid w:val="00F13B33"/>
    <w:rsid w:val="00F13B90"/>
    <w:rsid w:val="00F13D0A"/>
    <w:rsid w:val="00F13DDC"/>
    <w:rsid w:val="00F14069"/>
    <w:rsid w:val="00F1406D"/>
    <w:rsid w:val="00F14118"/>
    <w:rsid w:val="00F14237"/>
    <w:rsid w:val="00F142B5"/>
    <w:rsid w:val="00F143AE"/>
    <w:rsid w:val="00F14410"/>
    <w:rsid w:val="00F1452F"/>
    <w:rsid w:val="00F146BF"/>
    <w:rsid w:val="00F147C2"/>
    <w:rsid w:val="00F14A71"/>
    <w:rsid w:val="00F14AF8"/>
    <w:rsid w:val="00F14E81"/>
    <w:rsid w:val="00F150AC"/>
    <w:rsid w:val="00F150CE"/>
    <w:rsid w:val="00F150FA"/>
    <w:rsid w:val="00F1516B"/>
    <w:rsid w:val="00F15354"/>
    <w:rsid w:val="00F15432"/>
    <w:rsid w:val="00F1569A"/>
    <w:rsid w:val="00F15B75"/>
    <w:rsid w:val="00F15E4B"/>
    <w:rsid w:val="00F15F43"/>
    <w:rsid w:val="00F16033"/>
    <w:rsid w:val="00F16139"/>
    <w:rsid w:val="00F16303"/>
    <w:rsid w:val="00F164E7"/>
    <w:rsid w:val="00F165D1"/>
    <w:rsid w:val="00F16681"/>
    <w:rsid w:val="00F166DF"/>
    <w:rsid w:val="00F169DB"/>
    <w:rsid w:val="00F16A44"/>
    <w:rsid w:val="00F16AAC"/>
    <w:rsid w:val="00F16B22"/>
    <w:rsid w:val="00F16CB6"/>
    <w:rsid w:val="00F16D47"/>
    <w:rsid w:val="00F16D48"/>
    <w:rsid w:val="00F16D92"/>
    <w:rsid w:val="00F16E88"/>
    <w:rsid w:val="00F16E9C"/>
    <w:rsid w:val="00F16FAD"/>
    <w:rsid w:val="00F17264"/>
    <w:rsid w:val="00F172FC"/>
    <w:rsid w:val="00F17321"/>
    <w:rsid w:val="00F17383"/>
    <w:rsid w:val="00F17392"/>
    <w:rsid w:val="00F17434"/>
    <w:rsid w:val="00F17440"/>
    <w:rsid w:val="00F17452"/>
    <w:rsid w:val="00F17511"/>
    <w:rsid w:val="00F17512"/>
    <w:rsid w:val="00F1771B"/>
    <w:rsid w:val="00F1776B"/>
    <w:rsid w:val="00F177F2"/>
    <w:rsid w:val="00F1786D"/>
    <w:rsid w:val="00F1787E"/>
    <w:rsid w:val="00F17930"/>
    <w:rsid w:val="00F17B8F"/>
    <w:rsid w:val="00F17D14"/>
    <w:rsid w:val="00F2040D"/>
    <w:rsid w:val="00F20710"/>
    <w:rsid w:val="00F2077C"/>
    <w:rsid w:val="00F20929"/>
    <w:rsid w:val="00F20AA9"/>
    <w:rsid w:val="00F20BDE"/>
    <w:rsid w:val="00F20C4B"/>
    <w:rsid w:val="00F20CFB"/>
    <w:rsid w:val="00F20D63"/>
    <w:rsid w:val="00F20DF9"/>
    <w:rsid w:val="00F2128A"/>
    <w:rsid w:val="00F21454"/>
    <w:rsid w:val="00F214C4"/>
    <w:rsid w:val="00F21697"/>
    <w:rsid w:val="00F217D2"/>
    <w:rsid w:val="00F21929"/>
    <w:rsid w:val="00F21C78"/>
    <w:rsid w:val="00F21CA5"/>
    <w:rsid w:val="00F21E5E"/>
    <w:rsid w:val="00F21EB9"/>
    <w:rsid w:val="00F22275"/>
    <w:rsid w:val="00F2234E"/>
    <w:rsid w:val="00F225B4"/>
    <w:rsid w:val="00F2265E"/>
    <w:rsid w:val="00F2273F"/>
    <w:rsid w:val="00F22890"/>
    <w:rsid w:val="00F2292C"/>
    <w:rsid w:val="00F22AEB"/>
    <w:rsid w:val="00F22B3B"/>
    <w:rsid w:val="00F22BE7"/>
    <w:rsid w:val="00F22C12"/>
    <w:rsid w:val="00F22C45"/>
    <w:rsid w:val="00F22D00"/>
    <w:rsid w:val="00F22EFD"/>
    <w:rsid w:val="00F22FBB"/>
    <w:rsid w:val="00F23235"/>
    <w:rsid w:val="00F233C1"/>
    <w:rsid w:val="00F2357A"/>
    <w:rsid w:val="00F236C1"/>
    <w:rsid w:val="00F23979"/>
    <w:rsid w:val="00F239EC"/>
    <w:rsid w:val="00F23BEE"/>
    <w:rsid w:val="00F23D50"/>
    <w:rsid w:val="00F23E9C"/>
    <w:rsid w:val="00F23FEC"/>
    <w:rsid w:val="00F2404E"/>
    <w:rsid w:val="00F24085"/>
    <w:rsid w:val="00F241A4"/>
    <w:rsid w:val="00F241F1"/>
    <w:rsid w:val="00F242E8"/>
    <w:rsid w:val="00F243CE"/>
    <w:rsid w:val="00F244D6"/>
    <w:rsid w:val="00F245DA"/>
    <w:rsid w:val="00F2486E"/>
    <w:rsid w:val="00F24900"/>
    <w:rsid w:val="00F24988"/>
    <w:rsid w:val="00F24A2E"/>
    <w:rsid w:val="00F24B7C"/>
    <w:rsid w:val="00F24D59"/>
    <w:rsid w:val="00F24DDB"/>
    <w:rsid w:val="00F252FE"/>
    <w:rsid w:val="00F25439"/>
    <w:rsid w:val="00F25459"/>
    <w:rsid w:val="00F2569F"/>
    <w:rsid w:val="00F25A11"/>
    <w:rsid w:val="00F25A5F"/>
    <w:rsid w:val="00F25A71"/>
    <w:rsid w:val="00F25C44"/>
    <w:rsid w:val="00F25C7D"/>
    <w:rsid w:val="00F25E9A"/>
    <w:rsid w:val="00F25ECB"/>
    <w:rsid w:val="00F25EE2"/>
    <w:rsid w:val="00F25F1F"/>
    <w:rsid w:val="00F25FF5"/>
    <w:rsid w:val="00F26006"/>
    <w:rsid w:val="00F262A7"/>
    <w:rsid w:val="00F26477"/>
    <w:rsid w:val="00F2669A"/>
    <w:rsid w:val="00F26736"/>
    <w:rsid w:val="00F2673F"/>
    <w:rsid w:val="00F26999"/>
    <w:rsid w:val="00F269C4"/>
    <w:rsid w:val="00F269CA"/>
    <w:rsid w:val="00F26C57"/>
    <w:rsid w:val="00F26DF1"/>
    <w:rsid w:val="00F26EFF"/>
    <w:rsid w:val="00F26F51"/>
    <w:rsid w:val="00F27036"/>
    <w:rsid w:val="00F27116"/>
    <w:rsid w:val="00F27361"/>
    <w:rsid w:val="00F274FE"/>
    <w:rsid w:val="00F276A1"/>
    <w:rsid w:val="00F276BB"/>
    <w:rsid w:val="00F276E9"/>
    <w:rsid w:val="00F27C1B"/>
    <w:rsid w:val="00F27DE4"/>
    <w:rsid w:val="00F27DF7"/>
    <w:rsid w:val="00F27E69"/>
    <w:rsid w:val="00F30040"/>
    <w:rsid w:val="00F30173"/>
    <w:rsid w:val="00F30406"/>
    <w:rsid w:val="00F30412"/>
    <w:rsid w:val="00F304F6"/>
    <w:rsid w:val="00F3067A"/>
    <w:rsid w:val="00F3074F"/>
    <w:rsid w:val="00F308D6"/>
    <w:rsid w:val="00F308FB"/>
    <w:rsid w:val="00F30A66"/>
    <w:rsid w:val="00F30B59"/>
    <w:rsid w:val="00F30D3C"/>
    <w:rsid w:val="00F30F50"/>
    <w:rsid w:val="00F30F80"/>
    <w:rsid w:val="00F30F96"/>
    <w:rsid w:val="00F312A6"/>
    <w:rsid w:val="00F31371"/>
    <w:rsid w:val="00F3137D"/>
    <w:rsid w:val="00F31499"/>
    <w:rsid w:val="00F3163C"/>
    <w:rsid w:val="00F317D2"/>
    <w:rsid w:val="00F31950"/>
    <w:rsid w:val="00F31C11"/>
    <w:rsid w:val="00F31D5E"/>
    <w:rsid w:val="00F31D65"/>
    <w:rsid w:val="00F31DB3"/>
    <w:rsid w:val="00F320BD"/>
    <w:rsid w:val="00F32173"/>
    <w:rsid w:val="00F322F4"/>
    <w:rsid w:val="00F322FA"/>
    <w:rsid w:val="00F3256C"/>
    <w:rsid w:val="00F32764"/>
    <w:rsid w:val="00F32795"/>
    <w:rsid w:val="00F3287A"/>
    <w:rsid w:val="00F32A02"/>
    <w:rsid w:val="00F32BCF"/>
    <w:rsid w:val="00F32CD4"/>
    <w:rsid w:val="00F32EFB"/>
    <w:rsid w:val="00F32FBB"/>
    <w:rsid w:val="00F33072"/>
    <w:rsid w:val="00F33340"/>
    <w:rsid w:val="00F33366"/>
    <w:rsid w:val="00F334FE"/>
    <w:rsid w:val="00F33574"/>
    <w:rsid w:val="00F33636"/>
    <w:rsid w:val="00F33D76"/>
    <w:rsid w:val="00F33E66"/>
    <w:rsid w:val="00F33FB5"/>
    <w:rsid w:val="00F34056"/>
    <w:rsid w:val="00F340CC"/>
    <w:rsid w:val="00F34103"/>
    <w:rsid w:val="00F34317"/>
    <w:rsid w:val="00F34550"/>
    <w:rsid w:val="00F3456B"/>
    <w:rsid w:val="00F34592"/>
    <w:rsid w:val="00F3469F"/>
    <w:rsid w:val="00F34748"/>
    <w:rsid w:val="00F3475C"/>
    <w:rsid w:val="00F34803"/>
    <w:rsid w:val="00F348AD"/>
    <w:rsid w:val="00F348B9"/>
    <w:rsid w:val="00F34ABD"/>
    <w:rsid w:val="00F34D29"/>
    <w:rsid w:val="00F34DDA"/>
    <w:rsid w:val="00F35142"/>
    <w:rsid w:val="00F3530D"/>
    <w:rsid w:val="00F35357"/>
    <w:rsid w:val="00F35610"/>
    <w:rsid w:val="00F3578B"/>
    <w:rsid w:val="00F359BD"/>
    <w:rsid w:val="00F35B56"/>
    <w:rsid w:val="00F35C11"/>
    <w:rsid w:val="00F35C85"/>
    <w:rsid w:val="00F35CD2"/>
    <w:rsid w:val="00F35D86"/>
    <w:rsid w:val="00F35EAE"/>
    <w:rsid w:val="00F36330"/>
    <w:rsid w:val="00F3640F"/>
    <w:rsid w:val="00F36593"/>
    <w:rsid w:val="00F365B0"/>
    <w:rsid w:val="00F36601"/>
    <w:rsid w:val="00F369F8"/>
    <w:rsid w:val="00F36B3D"/>
    <w:rsid w:val="00F36BC1"/>
    <w:rsid w:val="00F36CE9"/>
    <w:rsid w:val="00F36D18"/>
    <w:rsid w:val="00F3736E"/>
    <w:rsid w:val="00F37376"/>
    <w:rsid w:val="00F376DC"/>
    <w:rsid w:val="00F3773E"/>
    <w:rsid w:val="00F37D50"/>
    <w:rsid w:val="00F40078"/>
    <w:rsid w:val="00F40082"/>
    <w:rsid w:val="00F400B2"/>
    <w:rsid w:val="00F400DC"/>
    <w:rsid w:val="00F4028E"/>
    <w:rsid w:val="00F40332"/>
    <w:rsid w:val="00F404DC"/>
    <w:rsid w:val="00F40821"/>
    <w:rsid w:val="00F4084C"/>
    <w:rsid w:val="00F40AB6"/>
    <w:rsid w:val="00F40C3B"/>
    <w:rsid w:val="00F40E0D"/>
    <w:rsid w:val="00F40F08"/>
    <w:rsid w:val="00F40F26"/>
    <w:rsid w:val="00F40FAC"/>
    <w:rsid w:val="00F41029"/>
    <w:rsid w:val="00F410F7"/>
    <w:rsid w:val="00F4112C"/>
    <w:rsid w:val="00F41328"/>
    <w:rsid w:val="00F41338"/>
    <w:rsid w:val="00F4142E"/>
    <w:rsid w:val="00F414FE"/>
    <w:rsid w:val="00F41613"/>
    <w:rsid w:val="00F4162B"/>
    <w:rsid w:val="00F4188D"/>
    <w:rsid w:val="00F41B10"/>
    <w:rsid w:val="00F41B5C"/>
    <w:rsid w:val="00F41D2C"/>
    <w:rsid w:val="00F4201D"/>
    <w:rsid w:val="00F420AF"/>
    <w:rsid w:val="00F420F9"/>
    <w:rsid w:val="00F422D1"/>
    <w:rsid w:val="00F4230A"/>
    <w:rsid w:val="00F4231D"/>
    <w:rsid w:val="00F423CD"/>
    <w:rsid w:val="00F424E9"/>
    <w:rsid w:val="00F424FD"/>
    <w:rsid w:val="00F42545"/>
    <w:rsid w:val="00F42556"/>
    <w:rsid w:val="00F4284E"/>
    <w:rsid w:val="00F428C9"/>
    <w:rsid w:val="00F4292C"/>
    <w:rsid w:val="00F42944"/>
    <w:rsid w:val="00F42A56"/>
    <w:rsid w:val="00F42A99"/>
    <w:rsid w:val="00F42AEB"/>
    <w:rsid w:val="00F42D9B"/>
    <w:rsid w:val="00F42E3B"/>
    <w:rsid w:val="00F42E78"/>
    <w:rsid w:val="00F42F3D"/>
    <w:rsid w:val="00F4314E"/>
    <w:rsid w:val="00F4327D"/>
    <w:rsid w:val="00F43354"/>
    <w:rsid w:val="00F435C9"/>
    <w:rsid w:val="00F438B2"/>
    <w:rsid w:val="00F43947"/>
    <w:rsid w:val="00F439CE"/>
    <w:rsid w:val="00F43C59"/>
    <w:rsid w:val="00F43DE7"/>
    <w:rsid w:val="00F43EAA"/>
    <w:rsid w:val="00F43FDA"/>
    <w:rsid w:val="00F43FE6"/>
    <w:rsid w:val="00F44016"/>
    <w:rsid w:val="00F442BF"/>
    <w:rsid w:val="00F44553"/>
    <w:rsid w:val="00F445A2"/>
    <w:rsid w:val="00F447A7"/>
    <w:rsid w:val="00F44890"/>
    <w:rsid w:val="00F44901"/>
    <w:rsid w:val="00F44E07"/>
    <w:rsid w:val="00F44E58"/>
    <w:rsid w:val="00F44F42"/>
    <w:rsid w:val="00F44FD3"/>
    <w:rsid w:val="00F450D8"/>
    <w:rsid w:val="00F450E4"/>
    <w:rsid w:val="00F4516D"/>
    <w:rsid w:val="00F45423"/>
    <w:rsid w:val="00F45426"/>
    <w:rsid w:val="00F45550"/>
    <w:rsid w:val="00F45630"/>
    <w:rsid w:val="00F45745"/>
    <w:rsid w:val="00F457F6"/>
    <w:rsid w:val="00F459A9"/>
    <w:rsid w:val="00F45ADC"/>
    <w:rsid w:val="00F45BE5"/>
    <w:rsid w:val="00F45C53"/>
    <w:rsid w:val="00F460E5"/>
    <w:rsid w:val="00F464D5"/>
    <w:rsid w:val="00F46565"/>
    <w:rsid w:val="00F466F5"/>
    <w:rsid w:val="00F46973"/>
    <w:rsid w:val="00F469ED"/>
    <w:rsid w:val="00F46AD7"/>
    <w:rsid w:val="00F46BFF"/>
    <w:rsid w:val="00F46C6E"/>
    <w:rsid w:val="00F46E79"/>
    <w:rsid w:val="00F47099"/>
    <w:rsid w:val="00F472C5"/>
    <w:rsid w:val="00F472ED"/>
    <w:rsid w:val="00F4738F"/>
    <w:rsid w:val="00F47434"/>
    <w:rsid w:val="00F47574"/>
    <w:rsid w:val="00F47618"/>
    <w:rsid w:val="00F47678"/>
    <w:rsid w:val="00F476EF"/>
    <w:rsid w:val="00F476F5"/>
    <w:rsid w:val="00F47803"/>
    <w:rsid w:val="00F47929"/>
    <w:rsid w:val="00F47956"/>
    <w:rsid w:val="00F479BB"/>
    <w:rsid w:val="00F47CFA"/>
    <w:rsid w:val="00F47CFC"/>
    <w:rsid w:val="00F47F4D"/>
    <w:rsid w:val="00F47FAB"/>
    <w:rsid w:val="00F502ED"/>
    <w:rsid w:val="00F5051E"/>
    <w:rsid w:val="00F50559"/>
    <w:rsid w:val="00F505D7"/>
    <w:rsid w:val="00F507B3"/>
    <w:rsid w:val="00F508EE"/>
    <w:rsid w:val="00F5094A"/>
    <w:rsid w:val="00F50BF9"/>
    <w:rsid w:val="00F50C3A"/>
    <w:rsid w:val="00F50D3C"/>
    <w:rsid w:val="00F50D5D"/>
    <w:rsid w:val="00F51034"/>
    <w:rsid w:val="00F510A3"/>
    <w:rsid w:val="00F510AE"/>
    <w:rsid w:val="00F51186"/>
    <w:rsid w:val="00F51287"/>
    <w:rsid w:val="00F51356"/>
    <w:rsid w:val="00F5156E"/>
    <w:rsid w:val="00F51602"/>
    <w:rsid w:val="00F519C2"/>
    <w:rsid w:val="00F51A06"/>
    <w:rsid w:val="00F51A46"/>
    <w:rsid w:val="00F51BF8"/>
    <w:rsid w:val="00F51C20"/>
    <w:rsid w:val="00F51C4C"/>
    <w:rsid w:val="00F52326"/>
    <w:rsid w:val="00F52368"/>
    <w:rsid w:val="00F52427"/>
    <w:rsid w:val="00F525AC"/>
    <w:rsid w:val="00F5285B"/>
    <w:rsid w:val="00F5289A"/>
    <w:rsid w:val="00F52ACF"/>
    <w:rsid w:val="00F52BCE"/>
    <w:rsid w:val="00F52BFD"/>
    <w:rsid w:val="00F52CB3"/>
    <w:rsid w:val="00F53062"/>
    <w:rsid w:val="00F53108"/>
    <w:rsid w:val="00F53190"/>
    <w:rsid w:val="00F531C8"/>
    <w:rsid w:val="00F5332F"/>
    <w:rsid w:val="00F533E6"/>
    <w:rsid w:val="00F534AC"/>
    <w:rsid w:val="00F535C7"/>
    <w:rsid w:val="00F535D9"/>
    <w:rsid w:val="00F53709"/>
    <w:rsid w:val="00F53995"/>
    <w:rsid w:val="00F539E8"/>
    <w:rsid w:val="00F53B40"/>
    <w:rsid w:val="00F53C3F"/>
    <w:rsid w:val="00F53C4D"/>
    <w:rsid w:val="00F53D11"/>
    <w:rsid w:val="00F54019"/>
    <w:rsid w:val="00F540A6"/>
    <w:rsid w:val="00F545FB"/>
    <w:rsid w:val="00F54981"/>
    <w:rsid w:val="00F54C45"/>
    <w:rsid w:val="00F54DC8"/>
    <w:rsid w:val="00F54E87"/>
    <w:rsid w:val="00F54EA5"/>
    <w:rsid w:val="00F54F6F"/>
    <w:rsid w:val="00F553BD"/>
    <w:rsid w:val="00F553C0"/>
    <w:rsid w:val="00F553C6"/>
    <w:rsid w:val="00F553E9"/>
    <w:rsid w:val="00F55535"/>
    <w:rsid w:val="00F557D2"/>
    <w:rsid w:val="00F55815"/>
    <w:rsid w:val="00F55826"/>
    <w:rsid w:val="00F558E9"/>
    <w:rsid w:val="00F5594A"/>
    <w:rsid w:val="00F5599E"/>
    <w:rsid w:val="00F55AEA"/>
    <w:rsid w:val="00F55B89"/>
    <w:rsid w:val="00F55E1F"/>
    <w:rsid w:val="00F55F56"/>
    <w:rsid w:val="00F55FD3"/>
    <w:rsid w:val="00F56066"/>
    <w:rsid w:val="00F5608D"/>
    <w:rsid w:val="00F560C6"/>
    <w:rsid w:val="00F56142"/>
    <w:rsid w:val="00F565DF"/>
    <w:rsid w:val="00F56692"/>
    <w:rsid w:val="00F56889"/>
    <w:rsid w:val="00F56AC2"/>
    <w:rsid w:val="00F56B1D"/>
    <w:rsid w:val="00F56B6A"/>
    <w:rsid w:val="00F56CD3"/>
    <w:rsid w:val="00F56D00"/>
    <w:rsid w:val="00F56DF5"/>
    <w:rsid w:val="00F56F6A"/>
    <w:rsid w:val="00F57038"/>
    <w:rsid w:val="00F570A4"/>
    <w:rsid w:val="00F572C0"/>
    <w:rsid w:val="00F57577"/>
    <w:rsid w:val="00F57651"/>
    <w:rsid w:val="00F5778C"/>
    <w:rsid w:val="00F57838"/>
    <w:rsid w:val="00F5787F"/>
    <w:rsid w:val="00F57CA0"/>
    <w:rsid w:val="00F60132"/>
    <w:rsid w:val="00F602AD"/>
    <w:rsid w:val="00F6031D"/>
    <w:rsid w:val="00F6043B"/>
    <w:rsid w:val="00F6048A"/>
    <w:rsid w:val="00F60741"/>
    <w:rsid w:val="00F60978"/>
    <w:rsid w:val="00F60A66"/>
    <w:rsid w:val="00F60D91"/>
    <w:rsid w:val="00F60D93"/>
    <w:rsid w:val="00F6146B"/>
    <w:rsid w:val="00F617DF"/>
    <w:rsid w:val="00F619C7"/>
    <w:rsid w:val="00F61A76"/>
    <w:rsid w:val="00F61CC2"/>
    <w:rsid w:val="00F61CD1"/>
    <w:rsid w:val="00F61EEC"/>
    <w:rsid w:val="00F61F8E"/>
    <w:rsid w:val="00F62011"/>
    <w:rsid w:val="00F6221D"/>
    <w:rsid w:val="00F62294"/>
    <w:rsid w:val="00F62349"/>
    <w:rsid w:val="00F62547"/>
    <w:rsid w:val="00F62614"/>
    <w:rsid w:val="00F627C6"/>
    <w:rsid w:val="00F62836"/>
    <w:rsid w:val="00F6283E"/>
    <w:rsid w:val="00F62843"/>
    <w:rsid w:val="00F628E5"/>
    <w:rsid w:val="00F629E8"/>
    <w:rsid w:val="00F62ABC"/>
    <w:rsid w:val="00F62AC5"/>
    <w:rsid w:val="00F62B8F"/>
    <w:rsid w:val="00F62BC9"/>
    <w:rsid w:val="00F62D60"/>
    <w:rsid w:val="00F62F2C"/>
    <w:rsid w:val="00F62F48"/>
    <w:rsid w:val="00F6303F"/>
    <w:rsid w:val="00F6319C"/>
    <w:rsid w:val="00F631D7"/>
    <w:rsid w:val="00F635B9"/>
    <w:rsid w:val="00F637AF"/>
    <w:rsid w:val="00F63869"/>
    <w:rsid w:val="00F63870"/>
    <w:rsid w:val="00F63930"/>
    <w:rsid w:val="00F63A33"/>
    <w:rsid w:val="00F63ADB"/>
    <w:rsid w:val="00F63ADC"/>
    <w:rsid w:val="00F63E46"/>
    <w:rsid w:val="00F64148"/>
    <w:rsid w:val="00F6455D"/>
    <w:rsid w:val="00F647B5"/>
    <w:rsid w:val="00F64869"/>
    <w:rsid w:val="00F648D9"/>
    <w:rsid w:val="00F649CA"/>
    <w:rsid w:val="00F64A8E"/>
    <w:rsid w:val="00F64AA4"/>
    <w:rsid w:val="00F64ABB"/>
    <w:rsid w:val="00F64B64"/>
    <w:rsid w:val="00F64B81"/>
    <w:rsid w:val="00F64D13"/>
    <w:rsid w:val="00F64D8E"/>
    <w:rsid w:val="00F64E32"/>
    <w:rsid w:val="00F65006"/>
    <w:rsid w:val="00F6508D"/>
    <w:rsid w:val="00F651D2"/>
    <w:rsid w:val="00F6532A"/>
    <w:rsid w:val="00F65398"/>
    <w:rsid w:val="00F653CD"/>
    <w:rsid w:val="00F654A3"/>
    <w:rsid w:val="00F65529"/>
    <w:rsid w:val="00F65683"/>
    <w:rsid w:val="00F65858"/>
    <w:rsid w:val="00F658CA"/>
    <w:rsid w:val="00F65DC8"/>
    <w:rsid w:val="00F65F48"/>
    <w:rsid w:val="00F65FB6"/>
    <w:rsid w:val="00F660A6"/>
    <w:rsid w:val="00F661B8"/>
    <w:rsid w:val="00F664D1"/>
    <w:rsid w:val="00F665C7"/>
    <w:rsid w:val="00F66680"/>
    <w:rsid w:val="00F66709"/>
    <w:rsid w:val="00F66782"/>
    <w:rsid w:val="00F667BE"/>
    <w:rsid w:val="00F66B39"/>
    <w:rsid w:val="00F66C88"/>
    <w:rsid w:val="00F66E00"/>
    <w:rsid w:val="00F66E9E"/>
    <w:rsid w:val="00F66F03"/>
    <w:rsid w:val="00F66F26"/>
    <w:rsid w:val="00F66F87"/>
    <w:rsid w:val="00F6709C"/>
    <w:rsid w:val="00F6709F"/>
    <w:rsid w:val="00F6710E"/>
    <w:rsid w:val="00F6719E"/>
    <w:rsid w:val="00F67215"/>
    <w:rsid w:val="00F6724C"/>
    <w:rsid w:val="00F674C1"/>
    <w:rsid w:val="00F675EE"/>
    <w:rsid w:val="00F675F1"/>
    <w:rsid w:val="00F67767"/>
    <w:rsid w:val="00F67982"/>
    <w:rsid w:val="00F67C01"/>
    <w:rsid w:val="00F67E06"/>
    <w:rsid w:val="00F67E20"/>
    <w:rsid w:val="00F67EEE"/>
    <w:rsid w:val="00F67F65"/>
    <w:rsid w:val="00F70103"/>
    <w:rsid w:val="00F704F8"/>
    <w:rsid w:val="00F70777"/>
    <w:rsid w:val="00F7084D"/>
    <w:rsid w:val="00F7094D"/>
    <w:rsid w:val="00F70992"/>
    <w:rsid w:val="00F70A8F"/>
    <w:rsid w:val="00F70CAE"/>
    <w:rsid w:val="00F70E38"/>
    <w:rsid w:val="00F710FD"/>
    <w:rsid w:val="00F71478"/>
    <w:rsid w:val="00F714E4"/>
    <w:rsid w:val="00F716FA"/>
    <w:rsid w:val="00F7182A"/>
    <w:rsid w:val="00F71995"/>
    <w:rsid w:val="00F71B30"/>
    <w:rsid w:val="00F71C7D"/>
    <w:rsid w:val="00F71F6B"/>
    <w:rsid w:val="00F71F8D"/>
    <w:rsid w:val="00F72207"/>
    <w:rsid w:val="00F72886"/>
    <w:rsid w:val="00F7290A"/>
    <w:rsid w:val="00F72998"/>
    <w:rsid w:val="00F729D4"/>
    <w:rsid w:val="00F72BCA"/>
    <w:rsid w:val="00F72C69"/>
    <w:rsid w:val="00F72D14"/>
    <w:rsid w:val="00F72DB5"/>
    <w:rsid w:val="00F72E36"/>
    <w:rsid w:val="00F72F26"/>
    <w:rsid w:val="00F72F68"/>
    <w:rsid w:val="00F73134"/>
    <w:rsid w:val="00F7319E"/>
    <w:rsid w:val="00F731F8"/>
    <w:rsid w:val="00F73340"/>
    <w:rsid w:val="00F7352E"/>
    <w:rsid w:val="00F735C1"/>
    <w:rsid w:val="00F73829"/>
    <w:rsid w:val="00F738EF"/>
    <w:rsid w:val="00F73D56"/>
    <w:rsid w:val="00F73D9F"/>
    <w:rsid w:val="00F73DF3"/>
    <w:rsid w:val="00F73F53"/>
    <w:rsid w:val="00F73F5E"/>
    <w:rsid w:val="00F73F9D"/>
    <w:rsid w:val="00F74139"/>
    <w:rsid w:val="00F74152"/>
    <w:rsid w:val="00F74441"/>
    <w:rsid w:val="00F746CE"/>
    <w:rsid w:val="00F74873"/>
    <w:rsid w:val="00F7487A"/>
    <w:rsid w:val="00F74992"/>
    <w:rsid w:val="00F74A15"/>
    <w:rsid w:val="00F74A60"/>
    <w:rsid w:val="00F74A70"/>
    <w:rsid w:val="00F74AE2"/>
    <w:rsid w:val="00F74D4E"/>
    <w:rsid w:val="00F74D7B"/>
    <w:rsid w:val="00F74DF7"/>
    <w:rsid w:val="00F75181"/>
    <w:rsid w:val="00F7518F"/>
    <w:rsid w:val="00F7521C"/>
    <w:rsid w:val="00F75253"/>
    <w:rsid w:val="00F75286"/>
    <w:rsid w:val="00F752A3"/>
    <w:rsid w:val="00F752F1"/>
    <w:rsid w:val="00F75306"/>
    <w:rsid w:val="00F754CC"/>
    <w:rsid w:val="00F754F8"/>
    <w:rsid w:val="00F7560B"/>
    <w:rsid w:val="00F7578B"/>
    <w:rsid w:val="00F757DD"/>
    <w:rsid w:val="00F75B05"/>
    <w:rsid w:val="00F75E8C"/>
    <w:rsid w:val="00F76075"/>
    <w:rsid w:val="00F7611F"/>
    <w:rsid w:val="00F763B2"/>
    <w:rsid w:val="00F766E1"/>
    <w:rsid w:val="00F7685B"/>
    <w:rsid w:val="00F768BD"/>
    <w:rsid w:val="00F769A9"/>
    <w:rsid w:val="00F76B26"/>
    <w:rsid w:val="00F76BA0"/>
    <w:rsid w:val="00F76D96"/>
    <w:rsid w:val="00F76DE9"/>
    <w:rsid w:val="00F77112"/>
    <w:rsid w:val="00F77484"/>
    <w:rsid w:val="00F774EA"/>
    <w:rsid w:val="00F77502"/>
    <w:rsid w:val="00F77662"/>
    <w:rsid w:val="00F7767E"/>
    <w:rsid w:val="00F7773E"/>
    <w:rsid w:val="00F77BB5"/>
    <w:rsid w:val="00F77C00"/>
    <w:rsid w:val="00F77DDE"/>
    <w:rsid w:val="00F77E43"/>
    <w:rsid w:val="00F77EFF"/>
    <w:rsid w:val="00F77F58"/>
    <w:rsid w:val="00F77F85"/>
    <w:rsid w:val="00F77FCB"/>
    <w:rsid w:val="00F800E4"/>
    <w:rsid w:val="00F801CF"/>
    <w:rsid w:val="00F8043F"/>
    <w:rsid w:val="00F80576"/>
    <w:rsid w:val="00F805AF"/>
    <w:rsid w:val="00F80630"/>
    <w:rsid w:val="00F80948"/>
    <w:rsid w:val="00F80A6F"/>
    <w:rsid w:val="00F80A9C"/>
    <w:rsid w:val="00F80D49"/>
    <w:rsid w:val="00F80EC5"/>
    <w:rsid w:val="00F80F84"/>
    <w:rsid w:val="00F80FBD"/>
    <w:rsid w:val="00F8103A"/>
    <w:rsid w:val="00F81051"/>
    <w:rsid w:val="00F810DC"/>
    <w:rsid w:val="00F811A6"/>
    <w:rsid w:val="00F811E4"/>
    <w:rsid w:val="00F8127A"/>
    <w:rsid w:val="00F81383"/>
    <w:rsid w:val="00F8156E"/>
    <w:rsid w:val="00F8165A"/>
    <w:rsid w:val="00F81725"/>
    <w:rsid w:val="00F81A5B"/>
    <w:rsid w:val="00F81BAF"/>
    <w:rsid w:val="00F81E0A"/>
    <w:rsid w:val="00F81E4D"/>
    <w:rsid w:val="00F81F17"/>
    <w:rsid w:val="00F81F49"/>
    <w:rsid w:val="00F81FD5"/>
    <w:rsid w:val="00F81FEB"/>
    <w:rsid w:val="00F8203A"/>
    <w:rsid w:val="00F820C3"/>
    <w:rsid w:val="00F82246"/>
    <w:rsid w:val="00F8243D"/>
    <w:rsid w:val="00F824B6"/>
    <w:rsid w:val="00F8258A"/>
    <w:rsid w:val="00F826EC"/>
    <w:rsid w:val="00F82793"/>
    <w:rsid w:val="00F827C4"/>
    <w:rsid w:val="00F82B11"/>
    <w:rsid w:val="00F82B99"/>
    <w:rsid w:val="00F82D2C"/>
    <w:rsid w:val="00F82D70"/>
    <w:rsid w:val="00F82DC0"/>
    <w:rsid w:val="00F82DC1"/>
    <w:rsid w:val="00F82E0D"/>
    <w:rsid w:val="00F82FD3"/>
    <w:rsid w:val="00F830CF"/>
    <w:rsid w:val="00F83104"/>
    <w:rsid w:val="00F8320B"/>
    <w:rsid w:val="00F83360"/>
    <w:rsid w:val="00F833F8"/>
    <w:rsid w:val="00F8343A"/>
    <w:rsid w:val="00F8344B"/>
    <w:rsid w:val="00F8356D"/>
    <w:rsid w:val="00F837A1"/>
    <w:rsid w:val="00F837C6"/>
    <w:rsid w:val="00F837D7"/>
    <w:rsid w:val="00F838FD"/>
    <w:rsid w:val="00F83B3F"/>
    <w:rsid w:val="00F83BAD"/>
    <w:rsid w:val="00F83BB1"/>
    <w:rsid w:val="00F83C04"/>
    <w:rsid w:val="00F83C0E"/>
    <w:rsid w:val="00F83CE0"/>
    <w:rsid w:val="00F83D8A"/>
    <w:rsid w:val="00F83FA7"/>
    <w:rsid w:val="00F84112"/>
    <w:rsid w:val="00F842CE"/>
    <w:rsid w:val="00F842F5"/>
    <w:rsid w:val="00F843C3"/>
    <w:rsid w:val="00F84516"/>
    <w:rsid w:val="00F845BA"/>
    <w:rsid w:val="00F8471C"/>
    <w:rsid w:val="00F84795"/>
    <w:rsid w:val="00F84C89"/>
    <w:rsid w:val="00F84FA7"/>
    <w:rsid w:val="00F851CF"/>
    <w:rsid w:val="00F85376"/>
    <w:rsid w:val="00F8537F"/>
    <w:rsid w:val="00F85615"/>
    <w:rsid w:val="00F856F1"/>
    <w:rsid w:val="00F857D2"/>
    <w:rsid w:val="00F858AB"/>
    <w:rsid w:val="00F8592A"/>
    <w:rsid w:val="00F85A2D"/>
    <w:rsid w:val="00F85BF3"/>
    <w:rsid w:val="00F85FEB"/>
    <w:rsid w:val="00F862C2"/>
    <w:rsid w:val="00F86486"/>
    <w:rsid w:val="00F864C5"/>
    <w:rsid w:val="00F86633"/>
    <w:rsid w:val="00F866AD"/>
    <w:rsid w:val="00F866C1"/>
    <w:rsid w:val="00F86744"/>
    <w:rsid w:val="00F869C0"/>
    <w:rsid w:val="00F86A34"/>
    <w:rsid w:val="00F86A8B"/>
    <w:rsid w:val="00F86B07"/>
    <w:rsid w:val="00F86D99"/>
    <w:rsid w:val="00F86EF8"/>
    <w:rsid w:val="00F86F1F"/>
    <w:rsid w:val="00F87347"/>
    <w:rsid w:val="00F87448"/>
    <w:rsid w:val="00F87539"/>
    <w:rsid w:val="00F878AF"/>
    <w:rsid w:val="00F879F8"/>
    <w:rsid w:val="00F87A33"/>
    <w:rsid w:val="00F87A68"/>
    <w:rsid w:val="00F87BD2"/>
    <w:rsid w:val="00F87CD3"/>
    <w:rsid w:val="00F87E03"/>
    <w:rsid w:val="00F87ED5"/>
    <w:rsid w:val="00F90151"/>
    <w:rsid w:val="00F9026E"/>
    <w:rsid w:val="00F902E5"/>
    <w:rsid w:val="00F9047B"/>
    <w:rsid w:val="00F9049C"/>
    <w:rsid w:val="00F9066E"/>
    <w:rsid w:val="00F90757"/>
    <w:rsid w:val="00F9080E"/>
    <w:rsid w:val="00F90B3F"/>
    <w:rsid w:val="00F90E1B"/>
    <w:rsid w:val="00F91284"/>
    <w:rsid w:val="00F91560"/>
    <w:rsid w:val="00F91834"/>
    <w:rsid w:val="00F91905"/>
    <w:rsid w:val="00F91916"/>
    <w:rsid w:val="00F91922"/>
    <w:rsid w:val="00F91A9E"/>
    <w:rsid w:val="00F91ABA"/>
    <w:rsid w:val="00F91C07"/>
    <w:rsid w:val="00F91C47"/>
    <w:rsid w:val="00F91CA3"/>
    <w:rsid w:val="00F91FEE"/>
    <w:rsid w:val="00F9223A"/>
    <w:rsid w:val="00F92303"/>
    <w:rsid w:val="00F923E2"/>
    <w:rsid w:val="00F924F5"/>
    <w:rsid w:val="00F926EB"/>
    <w:rsid w:val="00F927C1"/>
    <w:rsid w:val="00F928A6"/>
    <w:rsid w:val="00F928F1"/>
    <w:rsid w:val="00F9292D"/>
    <w:rsid w:val="00F9299B"/>
    <w:rsid w:val="00F92C16"/>
    <w:rsid w:val="00F92DA1"/>
    <w:rsid w:val="00F92DAA"/>
    <w:rsid w:val="00F92E2B"/>
    <w:rsid w:val="00F92FC0"/>
    <w:rsid w:val="00F9315E"/>
    <w:rsid w:val="00F931B1"/>
    <w:rsid w:val="00F933B9"/>
    <w:rsid w:val="00F936AE"/>
    <w:rsid w:val="00F937FB"/>
    <w:rsid w:val="00F93835"/>
    <w:rsid w:val="00F93963"/>
    <w:rsid w:val="00F93BC7"/>
    <w:rsid w:val="00F93BE6"/>
    <w:rsid w:val="00F93CD4"/>
    <w:rsid w:val="00F93DA8"/>
    <w:rsid w:val="00F93E0F"/>
    <w:rsid w:val="00F93EB3"/>
    <w:rsid w:val="00F9408A"/>
    <w:rsid w:val="00F941A1"/>
    <w:rsid w:val="00F942EC"/>
    <w:rsid w:val="00F94376"/>
    <w:rsid w:val="00F94402"/>
    <w:rsid w:val="00F94713"/>
    <w:rsid w:val="00F9472D"/>
    <w:rsid w:val="00F9475C"/>
    <w:rsid w:val="00F947D4"/>
    <w:rsid w:val="00F94805"/>
    <w:rsid w:val="00F949D5"/>
    <w:rsid w:val="00F94B1E"/>
    <w:rsid w:val="00F94B23"/>
    <w:rsid w:val="00F94CA3"/>
    <w:rsid w:val="00F94CEB"/>
    <w:rsid w:val="00F9523C"/>
    <w:rsid w:val="00F952C5"/>
    <w:rsid w:val="00F95362"/>
    <w:rsid w:val="00F953BC"/>
    <w:rsid w:val="00F95449"/>
    <w:rsid w:val="00F956A2"/>
    <w:rsid w:val="00F956AC"/>
    <w:rsid w:val="00F95881"/>
    <w:rsid w:val="00F958C4"/>
    <w:rsid w:val="00F95935"/>
    <w:rsid w:val="00F95B11"/>
    <w:rsid w:val="00F95B66"/>
    <w:rsid w:val="00F95C9B"/>
    <w:rsid w:val="00F95D46"/>
    <w:rsid w:val="00F95D4F"/>
    <w:rsid w:val="00F95F23"/>
    <w:rsid w:val="00F95F34"/>
    <w:rsid w:val="00F95FCF"/>
    <w:rsid w:val="00F96523"/>
    <w:rsid w:val="00F96614"/>
    <w:rsid w:val="00F96664"/>
    <w:rsid w:val="00F9668E"/>
    <w:rsid w:val="00F967D0"/>
    <w:rsid w:val="00F969D3"/>
    <w:rsid w:val="00F969D6"/>
    <w:rsid w:val="00F96B6D"/>
    <w:rsid w:val="00F96E06"/>
    <w:rsid w:val="00F96F1F"/>
    <w:rsid w:val="00F97199"/>
    <w:rsid w:val="00F971CF"/>
    <w:rsid w:val="00F97202"/>
    <w:rsid w:val="00F9744E"/>
    <w:rsid w:val="00F97459"/>
    <w:rsid w:val="00F977AC"/>
    <w:rsid w:val="00F9782C"/>
    <w:rsid w:val="00F97C08"/>
    <w:rsid w:val="00F97D20"/>
    <w:rsid w:val="00F97E74"/>
    <w:rsid w:val="00F97E77"/>
    <w:rsid w:val="00F97EED"/>
    <w:rsid w:val="00F97F1D"/>
    <w:rsid w:val="00FA038A"/>
    <w:rsid w:val="00FA03CB"/>
    <w:rsid w:val="00FA06A9"/>
    <w:rsid w:val="00FA09B2"/>
    <w:rsid w:val="00FA0A6B"/>
    <w:rsid w:val="00FA0B22"/>
    <w:rsid w:val="00FA0D6A"/>
    <w:rsid w:val="00FA0DBE"/>
    <w:rsid w:val="00FA0EE8"/>
    <w:rsid w:val="00FA0F0D"/>
    <w:rsid w:val="00FA1006"/>
    <w:rsid w:val="00FA1213"/>
    <w:rsid w:val="00FA123F"/>
    <w:rsid w:val="00FA1762"/>
    <w:rsid w:val="00FA183F"/>
    <w:rsid w:val="00FA1B2B"/>
    <w:rsid w:val="00FA1C40"/>
    <w:rsid w:val="00FA2255"/>
    <w:rsid w:val="00FA22C6"/>
    <w:rsid w:val="00FA2328"/>
    <w:rsid w:val="00FA2339"/>
    <w:rsid w:val="00FA255A"/>
    <w:rsid w:val="00FA2574"/>
    <w:rsid w:val="00FA2581"/>
    <w:rsid w:val="00FA2659"/>
    <w:rsid w:val="00FA2691"/>
    <w:rsid w:val="00FA27E2"/>
    <w:rsid w:val="00FA290E"/>
    <w:rsid w:val="00FA2A5D"/>
    <w:rsid w:val="00FA2ACA"/>
    <w:rsid w:val="00FA2C02"/>
    <w:rsid w:val="00FA2CAF"/>
    <w:rsid w:val="00FA2E1B"/>
    <w:rsid w:val="00FA2F1B"/>
    <w:rsid w:val="00FA2FF9"/>
    <w:rsid w:val="00FA301F"/>
    <w:rsid w:val="00FA3096"/>
    <w:rsid w:val="00FA30B5"/>
    <w:rsid w:val="00FA3207"/>
    <w:rsid w:val="00FA32FD"/>
    <w:rsid w:val="00FA3408"/>
    <w:rsid w:val="00FA343C"/>
    <w:rsid w:val="00FA355E"/>
    <w:rsid w:val="00FA3560"/>
    <w:rsid w:val="00FA35E4"/>
    <w:rsid w:val="00FA372D"/>
    <w:rsid w:val="00FA3831"/>
    <w:rsid w:val="00FA3A10"/>
    <w:rsid w:val="00FA3A4D"/>
    <w:rsid w:val="00FA3C14"/>
    <w:rsid w:val="00FA3C93"/>
    <w:rsid w:val="00FA3C9D"/>
    <w:rsid w:val="00FA3DAA"/>
    <w:rsid w:val="00FA3EEE"/>
    <w:rsid w:val="00FA3F52"/>
    <w:rsid w:val="00FA4008"/>
    <w:rsid w:val="00FA42BB"/>
    <w:rsid w:val="00FA4308"/>
    <w:rsid w:val="00FA4416"/>
    <w:rsid w:val="00FA451E"/>
    <w:rsid w:val="00FA452E"/>
    <w:rsid w:val="00FA48B3"/>
    <w:rsid w:val="00FA4A77"/>
    <w:rsid w:val="00FA4A88"/>
    <w:rsid w:val="00FA4B27"/>
    <w:rsid w:val="00FA4BDE"/>
    <w:rsid w:val="00FA4CA5"/>
    <w:rsid w:val="00FA4CF1"/>
    <w:rsid w:val="00FA4E09"/>
    <w:rsid w:val="00FA4F37"/>
    <w:rsid w:val="00FA4FEC"/>
    <w:rsid w:val="00FA5283"/>
    <w:rsid w:val="00FA5318"/>
    <w:rsid w:val="00FA547A"/>
    <w:rsid w:val="00FA54F7"/>
    <w:rsid w:val="00FA5606"/>
    <w:rsid w:val="00FA590A"/>
    <w:rsid w:val="00FA5A12"/>
    <w:rsid w:val="00FA5B26"/>
    <w:rsid w:val="00FA5BBD"/>
    <w:rsid w:val="00FA5C67"/>
    <w:rsid w:val="00FA5CC1"/>
    <w:rsid w:val="00FA5DA4"/>
    <w:rsid w:val="00FA5E28"/>
    <w:rsid w:val="00FA632D"/>
    <w:rsid w:val="00FA65AC"/>
    <w:rsid w:val="00FA65E6"/>
    <w:rsid w:val="00FA6673"/>
    <w:rsid w:val="00FA66E4"/>
    <w:rsid w:val="00FA6881"/>
    <w:rsid w:val="00FA6A45"/>
    <w:rsid w:val="00FA6B2B"/>
    <w:rsid w:val="00FA6CD9"/>
    <w:rsid w:val="00FA6E18"/>
    <w:rsid w:val="00FA6E35"/>
    <w:rsid w:val="00FA6F6C"/>
    <w:rsid w:val="00FA6FFA"/>
    <w:rsid w:val="00FA704A"/>
    <w:rsid w:val="00FA7135"/>
    <w:rsid w:val="00FA7276"/>
    <w:rsid w:val="00FA73C4"/>
    <w:rsid w:val="00FA76AD"/>
    <w:rsid w:val="00FA7717"/>
    <w:rsid w:val="00FA7781"/>
    <w:rsid w:val="00FA77B3"/>
    <w:rsid w:val="00FA7848"/>
    <w:rsid w:val="00FA7C03"/>
    <w:rsid w:val="00FA7C1A"/>
    <w:rsid w:val="00FA7D1B"/>
    <w:rsid w:val="00FA7D38"/>
    <w:rsid w:val="00FA7E60"/>
    <w:rsid w:val="00FA7E9F"/>
    <w:rsid w:val="00FA7F24"/>
    <w:rsid w:val="00FA7F87"/>
    <w:rsid w:val="00FB0220"/>
    <w:rsid w:val="00FB0230"/>
    <w:rsid w:val="00FB023D"/>
    <w:rsid w:val="00FB0491"/>
    <w:rsid w:val="00FB04A3"/>
    <w:rsid w:val="00FB04F2"/>
    <w:rsid w:val="00FB0505"/>
    <w:rsid w:val="00FB0648"/>
    <w:rsid w:val="00FB0715"/>
    <w:rsid w:val="00FB07A1"/>
    <w:rsid w:val="00FB086A"/>
    <w:rsid w:val="00FB0921"/>
    <w:rsid w:val="00FB09CE"/>
    <w:rsid w:val="00FB09DE"/>
    <w:rsid w:val="00FB0CF1"/>
    <w:rsid w:val="00FB0D42"/>
    <w:rsid w:val="00FB12F5"/>
    <w:rsid w:val="00FB12FE"/>
    <w:rsid w:val="00FB18FC"/>
    <w:rsid w:val="00FB1927"/>
    <w:rsid w:val="00FB1A63"/>
    <w:rsid w:val="00FB1C2E"/>
    <w:rsid w:val="00FB1D4C"/>
    <w:rsid w:val="00FB1E11"/>
    <w:rsid w:val="00FB1E2C"/>
    <w:rsid w:val="00FB23F1"/>
    <w:rsid w:val="00FB27DC"/>
    <w:rsid w:val="00FB290B"/>
    <w:rsid w:val="00FB2965"/>
    <w:rsid w:val="00FB29DD"/>
    <w:rsid w:val="00FB2C39"/>
    <w:rsid w:val="00FB2E4B"/>
    <w:rsid w:val="00FB2E7D"/>
    <w:rsid w:val="00FB2EE7"/>
    <w:rsid w:val="00FB3004"/>
    <w:rsid w:val="00FB300E"/>
    <w:rsid w:val="00FB30E2"/>
    <w:rsid w:val="00FB3425"/>
    <w:rsid w:val="00FB354A"/>
    <w:rsid w:val="00FB3636"/>
    <w:rsid w:val="00FB3B12"/>
    <w:rsid w:val="00FB43B2"/>
    <w:rsid w:val="00FB43F3"/>
    <w:rsid w:val="00FB440E"/>
    <w:rsid w:val="00FB4442"/>
    <w:rsid w:val="00FB459A"/>
    <w:rsid w:val="00FB4659"/>
    <w:rsid w:val="00FB4772"/>
    <w:rsid w:val="00FB478D"/>
    <w:rsid w:val="00FB4893"/>
    <w:rsid w:val="00FB4B65"/>
    <w:rsid w:val="00FB4BE8"/>
    <w:rsid w:val="00FB4BF0"/>
    <w:rsid w:val="00FB4E22"/>
    <w:rsid w:val="00FB4EAD"/>
    <w:rsid w:val="00FB502B"/>
    <w:rsid w:val="00FB507D"/>
    <w:rsid w:val="00FB50A9"/>
    <w:rsid w:val="00FB5139"/>
    <w:rsid w:val="00FB5259"/>
    <w:rsid w:val="00FB55B2"/>
    <w:rsid w:val="00FB5618"/>
    <w:rsid w:val="00FB56E6"/>
    <w:rsid w:val="00FB574F"/>
    <w:rsid w:val="00FB58FC"/>
    <w:rsid w:val="00FB599F"/>
    <w:rsid w:val="00FB5C4B"/>
    <w:rsid w:val="00FB5C73"/>
    <w:rsid w:val="00FB5F0A"/>
    <w:rsid w:val="00FB5F12"/>
    <w:rsid w:val="00FB6257"/>
    <w:rsid w:val="00FB6494"/>
    <w:rsid w:val="00FB64B6"/>
    <w:rsid w:val="00FB6501"/>
    <w:rsid w:val="00FB6573"/>
    <w:rsid w:val="00FB66D4"/>
    <w:rsid w:val="00FB6779"/>
    <w:rsid w:val="00FB6A03"/>
    <w:rsid w:val="00FB6A11"/>
    <w:rsid w:val="00FB6AAC"/>
    <w:rsid w:val="00FB6D4C"/>
    <w:rsid w:val="00FB6E03"/>
    <w:rsid w:val="00FB713F"/>
    <w:rsid w:val="00FB7173"/>
    <w:rsid w:val="00FB7279"/>
    <w:rsid w:val="00FB744A"/>
    <w:rsid w:val="00FB74E1"/>
    <w:rsid w:val="00FB7664"/>
    <w:rsid w:val="00FB7679"/>
    <w:rsid w:val="00FB7685"/>
    <w:rsid w:val="00FB780D"/>
    <w:rsid w:val="00FB7874"/>
    <w:rsid w:val="00FB79D7"/>
    <w:rsid w:val="00FB79FD"/>
    <w:rsid w:val="00FB7A53"/>
    <w:rsid w:val="00FB7B6E"/>
    <w:rsid w:val="00FB7BB7"/>
    <w:rsid w:val="00FC0234"/>
    <w:rsid w:val="00FC0353"/>
    <w:rsid w:val="00FC06AA"/>
    <w:rsid w:val="00FC06D2"/>
    <w:rsid w:val="00FC07AE"/>
    <w:rsid w:val="00FC09AC"/>
    <w:rsid w:val="00FC0A76"/>
    <w:rsid w:val="00FC0E3F"/>
    <w:rsid w:val="00FC0EC1"/>
    <w:rsid w:val="00FC0F63"/>
    <w:rsid w:val="00FC1438"/>
    <w:rsid w:val="00FC14C3"/>
    <w:rsid w:val="00FC1502"/>
    <w:rsid w:val="00FC1585"/>
    <w:rsid w:val="00FC15C9"/>
    <w:rsid w:val="00FC1631"/>
    <w:rsid w:val="00FC1650"/>
    <w:rsid w:val="00FC1871"/>
    <w:rsid w:val="00FC1915"/>
    <w:rsid w:val="00FC1BA9"/>
    <w:rsid w:val="00FC1F10"/>
    <w:rsid w:val="00FC1F58"/>
    <w:rsid w:val="00FC2169"/>
    <w:rsid w:val="00FC220C"/>
    <w:rsid w:val="00FC22DB"/>
    <w:rsid w:val="00FC2357"/>
    <w:rsid w:val="00FC241A"/>
    <w:rsid w:val="00FC2422"/>
    <w:rsid w:val="00FC25DF"/>
    <w:rsid w:val="00FC2607"/>
    <w:rsid w:val="00FC294F"/>
    <w:rsid w:val="00FC2AB6"/>
    <w:rsid w:val="00FC2BFF"/>
    <w:rsid w:val="00FC2DAA"/>
    <w:rsid w:val="00FC2ED5"/>
    <w:rsid w:val="00FC300D"/>
    <w:rsid w:val="00FC30CB"/>
    <w:rsid w:val="00FC3196"/>
    <w:rsid w:val="00FC3265"/>
    <w:rsid w:val="00FC32A1"/>
    <w:rsid w:val="00FC335A"/>
    <w:rsid w:val="00FC358A"/>
    <w:rsid w:val="00FC3647"/>
    <w:rsid w:val="00FC3A1A"/>
    <w:rsid w:val="00FC3A64"/>
    <w:rsid w:val="00FC3BF2"/>
    <w:rsid w:val="00FC3D24"/>
    <w:rsid w:val="00FC3EA7"/>
    <w:rsid w:val="00FC410F"/>
    <w:rsid w:val="00FC457B"/>
    <w:rsid w:val="00FC4650"/>
    <w:rsid w:val="00FC483A"/>
    <w:rsid w:val="00FC489F"/>
    <w:rsid w:val="00FC4A5D"/>
    <w:rsid w:val="00FC4A87"/>
    <w:rsid w:val="00FC4E3A"/>
    <w:rsid w:val="00FC4E90"/>
    <w:rsid w:val="00FC4FA0"/>
    <w:rsid w:val="00FC520C"/>
    <w:rsid w:val="00FC5559"/>
    <w:rsid w:val="00FC5655"/>
    <w:rsid w:val="00FC56D6"/>
    <w:rsid w:val="00FC57BC"/>
    <w:rsid w:val="00FC58B8"/>
    <w:rsid w:val="00FC5C62"/>
    <w:rsid w:val="00FC5CD7"/>
    <w:rsid w:val="00FC6001"/>
    <w:rsid w:val="00FC6092"/>
    <w:rsid w:val="00FC6199"/>
    <w:rsid w:val="00FC6243"/>
    <w:rsid w:val="00FC6350"/>
    <w:rsid w:val="00FC6691"/>
    <w:rsid w:val="00FC66ED"/>
    <w:rsid w:val="00FC6723"/>
    <w:rsid w:val="00FC677A"/>
    <w:rsid w:val="00FC67A1"/>
    <w:rsid w:val="00FC69A1"/>
    <w:rsid w:val="00FC6A6A"/>
    <w:rsid w:val="00FC6B76"/>
    <w:rsid w:val="00FC6CF4"/>
    <w:rsid w:val="00FC6ECC"/>
    <w:rsid w:val="00FC6F09"/>
    <w:rsid w:val="00FC704A"/>
    <w:rsid w:val="00FC7170"/>
    <w:rsid w:val="00FC735C"/>
    <w:rsid w:val="00FC73A7"/>
    <w:rsid w:val="00FC75EE"/>
    <w:rsid w:val="00FC764E"/>
    <w:rsid w:val="00FC768D"/>
    <w:rsid w:val="00FC76A5"/>
    <w:rsid w:val="00FC7707"/>
    <w:rsid w:val="00FC77A6"/>
    <w:rsid w:val="00FC77F3"/>
    <w:rsid w:val="00FC7873"/>
    <w:rsid w:val="00FC7897"/>
    <w:rsid w:val="00FC799A"/>
    <w:rsid w:val="00FC7C73"/>
    <w:rsid w:val="00FC7CBA"/>
    <w:rsid w:val="00FC7DBA"/>
    <w:rsid w:val="00FD00EC"/>
    <w:rsid w:val="00FD011B"/>
    <w:rsid w:val="00FD08EF"/>
    <w:rsid w:val="00FD09E2"/>
    <w:rsid w:val="00FD0AEB"/>
    <w:rsid w:val="00FD0BE3"/>
    <w:rsid w:val="00FD0DA8"/>
    <w:rsid w:val="00FD0F93"/>
    <w:rsid w:val="00FD11BD"/>
    <w:rsid w:val="00FD13D5"/>
    <w:rsid w:val="00FD14BA"/>
    <w:rsid w:val="00FD150A"/>
    <w:rsid w:val="00FD155F"/>
    <w:rsid w:val="00FD15E0"/>
    <w:rsid w:val="00FD16C3"/>
    <w:rsid w:val="00FD185E"/>
    <w:rsid w:val="00FD19C6"/>
    <w:rsid w:val="00FD1B89"/>
    <w:rsid w:val="00FD1C36"/>
    <w:rsid w:val="00FD1C78"/>
    <w:rsid w:val="00FD1FB1"/>
    <w:rsid w:val="00FD233D"/>
    <w:rsid w:val="00FD23C1"/>
    <w:rsid w:val="00FD2749"/>
    <w:rsid w:val="00FD2945"/>
    <w:rsid w:val="00FD2964"/>
    <w:rsid w:val="00FD2BE3"/>
    <w:rsid w:val="00FD2FD2"/>
    <w:rsid w:val="00FD3006"/>
    <w:rsid w:val="00FD301F"/>
    <w:rsid w:val="00FD3042"/>
    <w:rsid w:val="00FD3080"/>
    <w:rsid w:val="00FD3362"/>
    <w:rsid w:val="00FD3611"/>
    <w:rsid w:val="00FD3628"/>
    <w:rsid w:val="00FD3673"/>
    <w:rsid w:val="00FD377F"/>
    <w:rsid w:val="00FD3858"/>
    <w:rsid w:val="00FD3CBF"/>
    <w:rsid w:val="00FD3CD2"/>
    <w:rsid w:val="00FD3CF0"/>
    <w:rsid w:val="00FD3D7A"/>
    <w:rsid w:val="00FD3F48"/>
    <w:rsid w:val="00FD3FDB"/>
    <w:rsid w:val="00FD4298"/>
    <w:rsid w:val="00FD457A"/>
    <w:rsid w:val="00FD45A6"/>
    <w:rsid w:val="00FD462E"/>
    <w:rsid w:val="00FD4688"/>
    <w:rsid w:val="00FD471F"/>
    <w:rsid w:val="00FD498E"/>
    <w:rsid w:val="00FD49A6"/>
    <w:rsid w:val="00FD49BE"/>
    <w:rsid w:val="00FD4A1D"/>
    <w:rsid w:val="00FD4AC0"/>
    <w:rsid w:val="00FD4B07"/>
    <w:rsid w:val="00FD4D21"/>
    <w:rsid w:val="00FD4F29"/>
    <w:rsid w:val="00FD5299"/>
    <w:rsid w:val="00FD5388"/>
    <w:rsid w:val="00FD55A4"/>
    <w:rsid w:val="00FD5609"/>
    <w:rsid w:val="00FD5ABD"/>
    <w:rsid w:val="00FD5B44"/>
    <w:rsid w:val="00FD5D0B"/>
    <w:rsid w:val="00FD5E9F"/>
    <w:rsid w:val="00FD6055"/>
    <w:rsid w:val="00FD62DF"/>
    <w:rsid w:val="00FD641E"/>
    <w:rsid w:val="00FD6446"/>
    <w:rsid w:val="00FD65B3"/>
    <w:rsid w:val="00FD6795"/>
    <w:rsid w:val="00FD67CE"/>
    <w:rsid w:val="00FD6879"/>
    <w:rsid w:val="00FD6898"/>
    <w:rsid w:val="00FD68EF"/>
    <w:rsid w:val="00FD69ED"/>
    <w:rsid w:val="00FD6AB2"/>
    <w:rsid w:val="00FD6D33"/>
    <w:rsid w:val="00FD6D8C"/>
    <w:rsid w:val="00FD6E91"/>
    <w:rsid w:val="00FD6FC5"/>
    <w:rsid w:val="00FD6FCB"/>
    <w:rsid w:val="00FD73CA"/>
    <w:rsid w:val="00FD759A"/>
    <w:rsid w:val="00FD7642"/>
    <w:rsid w:val="00FD7726"/>
    <w:rsid w:val="00FD79A2"/>
    <w:rsid w:val="00FD79B1"/>
    <w:rsid w:val="00FD7BA5"/>
    <w:rsid w:val="00FD7D23"/>
    <w:rsid w:val="00FD7D3B"/>
    <w:rsid w:val="00FD7E7F"/>
    <w:rsid w:val="00FE0067"/>
    <w:rsid w:val="00FE00C2"/>
    <w:rsid w:val="00FE01A8"/>
    <w:rsid w:val="00FE01BB"/>
    <w:rsid w:val="00FE01E0"/>
    <w:rsid w:val="00FE0204"/>
    <w:rsid w:val="00FE02A1"/>
    <w:rsid w:val="00FE02EE"/>
    <w:rsid w:val="00FE032E"/>
    <w:rsid w:val="00FE050D"/>
    <w:rsid w:val="00FE05AF"/>
    <w:rsid w:val="00FE070C"/>
    <w:rsid w:val="00FE0AE3"/>
    <w:rsid w:val="00FE0F64"/>
    <w:rsid w:val="00FE107B"/>
    <w:rsid w:val="00FE120C"/>
    <w:rsid w:val="00FE1315"/>
    <w:rsid w:val="00FE139B"/>
    <w:rsid w:val="00FE145A"/>
    <w:rsid w:val="00FE1528"/>
    <w:rsid w:val="00FE152E"/>
    <w:rsid w:val="00FE1530"/>
    <w:rsid w:val="00FE15DF"/>
    <w:rsid w:val="00FE19EE"/>
    <w:rsid w:val="00FE1A17"/>
    <w:rsid w:val="00FE1E0B"/>
    <w:rsid w:val="00FE1E1C"/>
    <w:rsid w:val="00FE1E3E"/>
    <w:rsid w:val="00FE1EDF"/>
    <w:rsid w:val="00FE1F7E"/>
    <w:rsid w:val="00FE2690"/>
    <w:rsid w:val="00FE272F"/>
    <w:rsid w:val="00FE2953"/>
    <w:rsid w:val="00FE2AD2"/>
    <w:rsid w:val="00FE2CEA"/>
    <w:rsid w:val="00FE2D52"/>
    <w:rsid w:val="00FE2D9B"/>
    <w:rsid w:val="00FE2E8B"/>
    <w:rsid w:val="00FE2F8A"/>
    <w:rsid w:val="00FE2FBB"/>
    <w:rsid w:val="00FE2FCC"/>
    <w:rsid w:val="00FE315B"/>
    <w:rsid w:val="00FE3268"/>
    <w:rsid w:val="00FE3487"/>
    <w:rsid w:val="00FE3489"/>
    <w:rsid w:val="00FE38D0"/>
    <w:rsid w:val="00FE3A52"/>
    <w:rsid w:val="00FE3E70"/>
    <w:rsid w:val="00FE3EEB"/>
    <w:rsid w:val="00FE407B"/>
    <w:rsid w:val="00FE41A7"/>
    <w:rsid w:val="00FE41FC"/>
    <w:rsid w:val="00FE43E3"/>
    <w:rsid w:val="00FE4478"/>
    <w:rsid w:val="00FE44AB"/>
    <w:rsid w:val="00FE44C9"/>
    <w:rsid w:val="00FE473C"/>
    <w:rsid w:val="00FE47D5"/>
    <w:rsid w:val="00FE48A7"/>
    <w:rsid w:val="00FE49A7"/>
    <w:rsid w:val="00FE49CD"/>
    <w:rsid w:val="00FE4BAF"/>
    <w:rsid w:val="00FE4D59"/>
    <w:rsid w:val="00FE4EC5"/>
    <w:rsid w:val="00FE4FCE"/>
    <w:rsid w:val="00FE50F3"/>
    <w:rsid w:val="00FE51F2"/>
    <w:rsid w:val="00FE56DF"/>
    <w:rsid w:val="00FE5818"/>
    <w:rsid w:val="00FE58C5"/>
    <w:rsid w:val="00FE590F"/>
    <w:rsid w:val="00FE594C"/>
    <w:rsid w:val="00FE5955"/>
    <w:rsid w:val="00FE5E40"/>
    <w:rsid w:val="00FE6471"/>
    <w:rsid w:val="00FE69F3"/>
    <w:rsid w:val="00FE6B0B"/>
    <w:rsid w:val="00FE6BA5"/>
    <w:rsid w:val="00FE6BAA"/>
    <w:rsid w:val="00FE6C99"/>
    <w:rsid w:val="00FE6E45"/>
    <w:rsid w:val="00FE6F8C"/>
    <w:rsid w:val="00FE6FF2"/>
    <w:rsid w:val="00FE7161"/>
    <w:rsid w:val="00FE71A4"/>
    <w:rsid w:val="00FE733E"/>
    <w:rsid w:val="00FE7477"/>
    <w:rsid w:val="00FE7613"/>
    <w:rsid w:val="00FE78A4"/>
    <w:rsid w:val="00FE7A2C"/>
    <w:rsid w:val="00FE7C5D"/>
    <w:rsid w:val="00FE7FA0"/>
    <w:rsid w:val="00FF0023"/>
    <w:rsid w:val="00FF00FD"/>
    <w:rsid w:val="00FF023C"/>
    <w:rsid w:val="00FF035A"/>
    <w:rsid w:val="00FF04C0"/>
    <w:rsid w:val="00FF07BB"/>
    <w:rsid w:val="00FF0AF3"/>
    <w:rsid w:val="00FF0B10"/>
    <w:rsid w:val="00FF0B7E"/>
    <w:rsid w:val="00FF0C6D"/>
    <w:rsid w:val="00FF0F7A"/>
    <w:rsid w:val="00FF11F4"/>
    <w:rsid w:val="00FF125A"/>
    <w:rsid w:val="00FF127E"/>
    <w:rsid w:val="00FF12CC"/>
    <w:rsid w:val="00FF1438"/>
    <w:rsid w:val="00FF155F"/>
    <w:rsid w:val="00FF18BB"/>
    <w:rsid w:val="00FF1A13"/>
    <w:rsid w:val="00FF1B3C"/>
    <w:rsid w:val="00FF1B83"/>
    <w:rsid w:val="00FF1CB6"/>
    <w:rsid w:val="00FF1FAE"/>
    <w:rsid w:val="00FF20BE"/>
    <w:rsid w:val="00FF20C1"/>
    <w:rsid w:val="00FF21D4"/>
    <w:rsid w:val="00FF2557"/>
    <w:rsid w:val="00FF2884"/>
    <w:rsid w:val="00FF2901"/>
    <w:rsid w:val="00FF29AC"/>
    <w:rsid w:val="00FF2A02"/>
    <w:rsid w:val="00FF2DDD"/>
    <w:rsid w:val="00FF2E38"/>
    <w:rsid w:val="00FF2E6A"/>
    <w:rsid w:val="00FF2FC5"/>
    <w:rsid w:val="00FF2FD5"/>
    <w:rsid w:val="00FF3044"/>
    <w:rsid w:val="00FF3151"/>
    <w:rsid w:val="00FF315F"/>
    <w:rsid w:val="00FF3414"/>
    <w:rsid w:val="00FF3528"/>
    <w:rsid w:val="00FF3539"/>
    <w:rsid w:val="00FF37B6"/>
    <w:rsid w:val="00FF37F0"/>
    <w:rsid w:val="00FF3837"/>
    <w:rsid w:val="00FF3972"/>
    <w:rsid w:val="00FF3DEB"/>
    <w:rsid w:val="00FF3F2F"/>
    <w:rsid w:val="00FF409D"/>
    <w:rsid w:val="00FF41ED"/>
    <w:rsid w:val="00FF420C"/>
    <w:rsid w:val="00FF43ED"/>
    <w:rsid w:val="00FF451B"/>
    <w:rsid w:val="00FF452D"/>
    <w:rsid w:val="00FF45B5"/>
    <w:rsid w:val="00FF47B2"/>
    <w:rsid w:val="00FF480D"/>
    <w:rsid w:val="00FF4884"/>
    <w:rsid w:val="00FF48DE"/>
    <w:rsid w:val="00FF495D"/>
    <w:rsid w:val="00FF49C3"/>
    <w:rsid w:val="00FF49CA"/>
    <w:rsid w:val="00FF4A96"/>
    <w:rsid w:val="00FF4ABC"/>
    <w:rsid w:val="00FF4B67"/>
    <w:rsid w:val="00FF508A"/>
    <w:rsid w:val="00FF508E"/>
    <w:rsid w:val="00FF5350"/>
    <w:rsid w:val="00FF540B"/>
    <w:rsid w:val="00FF5445"/>
    <w:rsid w:val="00FF553A"/>
    <w:rsid w:val="00FF55CA"/>
    <w:rsid w:val="00FF5687"/>
    <w:rsid w:val="00FF5797"/>
    <w:rsid w:val="00FF5876"/>
    <w:rsid w:val="00FF59AD"/>
    <w:rsid w:val="00FF5C0B"/>
    <w:rsid w:val="00FF5C89"/>
    <w:rsid w:val="00FF5D65"/>
    <w:rsid w:val="00FF6046"/>
    <w:rsid w:val="00FF632F"/>
    <w:rsid w:val="00FF65DF"/>
    <w:rsid w:val="00FF67F8"/>
    <w:rsid w:val="00FF681F"/>
    <w:rsid w:val="00FF6951"/>
    <w:rsid w:val="00FF6AC7"/>
    <w:rsid w:val="00FF6AD6"/>
    <w:rsid w:val="00FF6B60"/>
    <w:rsid w:val="00FF6B69"/>
    <w:rsid w:val="00FF6E96"/>
    <w:rsid w:val="00FF6E9F"/>
    <w:rsid w:val="00FF7333"/>
    <w:rsid w:val="00FF7738"/>
    <w:rsid w:val="00FF7749"/>
    <w:rsid w:val="00FF77CF"/>
    <w:rsid w:val="00FF7932"/>
    <w:rsid w:val="00FF79C3"/>
    <w:rsid w:val="00FF79C7"/>
    <w:rsid w:val="00FF7BDC"/>
    <w:rsid w:val="00FF7C38"/>
    <w:rsid w:val="00FF7CFC"/>
    <w:rsid w:val="00FF7D7C"/>
    <w:rsid w:val="00FF7D9D"/>
    <w:rsid w:val="00FF7EE7"/>
    <w:rsid w:val="01A61426"/>
    <w:rsid w:val="02655EA2"/>
    <w:rsid w:val="02D75846"/>
    <w:rsid w:val="046A6568"/>
    <w:rsid w:val="04AB9652"/>
    <w:rsid w:val="06125ACC"/>
    <w:rsid w:val="06C611AA"/>
    <w:rsid w:val="07F9B96F"/>
    <w:rsid w:val="082578C2"/>
    <w:rsid w:val="087E99F9"/>
    <w:rsid w:val="09BB8EBC"/>
    <w:rsid w:val="0A807F9E"/>
    <w:rsid w:val="0B702F02"/>
    <w:rsid w:val="0C143E90"/>
    <w:rsid w:val="0C36A77C"/>
    <w:rsid w:val="0D0DABA5"/>
    <w:rsid w:val="0D54A5B8"/>
    <w:rsid w:val="0E95A4E2"/>
    <w:rsid w:val="0F089B91"/>
    <w:rsid w:val="1042570F"/>
    <w:rsid w:val="1044A3A6"/>
    <w:rsid w:val="108001F6"/>
    <w:rsid w:val="11E9D8BC"/>
    <w:rsid w:val="11EA3A7A"/>
    <w:rsid w:val="128E2935"/>
    <w:rsid w:val="1353F27A"/>
    <w:rsid w:val="14C1E466"/>
    <w:rsid w:val="15887F81"/>
    <w:rsid w:val="15B3F6BE"/>
    <w:rsid w:val="15BB4687"/>
    <w:rsid w:val="161D58A2"/>
    <w:rsid w:val="1688E910"/>
    <w:rsid w:val="16E0F3F5"/>
    <w:rsid w:val="175CB93C"/>
    <w:rsid w:val="182DA3CE"/>
    <w:rsid w:val="1866968C"/>
    <w:rsid w:val="19A62B3F"/>
    <w:rsid w:val="19B5FF10"/>
    <w:rsid w:val="1A0B56B1"/>
    <w:rsid w:val="1A607BDE"/>
    <w:rsid w:val="1AA54753"/>
    <w:rsid w:val="1AA8222E"/>
    <w:rsid w:val="1B3762D5"/>
    <w:rsid w:val="1B3C6ECD"/>
    <w:rsid w:val="1BD75E7C"/>
    <w:rsid w:val="1D1C8EA1"/>
    <w:rsid w:val="1D1EB927"/>
    <w:rsid w:val="206F3267"/>
    <w:rsid w:val="20E187D9"/>
    <w:rsid w:val="21345E85"/>
    <w:rsid w:val="2141DAB6"/>
    <w:rsid w:val="21EEE2F1"/>
    <w:rsid w:val="21F8417E"/>
    <w:rsid w:val="22A75B5C"/>
    <w:rsid w:val="22D02EE6"/>
    <w:rsid w:val="233C1D5D"/>
    <w:rsid w:val="2416DFCA"/>
    <w:rsid w:val="242FA1A4"/>
    <w:rsid w:val="24E494B7"/>
    <w:rsid w:val="25859F74"/>
    <w:rsid w:val="2678638E"/>
    <w:rsid w:val="26D7E527"/>
    <w:rsid w:val="2720205A"/>
    <w:rsid w:val="27DE372F"/>
    <w:rsid w:val="28752D37"/>
    <w:rsid w:val="28AE537E"/>
    <w:rsid w:val="2909A1EE"/>
    <w:rsid w:val="29C0D012"/>
    <w:rsid w:val="2ACEDCAA"/>
    <w:rsid w:val="2CB3B20D"/>
    <w:rsid w:val="2D3757CB"/>
    <w:rsid w:val="2E366417"/>
    <w:rsid w:val="2E669B59"/>
    <w:rsid w:val="2F1CD060"/>
    <w:rsid w:val="2F4BA034"/>
    <w:rsid w:val="2F8E6DE5"/>
    <w:rsid w:val="304022E8"/>
    <w:rsid w:val="30A2F233"/>
    <w:rsid w:val="319704B0"/>
    <w:rsid w:val="31A968B1"/>
    <w:rsid w:val="323E8818"/>
    <w:rsid w:val="3250DADB"/>
    <w:rsid w:val="33721DA2"/>
    <w:rsid w:val="33A0C0DC"/>
    <w:rsid w:val="342B239C"/>
    <w:rsid w:val="34922628"/>
    <w:rsid w:val="34F3914A"/>
    <w:rsid w:val="3566C054"/>
    <w:rsid w:val="3591161F"/>
    <w:rsid w:val="35BB3DFE"/>
    <w:rsid w:val="36B73C94"/>
    <w:rsid w:val="3745E76E"/>
    <w:rsid w:val="37C11865"/>
    <w:rsid w:val="38219A00"/>
    <w:rsid w:val="38607303"/>
    <w:rsid w:val="39083A8F"/>
    <w:rsid w:val="3955BEF5"/>
    <w:rsid w:val="395F6357"/>
    <w:rsid w:val="39B0C85B"/>
    <w:rsid w:val="39C1FE00"/>
    <w:rsid w:val="39C4BBC0"/>
    <w:rsid w:val="39D08D67"/>
    <w:rsid w:val="3A1BA807"/>
    <w:rsid w:val="3A4DD528"/>
    <w:rsid w:val="3AF9521B"/>
    <w:rsid w:val="3C0F5F6D"/>
    <w:rsid w:val="3C3F7D55"/>
    <w:rsid w:val="3CFFD78B"/>
    <w:rsid w:val="3D273593"/>
    <w:rsid w:val="3D47BBBC"/>
    <w:rsid w:val="3DDD8C48"/>
    <w:rsid w:val="3EB287BA"/>
    <w:rsid w:val="3EB4940F"/>
    <w:rsid w:val="3F338E7F"/>
    <w:rsid w:val="3F5A92C4"/>
    <w:rsid w:val="3FFAFAFB"/>
    <w:rsid w:val="4073B551"/>
    <w:rsid w:val="4086EFB3"/>
    <w:rsid w:val="40E2F66B"/>
    <w:rsid w:val="4176748A"/>
    <w:rsid w:val="42687102"/>
    <w:rsid w:val="42B07FFB"/>
    <w:rsid w:val="44175E93"/>
    <w:rsid w:val="4437FAD3"/>
    <w:rsid w:val="44E1C485"/>
    <w:rsid w:val="4511A29A"/>
    <w:rsid w:val="459FA673"/>
    <w:rsid w:val="45A011C4"/>
    <w:rsid w:val="45F4DCFA"/>
    <w:rsid w:val="45FB194A"/>
    <w:rsid w:val="46200BAA"/>
    <w:rsid w:val="47032FA3"/>
    <w:rsid w:val="473BE225"/>
    <w:rsid w:val="4887EC7B"/>
    <w:rsid w:val="49F5B87F"/>
    <w:rsid w:val="4A2947CE"/>
    <w:rsid w:val="4AB7971D"/>
    <w:rsid w:val="4B4D5B1D"/>
    <w:rsid w:val="4BAD960C"/>
    <w:rsid w:val="4BD9A8C1"/>
    <w:rsid w:val="4C09A456"/>
    <w:rsid w:val="4C8551DB"/>
    <w:rsid w:val="4CBC2315"/>
    <w:rsid w:val="4D172B5B"/>
    <w:rsid w:val="4D9D07DB"/>
    <w:rsid w:val="4DE0995D"/>
    <w:rsid w:val="4E498608"/>
    <w:rsid w:val="4EB85C04"/>
    <w:rsid w:val="4FC78AB1"/>
    <w:rsid w:val="4FF12254"/>
    <w:rsid w:val="502598C2"/>
    <w:rsid w:val="5047126A"/>
    <w:rsid w:val="51AEFA1D"/>
    <w:rsid w:val="524B45B7"/>
    <w:rsid w:val="529FBBEF"/>
    <w:rsid w:val="53E48F78"/>
    <w:rsid w:val="54D645EB"/>
    <w:rsid w:val="55D0BE4F"/>
    <w:rsid w:val="55F41A21"/>
    <w:rsid w:val="57C3128F"/>
    <w:rsid w:val="57D81A1D"/>
    <w:rsid w:val="582CB52D"/>
    <w:rsid w:val="5896060F"/>
    <w:rsid w:val="5AEC7134"/>
    <w:rsid w:val="5B2E5A68"/>
    <w:rsid w:val="5C6D488A"/>
    <w:rsid w:val="5DFE7A75"/>
    <w:rsid w:val="5E38477E"/>
    <w:rsid w:val="5E42E086"/>
    <w:rsid w:val="5E46D776"/>
    <w:rsid w:val="5FA94340"/>
    <w:rsid w:val="5FE11BE6"/>
    <w:rsid w:val="6001A1DA"/>
    <w:rsid w:val="60BA7D0B"/>
    <w:rsid w:val="61885A45"/>
    <w:rsid w:val="61B2174F"/>
    <w:rsid w:val="61EFDA19"/>
    <w:rsid w:val="623DCCD1"/>
    <w:rsid w:val="662EE869"/>
    <w:rsid w:val="6636DE90"/>
    <w:rsid w:val="66A9223B"/>
    <w:rsid w:val="6728408E"/>
    <w:rsid w:val="679EC103"/>
    <w:rsid w:val="682DD8E5"/>
    <w:rsid w:val="6832B39F"/>
    <w:rsid w:val="695F3B06"/>
    <w:rsid w:val="69D9D6AD"/>
    <w:rsid w:val="6A126F5A"/>
    <w:rsid w:val="6A4C9160"/>
    <w:rsid w:val="6AD257A3"/>
    <w:rsid w:val="6B7B812C"/>
    <w:rsid w:val="6CA645E9"/>
    <w:rsid w:val="6CDEC7C3"/>
    <w:rsid w:val="6CEFEE4D"/>
    <w:rsid w:val="6E3A0B66"/>
    <w:rsid w:val="6F50AC3F"/>
    <w:rsid w:val="70C131B4"/>
    <w:rsid w:val="70E1C281"/>
    <w:rsid w:val="713346DC"/>
    <w:rsid w:val="734FC244"/>
    <w:rsid w:val="76171964"/>
    <w:rsid w:val="76390AF2"/>
    <w:rsid w:val="7679FFDC"/>
    <w:rsid w:val="76D7CA05"/>
    <w:rsid w:val="7747CFDF"/>
    <w:rsid w:val="77FC493A"/>
    <w:rsid w:val="781CF37A"/>
    <w:rsid w:val="78BC94B2"/>
    <w:rsid w:val="78E3A040"/>
    <w:rsid w:val="79B55AFA"/>
    <w:rsid w:val="79C7B1C0"/>
    <w:rsid w:val="7A40E3E6"/>
    <w:rsid w:val="7B7A56F0"/>
    <w:rsid w:val="7B80AFC5"/>
    <w:rsid w:val="7B9A20A4"/>
    <w:rsid w:val="7C1B6F34"/>
    <w:rsid w:val="7CAD3416"/>
    <w:rsid w:val="7D8E4AB2"/>
    <w:rsid w:val="7DFA47B0"/>
    <w:rsid w:val="7E53F6D9"/>
    <w:rsid w:val="7E7A2873"/>
    <w:rsid w:val="7FEFC73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C6401B"/>
  <w15:docId w15:val="{C3744249-35CC-4445-B299-45832C34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pt-BR" w:eastAsia="pt-BR"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Title" w:uiPriority="10" w:qFormat="1"/>
    <w:lsdException w:name="Subtitle" w:uiPriority="11" w:qFormat="1"/>
    <w:lsdException w:name="Block Text" w:uiPriority="99"/>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4BC"/>
  </w:style>
  <w:style w:type="paragraph" w:styleId="Ttulo1">
    <w:name w:val="heading 1"/>
    <w:basedOn w:val="Normal"/>
    <w:next w:val="Normal"/>
    <w:link w:val="Ttulo1Char"/>
    <w:uiPriority w:val="9"/>
    <w:qFormat/>
    <w:rsid w:val="006D2B8D"/>
    <w:pPr>
      <w:keepNext/>
      <w:keepLines/>
      <w:pBdr>
        <w:bottom w:val="single" w:sz="4" w:space="1" w:color="5B9BD5" w:themeColor="accent1"/>
      </w:pBdr>
      <w:outlineLvl w:val="0"/>
    </w:pPr>
    <w:rPr>
      <w:rFonts w:ascii="Calibri" w:eastAsiaTheme="majorEastAsia" w:hAnsi="Calibri" w:cstheme="majorBidi"/>
      <w:color w:val="2E74B5" w:themeColor="accent1" w:themeShade="BF"/>
      <w:sz w:val="24"/>
      <w:szCs w:val="36"/>
    </w:rPr>
  </w:style>
  <w:style w:type="paragraph" w:styleId="Ttulo2">
    <w:name w:val="heading 2"/>
    <w:basedOn w:val="Normal"/>
    <w:next w:val="Normal"/>
    <w:link w:val="Ttulo2Char"/>
    <w:uiPriority w:val="9"/>
    <w:unhideWhenUsed/>
    <w:qFormat/>
    <w:rsid w:val="006F61A8"/>
    <w:pPr>
      <w:keepNext/>
      <w:keepLines/>
      <w:outlineLvl w:val="1"/>
    </w:pPr>
    <w:rPr>
      <w:rFonts w:ascii="Calibri" w:eastAsiaTheme="majorEastAsia" w:hAnsi="Calibri" w:cstheme="majorBidi"/>
      <w:color w:val="2E74B5" w:themeColor="accent1" w:themeShade="BF"/>
      <w:sz w:val="24"/>
      <w:szCs w:val="28"/>
    </w:rPr>
  </w:style>
  <w:style w:type="paragraph" w:styleId="Ttulo3">
    <w:name w:val="heading 3"/>
    <w:basedOn w:val="Normal"/>
    <w:next w:val="Normal"/>
    <w:link w:val="Ttulo3Char"/>
    <w:uiPriority w:val="9"/>
    <w:unhideWhenUsed/>
    <w:qFormat/>
    <w:rsid w:val="008177F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unhideWhenUsed/>
    <w:qFormat/>
    <w:rsid w:val="008177FF"/>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8177FF"/>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unhideWhenUsed/>
    <w:qFormat/>
    <w:rsid w:val="008177FF"/>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iPriority w:val="9"/>
    <w:unhideWhenUsed/>
    <w:qFormat/>
    <w:rsid w:val="008177FF"/>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iPriority w:val="9"/>
    <w:unhideWhenUsed/>
    <w:qFormat/>
    <w:rsid w:val="008177F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unhideWhenUsed/>
    <w:qFormat/>
    <w:rsid w:val="008177F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rsid w:val="00DC58F4"/>
    <w:pPr>
      <w:tabs>
        <w:tab w:val="left" w:pos="0"/>
      </w:tabs>
      <w:spacing w:line="312" w:lineRule="auto"/>
      <w:ind w:left="705" w:right="-142"/>
      <w:jc w:val="both"/>
    </w:pPr>
    <w:rPr>
      <w:rFonts w:ascii="Arial" w:hAnsi="Arial"/>
      <w:bCs/>
      <w:sz w:val="20"/>
      <w:szCs w:val="20"/>
    </w:rPr>
  </w:style>
  <w:style w:type="paragraph" w:styleId="Cabealho">
    <w:name w:val="header"/>
    <w:basedOn w:val="Normal"/>
    <w:link w:val="CabealhoChar"/>
    <w:uiPriority w:val="99"/>
    <w:rsid w:val="00DC58F4"/>
    <w:pPr>
      <w:tabs>
        <w:tab w:val="center" w:pos="4419"/>
        <w:tab w:val="right" w:pos="8838"/>
      </w:tabs>
    </w:pPr>
    <w:rPr>
      <w:sz w:val="20"/>
      <w:szCs w:val="20"/>
    </w:rPr>
  </w:style>
  <w:style w:type="paragraph" w:styleId="Corpodetexto">
    <w:name w:val="Body Text"/>
    <w:basedOn w:val="Normal"/>
    <w:rsid w:val="00DC58F4"/>
    <w:pPr>
      <w:spacing w:line="312" w:lineRule="auto"/>
      <w:ind w:right="-142"/>
      <w:jc w:val="both"/>
    </w:pPr>
    <w:rPr>
      <w:rFonts w:ascii="Arial" w:hAnsi="Arial" w:cs="Arial"/>
      <w:sz w:val="20"/>
    </w:rPr>
  </w:style>
  <w:style w:type="paragraph" w:styleId="Rodap">
    <w:name w:val="footer"/>
    <w:basedOn w:val="Normal"/>
    <w:link w:val="RodapChar"/>
    <w:uiPriority w:val="99"/>
    <w:rsid w:val="00DC58F4"/>
    <w:pPr>
      <w:tabs>
        <w:tab w:val="center" w:pos="4419"/>
        <w:tab w:val="right" w:pos="8838"/>
      </w:tabs>
    </w:pPr>
    <w:rPr>
      <w:lang w:val="x-none" w:eastAsia="x-none"/>
    </w:rPr>
  </w:style>
  <w:style w:type="character" w:styleId="Nmerodepgina">
    <w:name w:val="page number"/>
    <w:basedOn w:val="Fontepargpadro"/>
    <w:rsid w:val="00DC58F4"/>
  </w:style>
  <w:style w:type="paragraph" w:customStyle="1" w:styleId="-PGINA-">
    <w:name w:val="- PÁGINA -"/>
    <w:rsid w:val="00DC58F4"/>
    <w:rPr>
      <w:sz w:val="24"/>
      <w:szCs w:val="24"/>
    </w:rPr>
  </w:style>
  <w:style w:type="paragraph" w:styleId="Ttulo">
    <w:name w:val="Title"/>
    <w:basedOn w:val="Normal"/>
    <w:next w:val="Normal"/>
    <w:link w:val="TtuloChar"/>
    <w:uiPriority w:val="10"/>
    <w:qFormat/>
    <w:rsid w:val="008177FF"/>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paragraph" w:styleId="Corpodetexto2">
    <w:name w:val="Body Text 2"/>
    <w:basedOn w:val="Normal"/>
    <w:rsid w:val="00DC58F4"/>
    <w:pPr>
      <w:spacing w:before="60"/>
      <w:jc w:val="both"/>
    </w:pPr>
    <w:rPr>
      <w:rFonts w:ascii="Arial" w:hAnsi="Arial" w:cs="Arial"/>
      <w:sz w:val="20"/>
    </w:rPr>
  </w:style>
  <w:style w:type="paragraph" w:styleId="Corpodetexto3">
    <w:name w:val="Body Text 3"/>
    <w:basedOn w:val="Normal"/>
    <w:rsid w:val="00DC58F4"/>
    <w:pPr>
      <w:jc w:val="right"/>
    </w:pPr>
    <w:rPr>
      <w:rFonts w:ascii="Arial" w:hAnsi="Arial" w:cs="Arial"/>
      <w:sz w:val="20"/>
    </w:rPr>
  </w:style>
  <w:style w:type="paragraph" w:styleId="Recuodecorpodetexto">
    <w:name w:val="Body Text Indent"/>
    <w:basedOn w:val="Normal"/>
    <w:rsid w:val="00AA7812"/>
    <w:pPr>
      <w:ind w:left="283"/>
    </w:pPr>
  </w:style>
  <w:style w:type="paragraph" w:styleId="Recuodecorpodetexto2">
    <w:name w:val="Body Text Indent 2"/>
    <w:basedOn w:val="Normal"/>
    <w:rsid w:val="00AA7812"/>
    <w:pPr>
      <w:spacing w:line="480" w:lineRule="auto"/>
      <w:ind w:left="283"/>
    </w:pPr>
    <w:rPr>
      <w:rFonts w:ascii="Arial" w:hAnsi="Arial"/>
    </w:rPr>
  </w:style>
  <w:style w:type="paragraph" w:styleId="Recuodecorpodetexto3">
    <w:name w:val="Body Text Indent 3"/>
    <w:basedOn w:val="Normal"/>
    <w:rsid w:val="00AA7812"/>
    <w:pPr>
      <w:ind w:left="283"/>
    </w:pPr>
    <w:rPr>
      <w:rFonts w:ascii="Arial" w:hAnsi="Arial"/>
      <w:sz w:val="16"/>
      <w:szCs w:val="16"/>
    </w:rPr>
  </w:style>
  <w:style w:type="table" w:styleId="Tabelacomgrade">
    <w:name w:val="Table Grid"/>
    <w:basedOn w:val="Tabelanormal"/>
    <w:uiPriority w:val="39"/>
    <w:rsid w:val="002A2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rsid w:val="00A43977"/>
    <w:rPr>
      <w:rFonts w:ascii="Tahoma" w:hAnsi="Tahoma" w:cs="Tahoma"/>
      <w:sz w:val="16"/>
      <w:szCs w:val="16"/>
    </w:rPr>
  </w:style>
  <w:style w:type="paragraph" w:styleId="NormalWeb">
    <w:name w:val="Normal (Web)"/>
    <w:basedOn w:val="Normal"/>
    <w:uiPriority w:val="99"/>
    <w:unhideWhenUsed/>
    <w:rsid w:val="004C6E14"/>
    <w:pPr>
      <w:spacing w:before="100" w:beforeAutospacing="1" w:after="100" w:afterAutospacing="1"/>
    </w:pPr>
  </w:style>
  <w:style w:type="character" w:customStyle="1" w:styleId="RodapChar">
    <w:name w:val="Rodapé Char"/>
    <w:link w:val="Rodap"/>
    <w:uiPriority w:val="99"/>
    <w:rsid w:val="00910D8F"/>
    <w:rPr>
      <w:sz w:val="24"/>
      <w:szCs w:val="24"/>
    </w:rPr>
  </w:style>
  <w:style w:type="character" w:customStyle="1" w:styleId="CabealhoChar">
    <w:name w:val="Cabeçalho Char"/>
    <w:link w:val="Cabealho"/>
    <w:uiPriority w:val="99"/>
    <w:rsid w:val="00910D8F"/>
  </w:style>
  <w:style w:type="paragraph" w:styleId="PargrafodaLista">
    <w:name w:val="List Paragraph"/>
    <w:aliases w:val="Título Médio"/>
    <w:basedOn w:val="Normal"/>
    <w:link w:val="PargrafodaListaChar"/>
    <w:uiPriority w:val="34"/>
    <w:qFormat/>
    <w:rsid w:val="00377FE8"/>
    <w:pPr>
      <w:ind w:left="720"/>
      <w:contextualSpacing/>
    </w:pPr>
  </w:style>
  <w:style w:type="character" w:styleId="Forte">
    <w:name w:val="Strong"/>
    <w:basedOn w:val="Fontepargpadro"/>
    <w:uiPriority w:val="22"/>
    <w:qFormat/>
    <w:rsid w:val="008177FF"/>
    <w:rPr>
      <w:b/>
      <w:bCs/>
    </w:rPr>
  </w:style>
  <w:style w:type="table" w:styleId="Tabelacomgrade1">
    <w:name w:val="Table Grid 1"/>
    <w:basedOn w:val="Tabelanormal"/>
    <w:rsid w:val="005D73E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Refdecomentrio">
    <w:name w:val="annotation reference"/>
    <w:uiPriority w:val="99"/>
    <w:rsid w:val="007C3C80"/>
    <w:rPr>
      <w:sz w:val="16"/>
      <w:szCs w:val="16"/>
    </w:rPr>
  </w:style>
  <w:style w:type="paragraph" w:styleId="Textodecomentrio">
    <w:name w:val="annotation text"/>
    <w:basedOn w:val="Normal"/>
    <w:link w:val="TextodecomentrioChar"/>
    <w:uiPriority w:val="99"/>
    <w:rsid w:val="007C3C80"/>
    <w:rPr>
      <w:sz w:val="20"/>
      <w:szCs w:val="20"/>
    </w:rPr>
  </w:style>
  <w:style w:type="character" w:customStyle="1" w:styleId="TextodecomentrioChar">
    <w:name w:val="Texto de comentário Char"/>
    <w:basedOn w:val="Fontepargpadro"/>
    <w:link w:val="Textodecomentrio"/>
    <w:uiPriority w:val="99"/>
    <w:rsid w:val="007C3C80"/>
  </w:style>
  <w:style w:type="paragraph" w:styleId="Assuntodocomentrio">
    <w:name w:val="annotation subject"/>
    <w:basedOn w:val="Textodecomentrio"/>
    <w:next w:val="Textodecomentrio"/>
    <w:link w:val="AssuntodocomentrioChar"/>
    <w:rsid w:val="007C3C80"/>
    <w:rPr>
      <w:b/>
      <w:bCs/>
      <w:lang w:val="x-none" w:eastAsia="x-none"/>
    </w:rPr>
  </w:style>
  <w:style w:type="character" w:customStyle="1" w:styleId="AssuntodocomentrioChar">
    <w:name w:val="Assunto do comentário Char"/>
    <w:link w:val="Assuntodocomentrio"/>
    <w:rsid w:val="007C3C80"/>
    <w:rPr>
      <w:b/>
      <w:bCs/>
    </w:rPr>
  </w:style>
  <w:style w:type="table" w:styleId="Tabelacomgrade2">
    <w:name w:val="Table Grid 2"/>
    <w:basedOn w:val="Tabelanormal"/>
    <w:rsid w:val="004D317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Reviso">
    <w:name w:val="Revision"/>
    <w:hidden/>
    <w:uiPriority w:val="99"/>
    <w:semiHidden/>
    <w:rsid w:val="00296D1E"/>
    <w:rPr>
      <w:sz w:val="24"/>
      <w:szCs w:val="24"/>
    </w:rPr>
  </w:style>
  <w:style w:type="paragraph" w:customStyle="1" w:styleId="full">
    <w:name w:val="full"/>
    <w:basedOn w:val="Normal"/>
    <w:rsid w:val="0049122B"/>
    <w:pPr>
      <w:spacing w:before="100" w:beforeAutospacing="1" w:after="100" w:afterAutospacing="1"/>
    </w:pPr>
  </w:style>
  <w:style w:type="paragraph" w:customStyle="1" w:styleId="Default">
    <w:name w:val="Default"/>
    <w:rsid w:val="00A03EC9"/>
    <w:pPr>
      <w:autoSpaceDE w:val="0"/>
      <w:autoSpaceDN w:val="0"/>
      <w:adjustRightInd w:val="0"/>
    </w:pPr>
    <w:rPr>
      <w:rFonts w:ascii="Verdana" w:hAnsi="Verdana" w:cs="Verdana"/>
      <w:color w:val="000000"/>
      <w:sz w:val="24"/>
      <w:szCs w:val="24"/>
    </w:rPr>
  </w:style>
  <w:style w:type="character" w:customStyle="1" w:styleId="PargrafodaListaChar">
    <w:name w:val="Parágrafo da Lista Char"/>
    <w:aliases w:val="Título Médio Char"/>
    <w:link w:val="PargrafodaLista"/>
    <w:uiPriority w:val="34"/>
    <w:rsid w:val="00CC7FB2"/>
  </w:style>
  <w:style w:type="paragraph" w:customStyle="1" w:styleId="textojustificadorecuoprimeiralinha">
    <w:name w:val="texto_justificado_recuo_primeira_linha"/>
    <w:basedOn w:val="Normal"/>
    <w:rsid w:val="00B7580D"/>
    <w:pPr>
      <w:spacing w:before="100" w:beforeAutospacing="1" w:after="100" w:afterAutospacing="1"/>
    </w:pPr>
  </w:style>
  <w:style w:type="paragraph" w:customStyle="1" w:styleId="paragrafonumeradonivel3">
    <w:name w:val="paragrafo_numerado_nivel3"/>
    <w:basedOn w:val="Normal"/>
    <w:rsid w:val="00337667"/>
    <w:pPr>
      <w:spacing w:before="100" w:beforeAutospacing="1" w:after="100" w:afterAutospacing="1"/>
    </w:pPr>
  </w:style>
  <w:style w:type="character" w:styleId="nfase">
    <w:name w:val="Emphasis"/>
    <w:basedOn w:val="Fontepargpadro"/>
    <w:uiPriority w:val="20"/>
    <w:qFormat/>
    <w:rsid w:val="008177FF"/>
    <w:rPr>
      <w:i/>
      <w:iCs/>
    </w:rPr>
  </w:style>
  <w:style w:type="paragraph" w:customStyle="1" w:styleId="paragrafonumeradonivel1">
    <w:name w:val="paragrafo_numerado_nivel1"/>
    <w:basedOn w:val="Normal"/>
    <w:rsid w:val="005D7B2E"/>
    <w:pPr>
      <w:spacing w:before="100" w:beforeAutospacing="1" w:after="100" w:afterAutospacing="1"/>
    </w:pPr>
  </w:style>
  <w:style w:type="paragraph" w:customStyle="1" w:styleId="Pa0">
    <w:name w:val="Pa0"/>
    <w:basedOn w:val="Normal"/>
    <w:next w:val="Normal"/>
    <w:uiPriority w:val="99"/>
    <w:rsid w:val="00F75286"/>
    <w:pPr>
      <w:autoSpaceDE w:val="0"/>
      <w:autoSpaceDN w:val="0"/>
      <w:adjustRightInd w:val="0"/>
      <w:spacing w:line="241" w:lineRule="atLeast"/>
      <w:jc w:val="both"/>
    </w:pPr>
    <w:rPr>
      <w:rFonts w:ascii="Gotham Light" w:eastAsia="Calibri" w:hAnsi="Gotham Light"/>
      <w:lang w:eastAsia="en-US"/>
    </w:rPr>
  </w:style>
  <w:style w:type="paragraph" w:customStyle="1" w:styleId="itemnivel2">
    <w:name w:val="item_nivel2"/>
    <w:basedOn w:val="Normal"/>
    <w:rsid w:val="00114E9F"/>
    <w:pPr>
      <w:spacing w:before="100" w:beforeAutospacing="1" w:after="100" w:afterAutospacing="1"/>
    </w:pPr>
  </w:style>
  <w:style w:type="paragraph" w:customStyle="1" w:styleId="itemincisoromano">
    <w:name w:val="item_inciso_romano"/>
    <w:basedOn w:val="Normal"/>
    <w:rsid w:val="00114E9F"/>
    <w:pPr>
      <w:spacing w:before="100" w:beforeAutospacing="1" w:after="100" w:afterAutospacing="1"/>
    </w:pPr>
  </w:style>
  <w:style w:type="paragraph" w:customStyle="1" w:styleId="tabelatextoalinhadoesquerda">
    <w:name w:val="tabela_texto_alinhado_esquerda"/>
    <w:basedOn w:val="Normal"/>
    <w:rsid w:val="00114E9F"/>
    <w:pPr>
      <w:spacing w:before="100" w:beforeAutospacing="1" w:after="100" w:afterAutospacing="1"/>
    </w:pPr>
  </w:style>
  <w:style w:type="character" w:styleId="Hyperlink">
    <w:name w:val="Hyperlink"/>
    <w:uiPriority w:val="99"/>
    <w:unhideWhenUsed/>
    <w:rsid w:val="00F91905"/>
    <w:rPr>
      <w:color w:val="0000FF"/>
      <w:u w:val="single"/>
    </w:rPr>
  </w:style>
  <w:style w:type="paragraph" w:customStyle="1" w:styleId="textoalinhadoesquerda">
    <w:name w:val="texto_alinhado_esquerda"/>
    <w:basedOn w:val="Normal"/>
    <w:rsid w:val="00F91905"/>
    <w:pPr>
      <w:spacing w:before="100" w:beforeAutospacing="1" w:after="100" w:afterAutospacing="1"/>
    </w:pPr>
  </w:style>
  <w:style w:type="character" w:customStyle="1" w:styleId="TextodebaloChar">
    <w:name w:val="Texto de balão Char"/>
    <w:basedOn w:val="Fontepargpadro"/>
    <w:link w:val="Textodebalo"/>
    <w:uiPriority w:val="99"/>
    <w:semiHidden/>
    <w:rsid w:val="00272EEE"/>
    <w:rPr>
      <w:rFonts w:ascii="Tahoma" w:hAnsi="Tahoma" w:cs="Tahoma"/>
      <w:sz w:val="16"/>
      <w:szCs w:val="16"/>
    </w:rPr>
  </w:style>
  <w:style w:type="paragraph" w:customStyle="1" w:styleId="citacao">
    <w:name w:val="citacao"/>
    <w:basedOn w:val="Normal"/>
    <w:rsid w:val="00AF6050"/>
    <w:pPr>
      <w:spacing w:before="100" w:beforeAutospacing="1" w:after="100" w:afterAutospacing="1"/>
    </w:pPr>
  </w:style>
  <w:style w:type="character" w:customStyle="1" w:styleId="i0jnr">
    <w:name w:val="i0jnr"/>
    <w:basedOn w:val="Fontepargpadro"/>
    <w:rsid w:val="00AF6050"/>
  </w:style>
  <w:style w:type="character" w:customStyle="1" w:styleId="Ttulo1Char">
    <w:name w:val="Título 1 Char"/>
    <w:basedOn w:val="Fontepargpadro"/>
    <w:link w:val="Ttulo1"/>
    <w:uiPriority w:val="9"/>
    <w:rsid w:val="006D2B8D"/>
    <w:rPr>
      <w:rFonts w:ascii="Calibri" w:eastAsiaTheme="majorEastAsia" w:hAnsi="Calibri" w:cstheme="majorBidi"/>
      <w:color w:val="2E74B5" w:themeColor="accent1" w:themeShade="BF"/>
      <w:sz w:val="24"/>
      <w:szCs w:val="36"/>
    </w:rPr>
  </w:style>
  <w:style w:type="paragraph" w:styleId="CabealhodoSumrio">
    <w:name w:val="TOC Heading"/>
    <w:basedOn w:val="Ttulo1"/>
    <w:next w:val="Normal"/>
    <w:uiPriority w:val="39"/>
    <w:unhideWhenUsed/>
    <w:qFormat/>
    <w:rsid w:val="008177FF"/>
    <w:pPr>
      <w:outlineLvl w:val="9"/>
    </w:pPr>
  </w:style>
  <w:style w:type="paragraph" w:styleId="Sumrio1">
    <w:name w:val="toc 1"/>
    <w:basedOn w:val="Normal"/>
    <w:next w:val="Normal"/>
    <w:autoRedefine/>
    <w:uiPriority w:val="39"/>
    <w:rsid w:val="00B21226"/>
    <w:pPr>
      <w:tabs>
        <w:tab w:val="left" w:pos="426"/>
        <w:tab w:val="right" w:leader="dot" w:pos="10457"/>
      </w:tabs>
      <w:spacing w:after="20"/>
    </w:pPr>
  </w:style>
  <w:style w:type="paragraph" w:styleId="Sumrio2">
    <w:name w:val="toc 2"/>
    <w:basedOn w:val="Normal"/>
    <w:next w:val="Normal"/>
    <w:autoRedefine/>
    <w:uiPriority w:val="39"/>
    <w:unhideWhenUsed/>
    <w:rsid w:val="0047440F"/>
    <w:pPr>
      <w:tabs>
        <w:tab w:val="left" w:pos="720"/>
        <w:tab w:val="right" w:leader="dot" w:pos="10457"/>
      </w:tabs>
      <w:spacing w:after="100" w:line="259" w:lineRule="auto"/>
      <w:ind w:left="220"/>
    </w:pPr>
    <w:rPr>
      <w:sz w:val="22"/>
      <w:szCs w:val="22"/>
    </w:rPr>
  </w:style>
  <w:style w:type="paragraph" w:styleId="Sumrio3">
    <w:name w:val="toc 3"/>
    <w:basedOn w:val="Normal"/>
    <w:next w:val="Normal"/>
    <w:autoRedefine/>
    <w:uiPriority w:val="39"/>
    <w:unhideWhenUsed/>
    <w:rsid w:val="00105962"/>
    <w:pPr>
      <w:spacing w:after="100" w:line="259" w:lineRule="auto"/>
      <w:ind w:left="440"/>
    </w:pPr>
    <w:rPr>
      <w:sz w:val="22"/>
      <w:szCs w:val="22"/>
    </w:rPr>
  </w:style>
  <w:style w:type="character" w:customStyle="1" w:styleId="ui-provider">
    <w:name w:val="ui-provider"/>
    <w:basedOn w:val="Fontepargpadro"/>
    <w:rsid w:val="00A21C08"/>
  </w:style>
  <w:style w:type="character" w:customStyle="1" w:styleId="fontstyle01">
    <w:name w:val="fontstyle01"/>
    <w:basedOn w:val="Fontepargpadro"/>
    <w:rsid w:val="00231A49"/>
    <w:rPr>
      <w:rFonts w:ascii="SegoeUI" w:hAnsi="SegoeUI" w:hint="default"/>
      <w:b w:val="0"/>
      <w:bCs w:val="0"/>
      <w:i w:val="0"/>
      <w:iCs w:val="0"/>
      <w:color w:val="000000"/>
      <w:sz w:val="20"/>
      <w:szCs w:val="20"/>
    </w:rPr>
  </w:style>
  <w:style w:type="character" w:customStyle="1" w:styleId="Ttulo2Char">
    <w:name w:val="Título 2 Char"/>
    <w:basedOn w:val="Fontepargpadro"/>
    <w:link w:val="Ttulo2"/>
    <w:uiPriority w:val="9"/>
    <w:rsid w:val="006F61A8"/>
    <w:rPr>
      <w:rFonts w:ascii="Calibri" w:eastAsiaTheme="majorEastAsia" w:hAnsi="Calibri" w:cstheme="majorBidi"/>
      <w:color w:val="2E74B5" w:themeColor="accent1" w:themeShade="BF"/>
      <w:sz w:val="24"/>
      <w:szCs w:val="28"/>
    </w:rPr>
  </w:style>
  <w:style w:type="character" w:customStyle="1" w:styleId="Ttulo3Char">
    <w:name w:val="Título 3 Char"/>
    <w:basedOn w:val="Fontepargpadro"/>
    <w:link w:val="Ttulo3"/>
    <w:uiPriority w:val="9"/>
    <w:rsid w:val="008177FF"/>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rsid w:val="008177FF"/>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8177FF"/>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rsid w:val="008177FF"/>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uiPriority w:val="9"/>
    <w:rsid w:val="008177FF"/>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uiPriority w:val="9"/>
    <w:rsid w:val="008177FF"/>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rsid w:val="008177FF"/>
    <w:rPr>
      <w:rFonts w:asciiTheme="majorHAnsi" w:eastAsiaTheme="majorEastAsia" w:hAnsiTheme="majorHAnsi" w:cstheme="majorBidi"/>
      <w:i/>
      <w:iCs/>
      <w:smallCaps/>
      <w:color w:val="595959" w:themeColor="text1" w:themeTint="A6"/>
    </w:rPr>
  </w:style>
  <w:style w:type="paragraph" w:styleId="Legenda">
    <w:name w:val="caption"/>
    <w:basedOn w:val="Normal"/>
    <w:next w:val="Normal"/>
    <w:uiPriority w:val="35"/>
    <w:semiHidden/>
    <w:unhideWhenUsed/>
    <w:qFormat/>
    <w:rsid w:val="008177FF"/>
    <w:pPr>
      <w:spacing w:line="240" w:lineRule="auto"/>
    </w:pPr>
    <w:rPr>
      <w:b/>
      <w:bCs/>
      <w:color w:val="404040" w:themeColor="text1" w:themeTint="BF"/>
      <w:sz w:val="20"/>
      <w:szCs w:val="20"/>
    </w:rPr>
  </w:style>
  <w:style w:type="character" w:customStyle="1" w:styleId="TtuloChar">
    <w:name w:val="Título Char"/>
    <w:basedOn w:val="Fontepargpadro"/>
    <w:link w:val="Ttulo"/>
    <w:uiPriority w:val="10"/>
    <w:rsid w:val="008177FF"/>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har"/>
    <w:uiPriority w:val="11"/>
    <w:qFormat/>
    <w:rsid w:val="008177F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8177FF"/>
    <w:rPr>
      <w:rFonts w:asciiTheme="majorHAnsi" w:eastAsiaTheme="majorEastAsia" w:hAnsiTheme="majorHAnsi" w:cstheme="majorBidi"/>
      <w:color w:val="404040" w:themeColor="text1" w:themeTint="BF"/>
      <w:sz w:val="30"/>
      <w:szCs w:val="30"/>
    </w:rPr>
  </w:style>
  <w:style w:type="paragraph" w:styleId="SemEspaamento">
    <w:name w:val="No Spacing"/>
    <w:uiPriority w:val="1"/>
    <w:qFormat/>
    <w:rsid w:val="008177FF"/>
    <w:pPr>
      <w:spacing w:after="0" w:line="240" w:lineRule="auto"/>
    </w:pPr>
  </w:style>
  <w:style w:type="paragraph" w:styleId="Citao">
    <w:name w:val="Quote"/>
    <w:basedOn w:val="Normal"/>
    <w:next w:val="Normal"/>
    <w:link w:val="CitaoChar"/>
    <w:uiPriority w:val="29"/>
    <w:qFormat/>
    <w:rsid w:val="008177FF"/>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8177FF"/>
    <w:rPr>
      <w:i/>
      <w:iCs/>
    </w:rPr>
  </w:style>
  <w:style w:type="paragraph" w:styleId="CitaoIntensa">
    <w:name w:val="Intense Quote"/>
    <w:basedOn w:val="Normal"/>
    <w:next w:val="Normal"/>
    <w:link w:val="CitaoIntensaChar"/>
    <w:uiPriority w:val="30"/>
    <w:qFormat/>
    <w:rsid w:val="008177FF"/>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oIntensaChar">
    <w:name w:val="Citação Intensa Char"/>
    <w:basedOn w:val="Fontepargpadro"/>
    <w:link w:val="CitaoIntensa"/>
    <w:uiPriority w:val="30"/>
    <w:rsid w:val="008177FF"/>
    <w:rPr>
      <w:rFonts w:asciiTheme="majorHAnsi" w:eastAsiaTheme="majorEastAsia" w:hAnsiTheme="majorHAnsi" w:cstheme="majorBidi"/>
      <w:color w:val="5B9BD5" w:themeColor="accent1"/>
      <w:sz w:val="28"/>
      <w:szCs w:val="28"/>
    </w:rPr>
  </w:style>
  <w:style w:type="character" w:styleId="nfaseSutil">
    <w:name w:val="Subtle Emphasis"/>
    <w:basedOn w:val="Fontepargpadro"/>
    <w:uiPriority w:val="19"/>
    <w:qFormat/>
    <w:rsid w:val="008177FF"/>
    <w:rPr>
      <w:i/>
      <w:iCs/>
      <w:color w:val="595959" w:themeColor="text1" w:themeTint="A6"/>
    </w:rPr>
  </w:style>
  <w:style w:type="character" w:styleId="nfaseIntensa">
    <w:name w:val="Intense Emphasis"/>
    <w:basedOn w:val="Fontepargpadro"/>
    <w:uiPriority w:val="21"/>
    <w:qFormat/>
    <w:rsid w:val="008177FF"/>
    <w:rPr>
      <w:b/>
      <w:bCs/>
      <w:i/>
      <w:iCs/>
    </w:rPr>
  </w:style>
  <w:style w:type="character" w:styleId="RefernciaSutil">
    <w:name w:val="Subtle Reference"/>
    <w:basedOn w:val="Fontepargpadro"/>
    <w:uiPriority w:val="31"/>
    <w:qFormat/>
    <w:rsid w:val="008177FF"/>
    <w:rPr>
      <w:smallCaps/>
      <w:color w:val="404040" w:themeColor="text1" w:themeTint="BF"/>
    </w:rPr>
  </w:style>
  <w:style w:type="character" w:styleId="RefernciaIntensa">
    <w:name w:val="Intense Reference"/>
    <w:basedOn w:val="Fontepargpadro"/>
    <w:uiPriority w:val="32"/>
    <w:qFormat/>
    <w:rsid w:val="008177FF"/>
    <w:rPr>
      <w:b/>
      <w:bCs/>
      <w:smallCaps/>
      <w:u w:val="single"/>
    </w:rPr>
  </w:style>
  <w:style w:type="character" w:styleId="TtulodoLivro">
    <w:name w:val="Book Title"/>
    <w:basedOn w:val="Fontepargpadro"/>
    <w:uiPriority w:val="33"/>
    <w:qFormat/>
    <w:rsid w:val="008177FF"/>
    <w:rPr>
      <w:b/>
      <w:bCs/>
      <w:smallCaps/>
    </w:rPr>
  </w:style>
  <w:style w:type="character" w:styleId="HiperlinkVisitado">
    <w:name w:val="FollowedHyperlink"/>
    <w:basedOn w:val="Fontepargpadro"/>
    <w:rsid w:val="004D28C5"/>
    <w:rPr>
      <w:color w:val="954F72" w:themeColor="followedHyperlink"/>
      <w:u w:val="single"/>
    </w:rPr>
  </w:style>
  <w:style w:type="character" w:customStyle="1" w:styleId="dark-mode-color-black">
    <w:name w:val="dark-mode-color-black"/>
    <w:basedOn w:val="Fontepargpadro"/>
    <w:rsid w:val="00DF105B"/>
  </w:style>
  <w:style w:type="character" w:customStyle="1" w:styleId="MenoPendente1">
    <w:name w:val="Menção Pendente1"/>
    <w:basedOn w:val="Fontepargpadro"/>
    <w:uiPriority w:val="99"/>
    <w:semiHidden/>
    <w:unhideWhenUsed/>
    <w:rsid w:val="000A557D"/>
    <w:rPr>
      <w:color w:val="605E5C"/>
      <w:shd w:val="clear" w:color="auto" w:fill="E1DFDD"/>
    </w:rPr>
  </w:style>
  <w:style w:type="paragraph" w:customStyle="1" w:styleId="paragraph">
    <w:name w:val="paragraph"/>
    <w:basedOn w:val="Normal"/>
    <w:rsid w:val="000A55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0A557D"/>
  </w:style>
  <w:style w:type="character" w:customStyle="1" w:styleId="eop">
    <w:name w:val="eop"/>
    <w:basedOn w:val="Fontepargpadro"/>
    <w:rsid w:val="000A557D"/>
  </w:style>
  <w:style w:type="character" w:customStyle="1" w:styleId="cf01">
    <w:name w:val="cf01"/>
    <w:basedOn w:val="Fontepargpadro"/>
    <w:rsid w:val="000833F8"/>
    <w:rPr>
      <w:rFonts w:ascii="Segoe UI" w:hAnsi="Segoe UI" w:cs="Segoe UI" w:hint="default"/>
      <w:sz w:val="18"/>
      <w:szCs w:val="18"/>
    </w:rPr>
  </w:style>
  <w:style w:type="character" w:customStyle="1" w:styleId="Meno1">
    <w:name w:val="Menção1"/>
    <w:basedOn w:val="Fontepargpadro"/>
    <w:uiPriority w:val="99"/>
    <w:unhideWhenUsed/>
    <w:rsid w:val="008E6386"/>
    <w:rPr>
      <w:color w:val="2B579A"/>
      <w:shd w:val="clear" w:color="auto" w:fill="E1DFDD"/>
    </w:rPr>
  </w:style>
  <w:style w:type="character" w:styleId="Meno">
    <w:name w:val="Mention"/>
    <w:basedOn w:val="Fontepargpadro"/>
    <w:uiPriority w:val="99"/>
    <w:unhideWhenUsed/>
    <w:rsid w:val="003179B0"/>
    <w:rPr>
      <w:color w:val="2B579A"/>
      <w:shd w:val="clear" w:color="auto" w:fill="E1DFDD"/>
    </w:rPr>
  </w:style>
  <w:style w:type="character" w:styleId="MenoPendente">
    <w:name w:val="Unresolved Mention"/>
    <w:basedOn w:val="Fontepargpadro"/>
    <w:uiPriority w:val="99"/>
    <w:semiHidden/>
    <w:unhideWhenUsed/>
    <w:rsid w:val="00DB7071"/>
    <w:rPr>
      <w:color w:val="605E5C"/>
      <w:shd w:val="clear" w:color="auto" w:fill="E1DFDD"/>
    </w:rPr>
  </w:style>
  <w:style w:type="character" w:styleId="TextodoEspaoReservado">
    <w:name w:val="Placeholder Text"/>
    <w:basedOn w:val="Fontepargpadro"/>
    <w:uiPriority w:val="99"/>
    <w:semiHidden/>
    <w:rsid w:val="00777BDA"/>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457">
      <w:bodyDiv w:val="1"/>
      <w:marLeft w:val="0"/>
      <w:marRight w:val="0"/>
      <w:marTop w:val="0"/>
      <w:marBottom w:val="0"/>
      <w:divBdr>
        <w:top w:val="none" w:sz="0" w:space="0" w:color="auto"/>
        <w:left w:val="none" w:sz="0" w:space="0" w:color="auto"/>
        <w:bottom w:val="none" w:sz="0" w:space="0" w:color="auto"/>
        <w:right w:val="none" w:sz="0" w:space="0" w:color="auto"/>
      </w:divBdr>
    </w:div>
    <w:div w:id="2436382">
      <w:bodyDiv w:val="1"/>
      <w:marLeft w:val="0"/>
      <w:marRight w:val="0"/>
      <w:marTop w:val="0"/>
      <w:marBottom w:val="0"/>
      <w:divBdr>
        <w:top w:val="none" w:sz="0" w:space="0" w:color="auto"/>
        <w:left w:val="none" w:sz="0" w:space="0" w:color="auto"/>
        <w:bottom w:val="none" w:sz="0" w:space="0" w:color="auto"/>
        <w:right w:val="none" w:sz="0" w:space="0" w:color="auto"/>
      </w:divBdr>
    </w:div>
    <w:div w:id="3021778">
      <w:bodyDiv w:val="1"/>
      <w:marLeft w:val="0"/>
      <w:marRight w:val="0"/>
      <w:marTop w:val="0"/>
      <w:marBottom w:val="0"/>
      <w:divBdr>
        <w:top w:val="none" w:sz="0" w:space="0" w:color="auto"/>
        <w:left w:val="none" w:sz="0" w:space="0" w:color="auto"/>
        <w:bottom w:val="none" w:sz="0" w:space="0" w:color="auto"/>
        <w:right w:val="none" w:sz="0" w:space="0" w:color="auto"/>
      </w:divBdr>
    </w:div>
    <w:div w:id="4283694">
      <w:bodyDiv w:val="1"/>
      <w:marLeft w:val="0"/>
      <w:marRight w:val="0"/>
      <w:marTop w:val="0"/>
      <w:marBottom w:val="0"/>
      <w:divBdr>
        <w:top w:val="none" w:sz="0" w:space="0" w:color="auto"/>
        <w:left w:val="none" w:sz="0" w:space="0" w:color="auto"/>
        <w:bottom w:val="none" w:sz="0" w:space="0" w:color="auto"/>
        <w:right w:val="none" w:sz="0" w:space="0" w:color="auto"/>
      </w:divBdr>
    </w:div>
    <w:div w:id="6640972">
      <w:bodyDiv w:val="1"/>
      <w:marLeft w:val="0"/>
      <w:marRight w:val="0"/>
      <w:marTop w:val="0"/>
      <w:marBottom w:val="0"/>
      <w:divBdr>
        <w:top w:val="none" w:sz="0" w:space="0" w:color="auto"/>
        <w:left w:val="none" w:sz="0" w:space="0" w:color="auto"/>
        <w:bottom w:val="none" w:sz="0" w:space="0" w:color="auto"/>
        <w:right w:val="none" w:sz="0" w:space="0" w:color="auto"/>
      </w:divBdr>
    </w:div>
    <w:div w:id="6909315">
      <w:bodyDiv w:val="1"/>
      <w:marLeft w:val="0"/>
      <w:marRight w:val="0"/>
      <w:marTop w:val="0"/>
      <w:marBottom w:val="0"/>
      <w:divBdr>
        <w:top w:val="none" w:sz="0" w:space="0" w:color="auto"/>
        <w:left w:val="none" w:sz="0" w:space="0" w:color="auto"/>
        <w:bottom w:val="none" w:sz="0" w:space="0" w:color="auto"/>
        <w:right w:val="none" w:sz="0" w:space="0" w:color="auto"/>
      </w:divBdr>
    </w:div>
    <w:div w:id="8603163">
      <w:bodyDiv w:val="1"/>
      <w:marLeft w:val="0"/>
      <w:marRight w:val="0"/>
      <w:marTop w:val="0"/>
      <w:marBottom w:val="0"/>
      <w:divBdr>
        <w:top w:val="none" w:sz="0" w:space="0" w:color="auto"/>
        <w:left w:val="none" w:sz="0" w:space="0" w:color="auto"/>
        <w:bottom w:val="none" w:sz="0" w:space="0" w:color="auto"/>
        <w:right w:val="none" w:sz="0" w:space="0" w:color="auto"/>
      </w:divBdr>
      <w:divsChild>
        <w:div w:id="443884234">
          <w:marLeft w:val="0"/>
          <w:marRight w:val="0"/>
          <w:marTop w:val="0"/>
          <w:marBottom w:val="0"/>
          <w:divBdr>
            <w:top w:val="none" w:sz="0" w:space="0" w:color="auto"/>
            <w:left w:val="none" w:sz="0" w:space="0" w:color="auto"/>
            <w:bottom w:val="none" w:sz="0" w:space="0" w:color="auto"/>
            <w:right w:val="none" w:sz="0" w:space="0" w:color="auto"/>
          </w:divBdr>
          <w:divsChild>
            <w:div w:id="108791275">
              <w:marLeft w:val="0"/>
              <w:marRight w:val="0"/>
              <w:marTop w:val="0"/>
              <w:marBottom w:val="0"/>
              <w:divBdr>
                <w:top w:val="none" w:sz="0" w:space="0" w:color="auto"/>
                <w:left w:val="none" w:sz="0" w:space="0" w:color="auto"/>
                <w:bottom w:val="none" w:sz="0" w:space="0" w:color="auto"/>
                <w:right w:val="none" w:sz="0" w:space="0" w:color="auto"/>
              </w:divBdr>
            </w:div>
          </w:divsChild>
        </w:div>
        <w:div w:id="767653157">
          <w:marLeft w:val="0"/>
          <w:marRight w:val="0"/>
          <w:marTop w:val="0"/>
          <w:marBottom w:val="0"/>
          <w:divBdr>
            <w:top w:val="none" w:sz="0" w:space="0" w:color="auto"/>
            <w:left w:val="none" w:sz="0" w:space="0" w:color="auto"/>
            <w:bottom w:val="none" w:sz="0" w:space="0" w:color="auto"/>
            <w:right w:val="none" w:sz="0" w:space="0" w:color="auto"/>
          </w:divBdr>
          <w:divsChild>
            <w:div w:id="237524138">
              <w:marLeft w:val="0"/>
              <w:marRight w:val="0"/>
              <w:marTop w:val="0"/>
              <w:marBottom w:val="0"/>
              <w:divBdr>
                <w:top w:val="none" w:sz="0" w:space="0" w:color="auto"/>
                <w:left w:val="none" w:sz="0" w:space="0" w:color="auto"/>
                <w:bottom w:val="none" w:sz="0" w:space="0" w:color="auto"/>
                <w:right w:val="none" w:sz="0" w:space="0" w:color="auto"/>
              </w:divBdr>
            </w:div>
          </w:divsChild>
        </w:div>
        <w:div w:id="828407430">
          <w:marLeft w:val="0"/>
          <w:marRight w:val="0"/>
          <w:marTop w:val="0"/>
          <w:marBottom w:val="0"/>
          <w:divBdr>
            <w:top w:val="none" w:sz="0" w:space="0" w:color="auto"/>
            <w:left w:val="none" w:sz="0" w:space="0" w:color="auto"/>
            <w:bottom w:val="none" w:sz="0" w:space="0" w:color="auto"/>
            <w:right w:val="none" w:sz="0" w:space="0" w:color="auto"/>
          </w:divBdr>
          <w:divsChild>
            <w:div w:id="1134954768">
              <w:marLeft w:val="0"/>
              <w:marRight w:val="0"/>
              <w:marTop w:val="0"/>
              <w:marBottom w:val="0"/>
              <w:divBdr>
                <w:top w:val="none" w:sz="0" w:space="0" w:color="auto"/>
                <w:left w:val="none" w:sz="0" w:space="0" w:color="auto"/>
                <w:bottom w:val="none" w:sz="0" w:space="0" w:color="auto"/>
                <w:right w:val="none" w:sz="0" w:space="0" w:color="auto"/>
              </w:divBdr>
            </w:div>
          </w:divsChild>
        </w:div>
        <w:div w:id="1086027021">
          <w:marLeft w:val="0"/>
          <w:marRight w:val="0"/>
          <w:marTop w:val="0"/>
          <w:marBottom w:val="0"/>
          <w:divBdr>
            <w:top w:val="none" w:sz="0" w:space="0" w:color="auto"/>
            <w:left w:val="none" w:sz="0" w:space="0" w:color="auto"/>
            <w:bottom w:val="none" w:sz="0" w:space="0" w:color="auto"/>
            <w:right w:val="none" w:sz="0" w:space="0" w:color="auto"/>
          </w:divBdr>
          <w:divsChild>
            <w:div w:id="611400957">
              <w:marLeft w:val="0"/>
              <w:marRight w:val="0"/>
              <w:marTop w:val="0"/>
              <w:marBottom w:val="0"/>
              <w:divBdr>
                <w:top w:val="none" w:sz="0" w:space="0" w:color="auto"/>
                <w:left w:val="none" w:sz="0" w:space="0" w:color="auto"/>
                <w:bottom w:val="none" w:sz="0" w:space="0" w:color="auto"/>
                <w:right w:val="none" w:sz="0" w:space="0" w:color="auto"/>
              </w:divBdr>
            </w:div>
          </w:divsChild>
        </w:div>
        <w:div w:id="1393037575">
          <w:marLeft w:val="0"/>
          <w:marRight w:val="0"/>
          <w:marTop w:val="0"/>
          <w:marBottom w:val="0"/>
          <w:divBdr>
            <w:top w:val="none" w:sz="0" w:space="0" w:color="auto"/>
            <w:left w:val="none" w:sz="0" w:space="0" w:color="auto"/>
            <w:bottom w:val="none" w:sz="0" w:space="0" w:color="auto"/>
            <w:right w:val="none" w:sz="0" w:space="0" w:color="auto"/>
          </w:divBdr>
          <w:divsChild>
            <w:div w:id="827945500">
              <w:marLeft w:val="0"/>
              <w:marRight w:val="0"/>
              <w:marTop w:val="0"/>
              <w:marBottom w:val="0"/>
              <w:divBdr>
                <w:top w:val="none" w:sz="0" w:space="0" w:color="auto"/>
                <w:left w:val="none" w:sz="0" w:space="0" w:color="auto"/>
                <w:bottom w:val="none" w:sz="0" w:space="0" w:color="auto"/>
                <w:right w:val="none" w:sz="0" w:space="0" w:color="auto"/>
              </w:divBdr>
            </w:div>
          </w:divsChild>
        </w:div>
        <w:div w:id="1628465736">
          <w:marLeft w:val="0"/>
          <w:marRight w:val="0"/>
          <w:marTop w:val="0"/>
          <w:marBottom w:val="0"/>
          <w:divBdr>
            <w:top w:val="none" w:sz="0" w:space="0" w:color="auto"/>
            <w:left w:val="none" w:sz="0" w:space="0" w:color="auto"/>
            <w:bottom w:val="none" w:sz="0" w:space="0" w:color="auto"/>
            <w:right w:val="none" w:sz="0" w:space="0" w:color="auto"/>
          </w:divBdr>
          <w:divsChild>
            <w:div w:id="228926729">
              <w:marLeft w:val="0"/>
              <w:marRight w:val="0"/>
              <w:marTop w:val="0"/>
              <w:marBottom w:val="0"/>
              <w:divBdr>
                <w:top w:val="none" w:sz="0" w:space="0" w:color="auto"/>
                <w:left w:val="none" w:sz="0" w:space="0" w:color="auto"/>
                <w:bottom w:val="none" w:sz="0" w:space="0" w:color="auto"/>
                <w:right w:val="none" w:sz="0" w:space="0" w:color="auto"/>
              </w:divBdr>
            </w:div>
          </w:divsChild>
        </w:div>
        <w:div w:id="1733769258">
          <w:marLeft w:val="0"/>
          <w:marRight w:val="0"/>
          <w:marTop w:val="0"/>
          <w:marBottom w:val="0"/>
          <w:divBdr>
            <w:top w:val="none" w:sz="0" w:space="0" w:color="auto"/>
            <w:left w:val="none" w:sz="0" w:space="0" w:color="auto"/>
            <w:bottom w:val="none" w:sz="0" w:space="0" w:color="auto"/>
            <w:right w:val="none" w:sz="0" w:space="0" w:color="auto"/>
          </w:divBdr>
          <w:divsChild>
            <w:div w:id="2101095229">
              <w:marLeft w:val="0"/>
              <w:marRight w:val="0"/>
              <w:marTop w:val="0"/>
              <w:marBottom w:val="0"/>
              <w:divBdr>
                <w:top w:val="none" w:sz="0" w:space="0" w:color="auto"/>
                <w:left w:val="none" w:sz="0" w:space="0" w:color="auto"/>
                <w:bottom w:val="none" w:sz="0" w:space="0" w:color="auto"/>
                <w:right w:val="none" w:sz="0" w:space="0" w:color="auto"/>
              </w:divBdr>
            </w:div>
          </w:divsChild>
        </w:div>
        <w:div w:id="1808550125">
          <w:marLeft w:val="0"/>
          <w:marRight w:val="0"/>
          <w:marTop w:val="0"/>
          <w:marBottom w:val="0"/>
          <w:divBdr>
            <w:top w:val="none" w:sz="0" w:space="0" w:color="auto"/>
            <w:left w:val="none" w:sz="0" w:space="0" w:color="auto"/>
            <w:bottom w:val="none" w:sz="0" w:space="0" w:color="auto"/>
            <w:right w:val="none" w:sz="0" w:space="0" w:color="auto"/>
          </w:divBdr>
          <w:divsChild>
            <w:div w:id="1751735262">
              <w:marLeft w:val="0"/>
              <w:marRight w:val="0"/>
              <w:marTop w:val="0"/>
              <w:marBottom w:val="0"/>
              <w:divBdr>
                <w:top w:val="none" w:sz="0" w:space="0" w:color="auto"/>
                <w:left w:val="none" w:sz="0" w:space="0" w:color="auto"/>
                <w:bottom w:val="none" w:sz="0" w:space="0" w:color="auto"/>
                <w:right w:val="none" w:sz="0" w:space="0" w:color="auto"/>
              </w:divBdr>
            </w:div>
          </w:divsChild>
        </w:div>
        <w:div w:id="1856575943">
          <w:marLeft w:val="0"/>
          <w:marRight w:val="0"/>
          <w:marTop w:val="0"/>
          <w:marBottom w:val="0"/>
          <w:divBdr>
            <w:top w:val="none" w:sz="0" w:space="0" w:color="auto"/>
            <w:left w:val="none" w:sz="0" w:space="0" w:color="auto"/>
            <w:bottom w:val="none" w:sz="0" w:space="0" w:color="auto"/>
            <w:right w:val="none" w:sz="0" w:space="0" w:color="auto"/>
          </w:divBdr>
          <w:divsChild>
            <w:div w:id="1141191216">
              <w:marLeft w:val="0"/>
              <w:marRight w:val="0"/>
              <w:marTop w:val="0"/>
              <w:marBottom w:val="0"/>
              <w:divBdr>
                <w:top w:val="none" w:sz="0" w:space="0" w:color="auto"/>
                <w:left w:val="none" w:sz="0" w:space="0" w:color="auto"/>
                <w:bottom w:val="none" w:sz="0" w:space="0" w:color="auto"/>
                <w:right w:val="none" w:sz="0" w:space="0" w:color="auto"/>
              </w:divBdr>
            </w:div>
          </w:divsChild>
        </w:div>
        <w:div w:id="1918246294">
          <w:marLeft w:val="0"/>
          <w:marRight w:val="0"/>
          <w:marTop w:val="0"/>
          <w:marBottom w:val="0"/>
          <w:divBdr>
            <w:top w:val="none" w:sz="0" w:space="0" w:color="auto"/>
            <w:left w:val="none" w:sz="0" w:space="0" w:color="auto"/>
            <w:bottom w:val="none" w:sz="0" w:space="0" w:color="auto"/>
            <w:right w:val="none" w:sz="0" w:space="0" w:color="auto"/>
          </w:divBdr>
          <w:divsChild>
            <w:div w:id="117140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9859">
      <w:bodyDiv w:val="1"/>
      <w:marLeft w:val="0"/>
      <w:marRight w:val="0"/>
      <w:marTop w:val="0"/>
      <w:marBottom w:val="0"/>
      <w:divBdr>
        <w:top w:val="none" w:sz="0" w:space="0" w:color="auto"/>
        <w:left w:val="none" w:sz="0" w:space="0" w:color="auto"/>
        <w:bottom w:val="none" w:sz="0" w:space="0" w:color="auto"/>
        <w:right w:val="none" w:sz="0" w:space="0" w:color="auto"/>
      </w:divBdr>
    </w:div>
    <w:div w:id="10571963">
      <w:bodyDiv w:val="1"/>
      <w:marLeft w:val="0"/>
      <w:marRight w:val="0"/>
      <w:marTop w:val="0"/>
      <w:marBottom w:val="0"/>
      <w:divBdr>
        <w:top w:val="none" w:sz="0" w:space="0" w:color="auto"/>
        <w:left w:val="none" w:sz="0" w:space="0" w:color="auto"/>
        <w:bottom w:val="none" w:sz="0" w:space="0" w:color="auto"/>
        <w:right w:val="none" w:sz="0" w:space="0" w:color="auto"/>
      </w:divBdr>
    </w:div>
    <w:div w:id="15008068">
      <w:bodyDiv w:val="1"/>
      <w:marLeft w:val="0"/>
      <w:marRight w:val="0"/>
      <w:marTop w:val="0"/>
      <w:marBottom w:val="0"/>
      <w:divBdr>
        <w:top w:val="none" w:sz="0" w:space="0" w:color="auto"/>
        <w:left w:val="none" w:sz="0" w:space="0" w:color="auto"/>
        <w:bottom w:val="none" w:sz="0" w:space="0" w:color="auto"/>
        <w:right w:val="none" w:sz="0" w:space="0" w:color="auto"/>
      </w:divBdr>
    </w:div>
    <w:div w:id="15008259">
      <w:bodyDiv w:val="1"/>
      <w:marLeft w:val="0"/>
      <w:marRight w:val="0"/>
      <w:marTop w:val="0"/>
      <w:marBottom w:val="0"/>
      <w:divBdr>
        <w:top w:val="none" w:sz="0" w:space="0" w:color="auto"/>
        <w:left w:val="none" w:sz="0" w:space="0" w:color="auto"/>
        <w:bottom w:val="none" w:sz="0" w:space="0" w:color="auto"/>
        <w:right w:val="none" w:sz="0" w:space="0" w:color="auto"/>
      </w:divBdr>
    </w:div>
    <w:div w:id="15279478">
      <w:bodyDiv w:val="1"/>
      <w:marLeft w:val="0"/>
      <w:marRight w:val="0"/>
      <w:marTop w:val="0"/>
      <w:marBottom w:val="0"/>
      <w:divBdr>
        <w:top w:val="none" w:sz="0" w:space="0" w:color="auto"/>
        <w:left w:val="none" w:sz="0" w:space="0" w:color="auto"/>
        <w:bottom w:val="none" w:sz="0" w:space="0" w:color="auto"/>
        <w:right w:val="none" w:sz="0" w:space="0" w:color="auto"/>
      </w:divBdr>
    </w:div>
    <w:div w:id="15817100">
      <w:bodyDiv w:val="1"/>
      <w:marLeft w:val="0"/>
      <w:marRight w:val="0"/>
      <w:marTop w:val="0"/>
      <w:marBottom w:val="0"/>
      <w:divBdr>
        <w:top w:val="none" w:sz="0" w:space="0" w:color="auto"/>
        <w:left w:val="none" w:sz="0" w:space="0" w:color="auto"/>
        <w:bottom w:val="none" w:sz="0" w:space="0" w:color="auto"/>
        <w:right w:val="none" w:sz="0" w:space="0" w:color="auto"/>
      </w:divBdr>
    </w:div>
    <w:div w:id="16197002">
      <w:bodyDiv w:val="1"/>
      <w:marLeft w:val="0"/>
      <w:marRight w:val="0"/>
      <w:marTop w:val="0"/>
      <w:marBottom w:val="0"/>
      <w:divBdr>
        <w:top w:val="none" w:sz="0" w:space="0" w:color="auto"/>
        <w:left w:val="none" w:sz="0" w:space="0" w:color="auto"/>
        <w:bottom w:val="none" w:sz="0" w:space="0" w:color="auto"/>
        <w:right w:val="none" w:sz="0" w:space="0" w:color="auto"/>
      </w:divBdr>
    </w:div>
    <w:div w:id="18164600">
      <w:bodyDiv w:val="1"/>
      <w:marLeft w:val="0"/>
      <w:marRight w:val="0"/>
      <w:marTop w:val="0"/>
      <w:marBottom w:val="0"/>
      <w:divBdr>
        <w:top w:val="none" w:sz="0" w:space="0" w:color="auto"/>
        <w:left w:val="none" w:sz="0" w:space="0" w:color="auto"/>
        <w:bottom w:val="none" w:sz="0" w:space="0" w:color="auto"/>
        <w:right w:val="none" w:sz="0" w:space="0" w:color="auto"/>
      </w:divBdr>
    </w:div>
    <w:div w:id="19549290">
      <w:bodyDiv w:val="1"/>
      <w:marLeft w:val="0"/>
      <w:marRight w:val="0"/>
      <w:marTop w:val="0"/>
      <w:marBottom w:val="0"/>
      <w:divBdr>
        <w:top w:val="none" w:sz="0" w:space="0" w:color="auto"/>
        <w:left w:val="none" w:sz="0" w:space="0" w:color="auto"/>
        <w:bottom w:val="none" w:sz="0" w:space="0" w:color="auto"/>
        <w:right w:val="none" w:sz="0" w:space="0" w:color="auto"/>
      </w:divBdr>
    </w:div>
    <w:div w:id="21711347">
      <w:bodyDiv w:val="1"/>
      <w:marLeft w:val="0"/>
      <w:marRight w:val="0"/>
      <w:marTop w:val="0"/>
      <w:marBottom w:val="0"/>
      <w:divBdr>
        <w:top w:val="none" w:sz="0" w:space="0" w:color="auto"/>
        <w:left w:val="none" w:sz="0" w:space="0" w:color="auto"/>
        <w:bottom w:val="none" w:sz="0" w:space="0" w:color="auto"/>
        <w:right w:val="none" w:sz="0" w:space="0" w:color="auto"/>
      </w:divBdr>
    </w:div>
    <w:div w:id="21980632">
      <w:bodyDiv w:val="1"/>
      <w:marLeft w:val="0"/>
      <w:marRight w:val="0"/>
      <w:marTop w:val="0"/>
      <w:marBottom w:val="0"/>
      <w:divBdr>
        <w:top w:val="none" w:sz="0" w:space="0" w:color="auto"/>
        <w:left w:val="none" w:sz="0" w:space="0" w:color="auto"/>
        <w:bottom w:val="none" w:sz="0" w:space="0" w:color="auto"/>
        <w:right w:val="none" w:sz="0" w:space="0" w:color="auto"/>
      </w:divBdr>
    </w:div>
    <w:div w:id="23596824">
      <w:bodyDiv w:val="1"/>
      <w:marLeft w:val="0"/>
      <w:marRight w:val="0"/>
      <w:marTop w:val="0"/>
      <w:marBottom w:val="0"/>
      <w:divBdr>
        <w:top w:val="none" w:sz="0" w:space="0" w:color="auto"/>
        <w:left w:val="none" w:sz="0" w:space="0" w:color="auto"/>
        <w:bottom w:val="none" w:sz="0" w:space="0" w:color="auto"/>
        <w:right w:val="none" w:sz="0" w:space="0" w:color="auto"/>
      </w:divBdr>
    </w:div>
    <w:div w:id="24644205">
      <w:bodyDiv w:val="1"/>
      <w:marLeft w:val="0"/>
      <w:marRight w:val="0"/>
      <w:marTop w:val="0"/>
      <w:marBottom w:val="0"/>
      <w:divBdr>
        <w:top w:val="none" w:sz="0" w:space="0" w:color="auto"/>
        <w:left w:val="none" w:sz="0" w:space="0" w:color="auto"/>
        <w:bottom w:val="none" w:sz="0" w:space="0" w:color="auto"/>
        <w:right w:val="none" w:sz="0" w:space="0" w:color="auto"/>
      </w:divBdr>
    </w:div>
    <w:div w:id="24986936">
      <w:bodyDiv w:val="1"/>
      <w:marLeft w:val="0"/>
      <w:marRight w:val="0"/>
      <w:marTop w:val="0"/>
      <w:marBottom w:val="0"/>
      <w:divBdr>
        <w:top w:val="none" w:sz="0" w:space="0" w:color="auto"/>
        <w:left w:val="none" w:sz="0" w:space="0" w:color="auto"/>
        <w:bottom w:val="none" w:sz="0" w:space="0" w:color="auto"/>
        <w:right w:val="none" w:sz="0" w:space="0" w:color="auto"/>
      </w:divBdr>
    </w:div>
    <w:div w:id="25448355">
      <w:bodyDiv w:val="1"/>
      <w:marLeft w:val="0"/>
      <w:marRight w:val="0"/>
      <w:marTop w:val="0"/>
      <w:marBottom w:val="0"/>
      <w:divBdr>
        <w:top w:val="none" w:sz="0" w:space="0" w:color="auto"/>
        <w:left w:val="none" w:sz="0" w:space="0" w:color="auto"/>
        <w:bottom w:val="none" w:sz="0" w:space="0" w:color="auto"/>
        <w:right w:val="none" w:sz="0" w:space="0" w:color="auto"/>
      </w:divBdr>
    </w:div>
    <w:div w:id="27798694">
      <w:bodyDiv w:val="1"/>
      <w:marLeft w:val="0"/>
      <w:marRight w:val="0"/>
      <w:marTop w:val="0"/>
      <w:marBottom w:val="0"/>
      <w:divBdr>
        <w:top w:val="none" w:sz="0" w:space="0" w:color="auto"/>
        <w:left w:val="none" w:sz="0" w:space="0" w:color="auto"/>
        <w:bottom w:val="none" w:sz="0" w:space="0" w:color="auto"/>
        <w:right w:val="none" w:sz="0" w:space="0" w:color="auto"/>
      </w:divBdr>
    </w:div>
    <w:div w:id="31150698">
      <w:bodyDiv w:val="1"/>
      <w:marLeft w:val="0"/>
      <w:marRight w:val="0"/>
      <w:marTop w:val="0"/>
      <w:marBottom w:val="0"/>
      <w:divBdr>
        <w:top w:val="none" w:sz="0" w:space="0" w:color="auto"/>
        <w:left w:val="none" w:sz="0" w:space="0" w:color="auto"/>
        <w:bottom w:val="none" w:sz="0" w:space="0" w:color="auto"/>
        <w:right w:val="none" w:sz="0" w:space="0" w:color="auto"/>
      </w:divBdr>
    </w:div>
    <w:div w:id="32732623">
      <w:bodyDiv w:val="1"/>
      <w:marLeft w:val="0"/>
      <w:marRight w:val="0"/>
      <w:marTop w:val="0"/>
      <w:marBottom w:val="0"/>
      <w:divBdr>
        <w:top w:val="none" w:sz="0" w:space="0" w:color="auto"/>
        <w:left w:val="none" w:sz="0" w:space="0" w:color="auto"/>
        <w:bottom w:val="none" w:sz="0" w:space="0" w:color="auto"/>
        <w:right w:val="none" w:sz="0" w:space="0" w:color="auto"/>
      </w:divBdr>
    </w:div>
    <w:div w:id="35735907">
      <w:bodyDiv w:val="1"/>
      <w:marLeft w:val="0"/>
      <w:marRight w:val="0"/>
      <w:marTop w:val="0"/>
      <w:marBottom w:val="0"/>
      <w:divBdr>
        <w:top w:val="none" w:sz="0" w:space="0" w:color="auto"/>
        <w:left w:val="none" w:sz="0" w:space="0" w:color="auto"/>
        <w:bottom w:val="none" w:sz="0" w:space="0" w:color="auto"/>
        <w:right w:val="none" w:sz="0" w:space="0" w:color="auto"/>
      </w:divBdr>
    </w:div>
    <w:div w:id="36978215">
      <w:bodyDiv w:val="1"/>
      <w:marLeft w:val="0"/>
      <w:marRight w:val="0"/>
      <w:marTop w:val="0"/>
      <w:marBottom w:val="0"/>
      <w:divBdr>
        <w:top w:val="none" w:sz="0" w:space="0" w:color="auto"/>
        <w:left w:val="none" w:sz="0" w:space="0" w:color="auto"/>
        <w:bottom w:val="none" w:sz="0" w:space="0" w:color="auto"/>
        <w:right w:val="none" w:sz="0" w:space="0" w:color="auto"/>
      </w:divBdr>
    </w:div>
    <w:div w:id="37702384">
      <w:bodyDiv w:val="1"/>
      <w:marLeft w:val="0"/>
      <w:marRight w:val="0"/>
      <w:marTop w:val="0"/>
      <w:marBottom w:val="0"/>
      <w:divBdr>
        <w:top w:val="none" w:sz="0" w:space="0" w:color="auto"/>
        <w:left w:val="none" w:sz="0" w:space="0" w:color="auto"/>
        <w:bottom w:val="none" w:sz="0" w:space="0" w:color="auto"/>
        <w:right w:val="none" w:sz="0" w:space="0" w:color="auto"/>
      </w:divBdr>
    </w:div>
    <w:div w:id="37824912">
      <w:bodyDiv w:val="1"/>
      <w:marLeft w:val="0"/>
      <w:marRight w:val="0"/>
      <w:marTop w:val="0"/>
      <w:marBottom w:val="0"/>
      <w:divBdr>
        <w:top w:val="none" w:sz="0" w:space="0" w:color="auto"/>
        <w:left w:val="none" w:sz="0" w:space="0" w:color="auto"/>
        <w:bottom w:val="none" w:sz="0" w:space="0" w:color="auto"/>
        <w:right w:val="none" w:sz="0" w:space="0" w:color="auto"/>
      </w:divBdr>
    </w:div>
    <w:div w:id="38284953">
      <w:bodyDiv w:val="1"/>
      <w:marLeft w:val="0"/>
      <w:marRight w:val="0"/>
      <w:marTop w:val="0"/>
      <w:marBottom w:val="0"/>
      <w:divBdr>
        <w:top w:val="none" w:sz="0" w:space="0" w:color="auto"/>
        <w:left w:val="none" w:sz="0" w:space="0" w:color="auto"/>
        <w:bottom w:val="none" w:sz="0" w:space="0" w:color="auto"/>
        <w:right w:val="none" w:sz="0" w:space="0" w:color="auto"/>
      </w:divBdr>
    </w:div>
    <w:div w:id="38361789">
      <w:bodyDiv w:val="1"/>
      <w:marLeft w:val="0"/>
      <w:marRight w:val="0"/>
      <w:marTop w:val="0"/>
      <w:marBottom w:val="0"/>
      <w:divBdr>
        <w:top w:val="none" w:sz="0" w:space="0" w:color="auto"/>
        <w:left w:val="none" w:sz="0" w:space="0" w:color="auto"/>
        <w:bottom w:val="none" w:sz="0" w:space="0" w:color="auto"/>
        <w:right w:val="none" w:sz="0" w:space="0" w:color="auto"/>
      </w:divBdr>
    </w:div>
    <w:div w:id="42413398">
      <w:bodyDiv w:val="1"/>
      <w:marLeft w:val="0"/>
      <w:marRight w:val="0"/>
      <w:marTop w:val="0"/>
      <w:marBottom w:val="0"/>
      <w:divBdr>
        <w:top w:val="none" w:sz="0" w:space="0" w:color="auto"/>
        <w:left w:val="none" w:sz="0" w:space="0" w:color="auto"/>
        <w:bottom w:val="none" w:sz="0" w:space="0" w:color="auto"/>
        <w:right w:val="none" w:sz="0" w:space="0" w:color="auto"/>
      </w:divBdr>
    </w:div>
    <w:div w:id="42755247">
      <w:bodyDiv w:val="1"/>
      <w:marLeft w:val="0"/>
      <w:marRight w:val="0"/>
      <w:marTop w:val="0"/>
      <w:marBottom w:val="0"/>
      <w:divBdr>
        <w:top w:val="none" w:sz="0" w:space="0" w:color="auto"/>
        <w:left w:val="none" w:sz="0" w:space="0" w:color="auto"/>
        <w:bottom w:val="none" w:sz="0" w:space="0" w:color="auto"/>
        <w:right w:val="none" w:sz="0" w:space="0" w:color="auto"/>
      </w:divBdr>
    </w:div>
    <w:div w:id="43725322">
      <w:bodyDiv w:val="1"/>
      <w:marLeft w:val="0"/>
      <w:marRight w:val="0"/>
      <w:marTop w:val="0"/>
      <w:marBottom w:val="0"/>
      <w:divBdr>
        <w:top w:val="none" w:sz="0" w:space="0" w:color="auto"/>
        <w:left w:val="none" w:sz="0" w:space="0" w:color="auto"/>
        <w:bottom w:val="none" w:sz="0" w:space="0" w:color="auto"/>
        <w:right w:val="none" w:sz="0" w:space="0" w:color="auto"/>
      </w:divBdr>
    </w:div>
    <w:div w:id="43801783">
      <w:bodyDiv w:val="1"/>
      <w:marLeft w:val="0"/>
      <w:marRight w:val="0"/>
      <w:marTop w:val="0"/>
      <w:marBottom w:val="0"/>
      <w:divBdr>
        <w:top w:val="none" w:sz="0" w:space="0" w:color="auto"/>
        <w:left w:val="none" w:sz="0" w:space="0" w:color="auto"/>
        <w:bottom w:val="none" w:sz="0" w:space="0" w:color="auto"/>
        <w:right w:val="none" w:sz="0" w:space="0" w:color="auto"/>
      </w:divBdr>
    </w:div>
    <w:div w:id="45493811">
      <w:bodyDiv w:val="1"/>
      <w:marLeft w:val="0"/>
      <w:marRight w:val="0"/>
      <w:marTop w:val="0"/>
      <w:marBottom w:val="0"/>
      <w:divBdr>
        <w:top w:val="none" w:sz="0" w:space="0" w:color="auto"/>
        <w:left w:val="none" w:sz="0" w:space="0" w:color="auto"/>
        <w:bottom w:val="none" w:sz="0" w:space="0" w:color="auto"/>
        <w:right w:val="none" w:sz="0" w:space="0" w:color="auto"/>
      </w:divBdr>
    </w:div>
    <w:div w:id="46493597">
      <w:bodyDiv w:val="1"/>
      <w:marLeft w:val="0"/>
      <w:marRight w:val="0"/>
      <w:marTop w:val="0"/>
      <w:marBottom w:val="0"/>
      <w:divBdr>
        <w:top w:val="none" w:sz="0" w:space="0" w:color="auto"/>
        <w:left w:val="none" w:sz="0" w:space="0" w:color="auto"/>
        <w:bottom w:val="none" w:sz="0" w:space="0" w:color="auto"/>
        <w:right w:val="none" w:sz="0" w:space="0" w:color="auto"/>
      </w:divBdr>
    </w:div>
    <w:div w:id="49353262">
      <w:bodyDiv w:val="1"/>
      <w:marLeft w:val="0"/>
      <w:marRight w:val="0"/>
      <w:marTop w:val="0"/>
      <w:marBottom w:val="0"/>
      <w:divBdr>
        <w:top w:val="none" w:sz="0" w:space="0" w:color="auto"/>
        <w:left w:val="none" w:sz="0" w:space="0" w:color="auto"/>
        <w:bottom w:val="none" w:sz="0" w:space="0" w:color="auto"/>
        <w:right w:val="none" w:sz="0" w:space="0" w:color="auto"/>
      </w:divBdr>
    </w:div>
    <w:div w:id="50158611">
      <w:bodyDiv w:val="1"/>
      <w:marLeft w:val="0"/>
      <w:marRight w:val="0"/>
      <w:marTop w:val="0"/>
      <w:marBottom w:val="0"/>
      <w:divBdr>
        <w:top w:val="none" w:sz="0" w:space="0" w:color="auto"/>
        <w:left w:val="none" w:sz="0" w:space="0" w:color="auto"/>
        <w:bottom w:val="none" w:sz="0" w:space="0" w:color="auto"/>
        <w:right w:val="none" w:sz="0" w:space="0" w:color="auto"/>
      </w:divBdr>
    </w:div>
    <w:div w:id="51316901">
      <w:bodyDiv w:val="1"/>
      <w:marLeft w:val="0"/>
      <w:marRight w:val="0"/>
      <w:marTop w:val="0"/>
      <w:marBottom w:val="0"/>
      <w:divBdr>
        <w:top w:val="none" w:sz="0" w:space="0" w:color="auto"/>
        <w:left w:val="none" w:sz="0" w:space="0" w:color="auto"/>
        <w:bottom w:val="none" w:sz="0" w:space="0" w:color="auto"/>
        <w:right w:val="none" w:sz="0" w:space="0" w:color="auto"/>
      </w:divBdr>
    </w:div>
    <w:div w:id="54209687">
      <w:bodyDiv w:val="1"/>
      <w:marLeft w:val="0"/>
      <w:marRight w:val="0"/>
      <w:marTop w:val="0"/>
      <w:marBottom w:val="0"/>
      <w:divBdr>
        <w:top w:val="none" w:sz="0" w:space="0" w:color="auto"/>
        <w:left w:val="none" w:sz="0" w:space="0" w:color="auto"/>
        <w:bottom w:val="none" w:sz="0" w:space="0" w:color="auto"/>
        <w:right w:val="none" w:sz="0" w:space="0" w:color="auto"/>
      </w:divBdr>
    </w:div>
    <w:div w:id="55667847">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9984088">
      <w:bodyDiv w:val="1"/>
      <w:marLeft w:val="0"/>
      <w:marRight w:val="0"/>
      <w:marTop w:val="0"/>
      <w:marBottom w:val="0"/>
      <w:divBdr>
        <w:top w:val="none" w:sz="0" w:space="0" w:color="auto"/>
        <w:left w:val="none" w:sz="0" w:space="0" w:color="auto"/>
        <w:bottom w:val="none" w:sz="0" w:space="0" w:color="auto"/>
        <w:right w:val="none" w:sz="0" w:space="0" w:color="auto"/>
      </w:divBdr>
    </w:div>
    <w:div w:id="60754224">
      <w:bodyDiv w:val="1"/>
      <w:marLeft w:val="0"/>
      <w:marRight w:val="0"/>
      <w:marTop w:val="0"/>
      <w:marBottom w:val="0"/>
      <w:divBdr>
        <w:top w:val="none" w:sz="0" w:space="0" w:color="auto"/>
        <w:left w:val="none" w:sz="0" w:space="0" w:color="auto"/>
        <w:bottom w:val="none" w:sz="0" w:space="0" w:color="auto"/>
        <w:right w:val="none" w:sz="0" w:space="0" w:color="auto"/>
      </w:divBdr>
    </w:div>
    <w:div w:id="61028545">
      <w:bodyDiv w:val="1"/>
      <w:marLeft w:val="0"/>
      <w:marRight w:val="0"/>
      <w:marTop w:val="0"/>
      <w:marBottom w:val="0"/>
      <w:divBdr>
        <w:top w:val="none" w:sz="0" w:space="0" w:color="auto"/>
        <w:left w:val="none" w:sz="0" w:space="0" w:color="auto"/>
        <w:bottom w:val="none" w:sz="0" w:space="0" w:color="auto"/>
        <w:right w:val="none" w:sz="0" w:space="0" w:color="auto"/>
      </w:divBdr>
    </w:div>
    <w:div w:id="61372245">
      <w:bodyDiv w:val="1"/>
      <w:marLeft w:val="0"/>
      <w:marRight w:val="0"/>
      <w:marTop w:val="0"/>
      <w:marBottom w:val="0"/>
      <w:divBdr>
        <w:top w:val="none" w:sz="0" w:space="0" w:color="auto"/>
        <w:left w:val="none" w:sz="0" w:space="0" w:color="auto"/>
        <w:bottom w:val="none" w:sz="0" w:space="0" w:color="auto"/>
        <w:right w:val="none" w:sz="0" w:space="0" w:color="auto"/>
      </w:divBdr>
    </w:div>
    <w:div w:id="61413817">
      <w:bodyDiv w:val="1"/>
      <w:marLeft w:val="0"/>
      <w:marRight w:val="0"/>
      <w:marTop w:val="0"/>
      <w:marBottom w:val="0"/>
      <w:divBdr>
        <w:top w:val="none" w:sz="0" w:space="0" w:color="auto"/>
        <w:left w:val="none" w:sz="0" w:space="0" w:color="auto"/>
        <w:bottom w:val="none" w:sz="0" w:space="0" w:color="auto"/>
        <w:right w:val="none" w:sz="0" w:space="0" w:color="auto"/>
      </w:divBdr>
    </w:div>
    <w:div w:id="66852842">
      <w:bodyDiv w:val="1"/>
      <w:marLeft w:val="0"/>
      <w:marRight w:val="0"/>
      <w:marTop w:val="0"/>
      <w:marBottom w:val="0"/>
      <w:divBdr>
        <w:top w:val="none" w:sz="0" w:space="0" w:color="auto"/>
        <w:left w:val="none" w:sz="0" w:space="0" w:color="auto"/>
        <w:bottom w:val="none" w:sz="0" w:space="0" w:color="auto"/>
        <w:right w:val="none" w:sz="0" w:space="0" w:color="auto"/>
      </w:divBdr>
    </w:div>
    <w:div w:id="67263817">
      <w:bodyDiv w:val="1"/>
      <w:marLeft w:val="0"/>
      <w:marRight w:val="0"/>
      <w:marTop w:val="0"/>
      <w:marBottom w:val="0"/>
      <w:divBdr>
        <w:top w:val="none" w:sz="0" w:space="0" w:color="auto"/>
        <w:left w:val="none" w:sz="0" w:space="0" w:color="auto"/>
        <w:bottom w:val="none" w:sz="0" w:space="0" w:color="auto"/>
        <w:right w:val="none" w:sz="0" w:space="0" w:color="auto"/>
      </w:divBdr>
    </w:div>
    <w:div w:id="69036995">
      <w:bodyDiv w:val="1"/>
      <w:marLeft w:val="0"/>
      <w:marRight w:val="0"/>
      <w:marTop w:val="0"/>
      <w:marBottom w:val="0"/>
      <w:divBdr>
        <w:top w:val="none" w:sz="0" w:space="0" w:color="auto"/>
        <w:left w:val="none" w:sz="0" w:space="0" w:color="auto"/>
        <w:bottom w:val="none" w:sz="0" w:space="0" w:color="auto"/>
        <w:right w:val="none" w:sz="0" w:space="0" w:color="auto"/>
      </w:divBdr>
    </w:div>
    <w:div w:id="69934741">
      <w:bodyDiv w:val="1"/>
      <w:marLeft w:val="0"/>
      <w:marRight w:val="0"/>
      <w:marTop w:val="0"/>
      <w:marBottom w:val="0"/>
      <w:divBdr>
        <w:top w:val="none" w:sz="0" w:space="0" w:color="auto"/>
        <w:left w:val="none" w:sz="0" w:space="0" w:color="auto"/>
        <w:bottom w:val="none" w:sz="0" w:space="0" w:color="auto"/>
        <w:right w:val="none" w:sz="0" w:space="0" w:color="auto"/>
      </w:divBdr>
    </w:div>
    <w:div w:id="70587782">
      <w:bodyDiv w:val="1"/>
      <w:marLeft w:val="0"/>
      <w:marRight w:val="0"/>
      <w:marTop w:val="0"/>
      <w:marBottom w:val="0"/>
      <w:divBdr>
        <w:top w:val="none" w:sz="0" w:space="0" w:color="auto"/>
        <w:left w:val="none" w:sz="0" w:space="0" w:color="auto"/>
        <w:bottom w:val="none" w:sz="0" w:space="0" w:color="auto"/>
        <w:right w:val="none" w:sz="0" w:space="0" w:color="auto"/>
      </w:divBdr>
    </w:div>
    <w:div w:id="71856878">
      <w:bodyDiv w:val="1"/>
      <w:marLeft w:val="0"/>
      <w:marRight w:val="0"/>
      <w:marTop w:val="0"/>
      <w:marBottom w:val="0"/>
      <w:divBdr>
        <w:top w:val="none" w:sz="0" w:space="0" w:color="auto"/>
        <w:left w:val="none" w:sz="0" w:space="0" w:color="auto"/>
        <w:bottom w:val="none" w:sz="0" w:space="0" w:color="auto"/>
        <w:right w:val="none" w:sz="0" w:space="0" w:color="auto"/>
      </w:divBdr>
    </w:div>
    <w:div w:id="75978442">
      <w:bodyDiv w:val="1"/>
      <w:marLeft w:val="0"/>
      <w:marRight w:val="0"/>
      <w:marTop w:val="0"/>
      <w:marBottom w:val="0"/>
      <w:divBdr>
        <w:top w:val="none" w:sz="0" w:space="0" w:color="auto"/>
        <w:left w:val="none" w:sz="0" w:space="0" w:color="auto"/>
        <w:bottom w:val="none" w:sz="0" w:space="0" w:color="auto"/>
        <w:right w:val="none" w:sz="0" w:space="0" w:color="auto"/>
      </w:divBdr>
    </w:div>
    <w:div w:id="76829017">
      <w:bodyDiv w:val="1"/>
      <w:marLeft w:val="0"/>
      <w:marRight w:val="0"/>
      <w:marTop w:val="0"/>
      <w:marBottom w:val="0"/>
      <w:divBdr>
        <w:top w:val="none" w:sz="0" w:space="0" w:color="auto"/>
        <w:left w:val="none" w:sz="0" w:space="0" w:color="auto"/>
        <w:bottom w:val="none" w:sz="0" w:space="0" w:color="auto"/>
        <w:right w:val="none" w:sz="0" w:space="0" w:color="auto"/>
      </w:divBdr>
    </w:div>
    <w:div w:id="77598635">
      <w:bodyDiv w:val="1"/>
      <w:marLeft w:val="0"/>
      <w:marRight w:val="0"/>
      <w:marTop w:val="0"/>
      <w:marBottom w:val="0"/>
      <w:divBdr>
        <w:top w:val="none" w:sz="0" w:space="0" w:color="auto"/>
        <w:left w:val="none" w:sz="0" w:space="0" w:color="auto"/>
        <w:bottom w:val="none" w:sz="0" w:space="0" w:color="auto"/>
        <w:right w:val="none" w:sz="0" w:space="0" w:color="auto"/>
      </w:divBdr>
    </w:div>
    <w:div w:id="77757200">
      <w:bodyDiv w:val="1"/>
      <w:marLeft w:val="0"/>
      <w:marRight w:val="0"/>
      <w:marTop w:val="0"/>
      <w:marBottom w:val="0"/>
      <w:divBdr>
        <w:top w:val="none" w:sz="0" w:space="0" w:color="auto"/>
        <w:left w:val="none" w:sz="0" w:space="0" w:color="auto"/>
        <w:bottom w:val="none" w:sz="0" w:space="0" w:color="auto"/>
        <w:right w:val="none" w:sz="0" w:space="0" w:color="auto"/>
      </w:divBdr>
    </w:div>
    <w:div w:id="78135860">
      <w:bodyDiv w:val="1"/>
      <w:marLeft w:val="0"/>
      <w:marRight w:val="0"/>
      <w:marTop w:val="0"/>
      <w:marBottom w:val="0"/>
      <w:divBdr>
        <w:top w:val="none" w:sz="0" w:space="0" w:color="auto"/>
        <w:left w:val="none" w:sz="0" w:space="0" w:color="auto"/>
        <w:bottom w:val="none" w:sz="0" w:space="0" w:color="auto"/>
        <w:right w:val="none" w:sz="0" w:space="0" w:color="auto"/>
      </w:divBdr>
    </w:div>
    <w:div w:id="79063690">
      <w:bodyDiv w:val="1"/>
      <w:marLeft w:val="0"/>
      <w:marRight w:val="0"/>
      <w:marTop w:val="0"/>
      <w:marBottom w:val="0"/>
      <w:divBdr>
        <w:top w:val="none" w:sz="0" w:space="0" w:color="auto"/>
        <w:left w:val="none" w:sz="0" w:space="0" w:color="auto"/>
        <w:bottom w:val="none" w:sz="0" w:space="0" w:color="auto"/>
        <w:right w:val="none" w:sz="0" w:space="0" w:color="auto"/>
      </w:divBdr>
    </w:div>
    <w:div w:id="80955644">
      <w:bodyDiv w:val="1"/>
      <w:marLeft w:val="0"/>
      <w:marRight w:val="0"/>
      <w:marTop w:val="0"/>
      <w:marBottom w:val="0"/>
      <w:divBdr>
        <w:top w:val="none" w:sz="0" w:space="0" w:color="auto"/>
        <w:left w:val="none" w:sz="0" w:space="0" w:color="auto"/>
        <w:bottom w:val="none" w:sz="0" w:space="0" w:color="auto"/>
        <w:right w:val="none" w:sz="0" w:space="0" w:color="auto"/>
      </w:divBdr>
    </w:div>
    <w:div w:id="81414999">
      <w:bodyDiv w:val="1"/>
      <w:marLeft w:val="0"/>
      <w:marRight w:val="0"/>
      <w:marTop w:val="0"/>
      <w:marBottom w:val="0"/>
      <w:divBdr>
        <w:top w:val="none" w:sz="0" w:space="0" w:color="auto"/>
        <w:left w:val="none" w:sz="0" w:space="0" w:color="auto"/>
        <w:bottom w:val="none" w:sz="0" w:space="0" w:color="auto"/>
        <w:right w:val="none" w:sz="0" w:space="0" w:color="auto"/>
      </w:divBdr>
      <w:divsChild>
        <w:div w:id="113259143">
          <w:marLeft w:val="0"/>
          <w:marRight w:val="0"/>
          <w:marTop w:val="0"/>
          <w:marBottom w:val="0"/>
          <w:divBdr>
            <w:top w:val="none" w:sz="0" w:space="0" w:color="auto"/>
            <w:left w:val="none" w:sz="0" w:space="0" w:color="auto"/>
            <w:bottom w:val="none" w:sz="0" w:space="0" w:color="auto"/>
            <w:right w:val="none" w:sz="0" w:space="0" w:color="auto"/>
          </w:divBdr>
        </w:div>
      </w:divsChild>
    </w:div>
    <w:div w:id="84305717">
      <w:bodyDiv w:val="1"/>
      <w:marLeft w:val="0"/>
      <w:marRight w:val="0"/>
      <w:marTop w:val="0"/>
      <w:marBottom w:val="0"/>
      <w:divBdr>
        <w:top w:val="none" w:sz="0" w:space="0" w:color="auto"/>
        <w:left w:val="none" w:sz="0" w:space="0" w:color="auto"/>
        <w:bottom w:val="none" w:sz="0" w:space="0" w:color="auto"/>
        <w:right w:val="none" w:sz="0" w:space="0" w:color="auto"/>
      </w:divBdr>
    </w:div>
    <w:div w:id="85225327">
      <w:bodyDiv w:val="1"/>
      <w:marLeft w:val="0"/>
      <w:marRight w:val="0"/>
      <w:marTop w:val="0"/>
      <w:marBottom w:val="0"/>
      <w:divBdr>
        <w:top w:val="none" w:sz="0" w:space="0" w:color="auto"/>
        <w:left w:val="none" w:sz="0" w:space="0" w:color="auto"/>
        <w:bottom w:val="none" w:sz="0" w:space="0" w:color="auto"/>
        <w:right w:val="none" w:sz="0" w:space="0" w:color="auto"/>
      </w:divBdr>
    </w:div>
    <w:div w:id="85228552">
      <w:bodyDiv w:val="1"/>
      <w:marLeft w:val="0"/>
      <w:marRight w:val="0"/>
      <w:marTop w:val="0"/>
      <w:marBottom w:val="0"/>
      <w:divBdr>
        <w:top w:val="none" w:sz="0" w:space="0" w:color="auto"/>
        <w:left w:val="none" w:sz="0" w:space="0" w:color="auto"/>
        <w:bottom w:val="none" w:sz="0" w:space="0" w:color="auto"/>
        <w:right w:val="none" w:sz="0" w:space="0" w:color="auto"/>
      </w:divBdr>
    </w:div>
    <w:div w:id="87311751">
      <w:bodyDiv w:val="1"/>
      <w:marLeft w:val="0"/>
      <w:marRight w:val="0"/>
      <w:marTop w:val="0"/>
      <w:marBottom w:val="0"/>
      <w:divBdr>
        <w:top w:val="none" w:sz="0" w:space="0" w:color="auto"/>
        <w:left w:val="none" w:sz="0" w:space="0" w:color="auto"/>
        <w:bottom w:val="none" w:sz="0" w:space="0" w:color="auto"/>
        <w:right w:val="none" w:sz="0" w:space="0" w:color="auto"/>
      </w:divBdr>
    </w:div>
    <w:div w:id="88503987">
      <w:bodyDiv w:val="1"/>
      <w:marLeft w:val="0"/>
      <w:marRight w:val="0"/>
      <w:marTop w:val="0"/>
      <w:marBottom w:val="0"/>
      <w:divBdr>
        <w:top w:val="none" w:sz="0" w:space="0" w:color="auto"/>
        <w:left w:val="none" w:sz="0" w:space="0" w:color="auto"/>
        <w:bottom w:val="none" w:sz="0" w:space="0" w:color="auto"/>
        <w:right w:val="none" w:sz="0" w:space="0" w:color="auto"/>
      </w:divBdr>
    </w:div>
    <w:div w:id="89352366">
      <w:bodyDiv w:val="1"/>
      <w:marLeft w:val="0"/>
      <w:marRight w:val="0"/>
      <w:marTop w:val="0"/>
      <w:marBottom w:val="0"/>
      <w:divBdr>
        <w:top w:val="none" w:sz="0" w:space="0" w:color="auto"/>
        <w:left w:val="none" w:sz="0" w:space="0" w:color="auto"/>
        <w:bottom w:val="none" w:sz="0" w:space="0" w:color="auto"/>
        <w:right w:val="none" w:sz="0" w:space="0" w:color="auto"/>
      </w:divBdr>
    </w:div>
    <w:div w:id="90443240">
      <w:bodyDiv w:val="1"/>
      <w:marLeft w:val="0"/>
      <w:marRight w:val="0"/>
      <w:marTop w:val="0"/>
      <w:marBottom w:val="0"/>
      <w:divBdr>
        <w:top w:val="none" w:sz="0" w:space="0" w:color="auto"/>
        <w:left w:val="none" w:sz="0" w:space="0" w:color="auto"/>
        <w:bottom w:val="none" w:sz="0" w:space="0" w:color="auto"/>
        <w:right w:val="none" w:sz="0" w:space="0" w:color="auto"/>
      </w:divBdr>
    </w:div>
    <w:div w:id="91319906">
      <w:bodyDiv w:val="1"/>
      <w:marLeft w:val="0"/>
      <w:marRight w:val="0"/>
      <w:marTop w:val="0"/>
      <w:marBottom w:val="0"/>
      <w:divBdr>
        <w:top w:val="none" w:sz="0" w:space="0" w:color="auto"/>
        <w:left w:val="none" w:sz="0" w:space="0" w:color="auto"/>
        <w:bottom w:val="none" w:sz="0" w:space="0" w:color="auto"/>
        <w:right w:val="none" w:sz="0" w:space="0" w:color="auto"/>
      </w:divBdr>
    </w:div>
    <w:div w:id="91752170">
      <w:bodyDiv w:val="1"/>
      <w:marLeft w:val="0"/>
      <w:marRight w:val="0"/>
      <w:marTop w:val="0"/>
      <w:marBottom w:val="0"/>
      <w:divBdr>
        <w:top w:val="none" w:sz="0" w:space="0" w:color="auto"/>
        <w:left w:val="none" w:sz="0" w:space="0" w:color="auto"/>
        <w:bottom w:val="none" w:sz="0" w:space="0" w:color="auto"/>
        <w:right w:val="none" w:sz="0" w:space="0" w:color="auto"/>
      </w:divBdr>
    </w:div>
    <w:div w:id="92091426">
      <w:bodyDiv w:val="1"/>
      <w:marLeft w:val="0"/>
      <w:marRight w:val="0"/>
      <w:marTop w:val="0"/>
      <w:marBottom w:val="0"/>
      <w:divBdr>
        <w:top w:val="none" w:sz="0" w:space="0" w:color="auto"/>
        <w:left w:val="none" w:sz="0" w:space="0" w:color="auto"/>
        <w:bottom w:val="none" w:sz="0" w:space="0" w:color="auto"/>
        <w:right w:val="none" w:sz="0" w:space="0" w:color="auto"/>
      </w:divBdr>
    </w:div>
    <w:div w:id="94636625">
      <w:bodyDiv w:val="1"/>
      <w:marLeft w:val="0"/>
      <w:marRight w:val="0"/>
      <w:marTop w:val="0"/>
      <w:marBottom w:val="0"/>
      <w:divBdr>
        <w:top w:val="none" w:sz="0" w:space="0" w:color="auto"/>
        <w:left w:val="none" w:sz="0" w:space="0" w:color="auto"/>
        <w:bottom w:val="none" w:sz="0" w:space="0" w:color="auto"/>
        <w:right w:val="none" w:sz="0" w:space="0" w:color="auto"/>
      </w:divBdr>
    </w:div>
    <w:div w:id="96565751">
      <w:bodyDiv w:val="1"/>
      <w:marLeft w:val="0"/>
      <w:marRight w:val="0"/>
      <w:marTop w:val="0"/>
      <w:marBottom w:val="0"/>
      <w:divBdr>
        <w:top w:val="none" w:sz="0" w:space="0" w:color="auto"/>
        <w:left w:val="none" w:sz="0" w:space="0" w:color="auto"/>
        <w:bottom w:val="none" w:sz="0" w:space="0" w:color="auto"/>
        <w:right w:val="none" w:sz="0" w:space="0" w:color="auto"/>
      </w:divBdr>
    </w:div>
    <w:div w:id="98525055">
      <w:bodyDiv w:val="1"/>
      <w:marLeft w:val="0"/>
      <w:marRight w:val="0"/>
      <w:marTop w:val="0"/>
      <w:marBottom w:val="0"/>
      <w:divBdr>
        <w:top w:val="none" w:sz="0" w:space="0" w:color="auto"/>
        <w:left w:val="none" w:sz="0" w:space="0" w:color="auto"/>
        <w:bottom w:val="none" w:sz="0" w:space="0" w:color="auto"/>
        <w:right w:val="none" w:sz="0" w:space="0" w:color="auto"/>
      </w:divBdr>
    </w:div>
    <w:div w:id="99301331">
      <w:bodyDiv w:val="1"/>
      <w:marLeft w:val="0"/>
      <w:marRight w:val="0"/>
      <w:marTop w:val="0"/>
      <w:marBottom w:val="0"/>
      <w:divBdr>
        <w:top w:val="none" w:sz="0" w:space="0" w:color="auto"/>
        <w:left w:val="none" w:sz="0" w:space="0" w:color="auto"/>
        <w:bottom w:val="none" w:sz="0" w:space="0" w:color="auto"/>
        <w:right w:val="none" w:sz="0" w:space="0" w:color="auto"/>
      </w:divBdr>
    </w:div>
    <w:div w:id="100996597">
      <w:bodyDiv w:val="1"/>
      <w:marLeft w:val="0"/>
      <w:marRight w:val="0"/>
      <w:marTop w:val="0"/>
      <w:marBottom w:val="0"/>
      <w:divBdr>
        <w:top w:val="none" w:sz="0" w:space="0" w:color="auto"/>
        <w:left w:val="none" w:sz="0" w:space="0" w:color="auto"/>
        <w:bottom w:val="none" w:sz="0" w:space="0" w:color="auto"/>
        <w:right w:val="none" w:sz="0" w:space="0" w:color="auto"/>
      </w:divBdr>
    </w:div>
    <w:div w:id="104429875">
      <w:bodyDiv w:val="1"/>
      <w:marLeft w:val="0"/>
      <w:marRight w:val="0"/>
      <w:marTop w:val="0"/>
      <w:marBottom w:val="0"/>
      <w:divBdr>
        <w:top w:val="none" w:sz="0" w:space="0" w:color="auto"/>
        <w:left w:val="none" w:sz="0" w:space="0" w:color="auto"/>
        <w:bottom w:val="none" w:sz="0" w:space="0" w:color="auto"/>
        <w:right w:val="none" w:sz="0" w:space="0" w:color="auto"/>
      </w:divBdr>
    </w:div>
    <w:div w:id="106393598">
      <w:bodyDiv w:val="1"/>
      <w:marLeft w:val="0"/>
      <w:marRight w:val="0"/>
      <w:marTop w:val="0"/>
      <w:marBottom w:val="0"/>
      <w:divBdr>
        <w:top w:val="none" w:sz="0" w:space="0" w:color="auto"/>
        <w:left w:val="none" w:sz="0" w:space="0" w:color="auto"/>
        <w:bottom w:val="none" w:sz="0" w:space="0" w:color="auto"/>
        <w:right w:val="none" w:sz="0" w:space="0" w:color="auto"/>
      </w:divBdr>
    </w:div>
    <w:div w:id="107551756">
      <w:bodyDiv w:val="1"/>
      <w:marLeft w:val="0"/>
      <w:marRight w:val="0"/>
      <w:marTop w:val="0"/>
      <w:marBottom w:val="0"/>
      <w:divBdr>
        <w:top w:val="none" w:sz="0" w:space="0" w:color="auto"/>
        <w:left w:val="none" w:sz="0" w:space="0" w:color="auto"/>
        <w:bottom w:val="none" w:sz="0" w:space="0" w:color="auto"/>
        <w:right w:val="none" w:sz="0" w:space="0" w:color="auto"/>
      </w:divBdr>
    </w:div>
    <w:div w:id="109401105">
      <w:bodyDiv w:val="1"/>
      <w:marLeft w:val="0"/>
      <w:marRight w:val="0"/>
      <w:marTop w:val="0"/>
      <w:marBottom w:val="0"/>
      <w:divBdr>
        <w:top w:val="none" w:sz="0" w:space="0" w:color="auto"/>
        <w:left w:val="none" w:sz="0" w:space="0" w:color="auto"/>
        <w:bottom w:val="none" w:sz="0" w:space="0" w:color="auto"/>
        <w:right w:val="none" w:sz="0" w:space="0" w:color="auto"/>
      </w:divBdr>
    </w:div>
    <w:div w:id="110362773">
      <w:bodyDiv w:val="1"/>
      <w:marLeft w:val="0"/>
      <w:marRight w:val="0"/>
      <w:marTop w:val="0"/>
      <w:marBottom w:val="0"/>
      <w:divBdr>
        <w:top w:val="none" w:sz="0" w:space="0" w:color="auto"/>
        <w:left w:val="none" w:sz="0" w:space="0" w:color="auto"/>
        <w:bottom w:val="none" w:sz="0" w:space="0" w:color="auto"/>
        <w:right w:val="none" w:sz="0" w:space="0" w:color="auto"/>
      </w:divBdr>
    </w:div>
    <w:div w:id="110706772">
      <w:bodyDiv w:val="1"/>
      <w:marLeft w:val="0"/>
      <w:marRight w:val="0"/>
      <w:marTop w:val="0"/>
      <w:marBottom w:val="0"/>
      <w:divBdr>
        <w:top w:val="none" w:sz="0" w:space="0" w:color="auto"/>
        <w:left w:val="none" w:sz="0" w:space="0" w:color="auto"/>
        <w:bottom w:val="none" w:sz="0" w:space="0" w:color="auto"/>
        <w:right w:val="none" w:sz="0" w:space="0" w:color="auto"/>
      </w:divBdr>
    </w:div>
    <w:div w:id="114833042">
      <w:bodyDiv w:val="1"/>
      <w:marLeft w:val="0"/>
      <w:marRight w:val="0"/>
      <w:marTop w:val="0"/>
      <w:marBottom w:val="0"/>
      <w:divBdr>
        <w:top w:val="none" w:sz="0" w:space="0" w:color="auto"/>
        <w:left w:val="none" w:sz="0" w:space="0" w:color="auto"/>
        <w:bottom w:val="none" w:sz="0" w:space="0" w:color="auto"/>
        <w:right w:val="none" w:sz="0" w:space="0" w:color="auto"/>
      </w:divBdr>
    </w:div>
    <w:div w:id="115178995">
      <w:bodyDiv w:val="1"/>
      <w:marLeft w:val="0"/>
      <w:marRight w:val="0"/>
      <w:marTop w:val="0"/>
      <w:marBottom w:val="0"/>
      <w:divBdr>
        <w:top w:val="none" w:sz="0" w:space="0" w:color="auto"/>
        <w:left w:val="none" w:sz="0" w:space="0" w:color="auto"/>
        <w:bottom w:val="none" w:sz="0" w:space="0" w:color="auto"/>
        <w:right w:val="none" w:sz="0" w:space="0" w:color="auto"/>
      </w:divBdr>
    </w:div>
    <w:div w:id="115492372">
      <w:bodyDiv w:val="1"/>
      <w:marLeft w:val="0"/>
      <w:marRight w:val="0"/>
      <w:marTop w:val="0"/>
      <w:marBottom w:val="0"/>
      <w:divBdr>
        <w:top w:val="none" w:sz="0" w:space="0" w:color="auto"/>
        <w:left w:val="none" w:sz="0" w:space="0" w:color="auto"/>
        <w:bottom w:val="none" w:sz="0" w:space="0" w:color="auto"/>
        <w:right w:val="none" w:sz="0" w:space="0" w:color="auto"/>
      </w:divBdr>
    </w:div>
    <w:div w:id="117455116">
      <w:bodyDiv w:val="1"/>
      <w:marLeft w:val="0"/>
      <w:marRight w:val="0"/>
      <w:marTop w:val="0"/>
      <w:marBottom w:val="0"/>
      <w:divBdr>
        <w:top w:val="none" w:sz="0" w:space="0" w:color="auto"/>
        <w:left w:val="none" w:sz="0" w:space="0" w:color="auto"/>
        <w:bottom w:val="none" w:sz="0" w:space="0" w:color="auto"/>
        <w:right w:val="none" w:sz="0" w:space="0" w:color="auto"/>
      </w:divBdr>
    </w:div>
    <w:div w:id="120156841">
      <w:bodyDiv w:val="1"/>
      <w:marLeft w:val="0"/>
      <w:marRight w:val="0"/>
      <w:marTop w:val="0"/>
      <w:marBottom w:val="0"/>
      <w:divBdr>
        <w:top w:val="none" w:sz="0" w:space="0" w:color="auto"/>
        <w:left w:val="none" w:sz="0" w:space="0" w:color="auto"/>
        <w:bottom w:val="none" w:sz="0" w:space="0" w:color="auto"/>
        <w:right w:val="none" w:sz="0" w:space="0" w:color="auto"/>
      </w:divBdr>
    </w:div>
    <w:div w:id="121655441">
      <w:bodyDiv w:val="1"/>
      <w:marLeft w:val="0"/>
      <w:marRight w:val="0"/>
      <w:marTop w:val="0"/>
      <w:marBottom w:val="0"/>
      <w:divBdr>
        <w:top w:val="none" w:sz="0" w:space="0" w:color="auto"/>
        <w:left w:val="none" w:sz="0" w:space="0" w:color="auto"/>
        <w:bottom w:val="none" w:sz="0" w:space="0" w:color="auto"/>
        <w:right w:val="none" w:sz="0" w:space="0" w:color="auto"/>
      </w:divBdr>
    </w:div>
    <w:div w:id="121968691">
      <w:bodyDiv w:val="1"/>
      <w:marLeft w:val="0"/>
      <w:marRight w:val="0"/>
      <w:marTop w:val="0"/>
      <w:marBottom w:val="0"/>
      <w:divBdr>
        <w:top w:val="none" w:sz="0" w:space="0" w:color="auto"/>
        <w:left w:val="none" w:sz="0" w:space="0" w:color="auto"/>
        <w:bottom w:val="none" w:sz="0" w:space="0" w:color="auto"/>
        <w:right w:val="none" w:sz="0" w:space="0" w:color="auto"/>
      </w:divBdr>
    </w:div>
    <w:div w:id="123619131">
      <w:bodyDiv w:val="1"/>
      <w:marLeft w:val="0"/>
      <w:marRight w:val="0"/>
      <w:marTop w:val="0"/>
      <w:marBottom w:val="0"/>
      <w:divBdr>
        <w:top w:val="none" w:sz="0" w:space="0" w:color="auto"/>
        <w:left w:val="none" w:sz="0" w:space="0" w:color="auto"/>
        <w:bottom w:val="none" w:sz="0" w:space="0" w:color="auto"/>
        <w:right w:val="none" w:sz="0" w:space="0" w:color="auto"/>
      </w:divBdr>
    </w:div>
    <w:div w:id="124087420">
      <w:bodyDiv w:val="1"/>
      <w:marLeft w:val="0"/>
      <w:marRight w:val="0"/>
      <w:marTop w:val="0"/>
      <w:marBottom w:val="0"/>
      <w:divBdr>
        <w:top w:val="none" w:sz="0" w:space="0" w:color="auto"/>
        <w:left w:val="none" w:sz="0" w:space="0" w:color="auto"/>
        <w:bottom w:val="none" w:sz="0" w:space="0" w:color="auto"/>
        <w:right w:val="none" w:sz="0" w:space="0" w:color="auto"/>
      </w:divBdr>
    </w:div>
    <w:div w:id="128403254">
      <w:bodyDiv w:val="1"/>
      <w:marLeft w:val="0"/>
      <w:marRight w:val="0"/>
      <w:marTop w:val="0"/>
      <w:marBottom w:val="0"/>
      <w:divBdr>
        <w:top w:val="none" w:sz="0" w:space="0" w:color="auto"/>
        <w:left w:val="none" w:sz="0" w:space="0" w:color="auto"/>
        <w:bottom w:val="none" w:sz="0" w:space="0" w:color="auto"/>
        <w:right w:val="none" w:sz="0" w:space="0" w:color="auto"/>
      </w:divBdr>
    </w:div>
    <w:div w:id="131411280">
      <w:bodyDiv w:val="1"/>
      <w:marLeft w:val="0"/>
      <w:marRight w:val="0"/>
      <w:marTop w:val="0"/>
      <w:marBottom w:val="0"/>
      <w:divBdr>
        <w:top w:val="none" w:sz="0" w:space="0" w:color="auto"/>
        <w:left w:val="none" w:sz="0" w:space="0" w:color="auto"/>
        <w:bottom w:val="none" w:sz="0" w:space="0" w:color="auto"/>
        <w:right w:val="none" w:sz="0" w:space="0" w:color="auto"/>
      </w:divBdr>
    </w:div>
    <w:div w:id="131557522">
      <w:bodyDiv w:val="1"/>
      <w:marLeft w:val="0"/>
      <w:marRight w:val="0"/>
      <w:marTop w:val="0"/>
      <w:marBottom w:val="0"/>
      <w:divBdr>
        <w:top w:val="none" w:sz="0" w:space="0" w:color="auto"/>
        <w:left w:val="none" w:sz="0" w:space="0" w:color="auto"/>
        <w:bottom w:val="none" w:sz="0" w:space="0" w:color="auto"/>
        <w:right w:val="none" w:sz="0" w:space="0" w:color="auto"/>
      </w:divBdr>
    </w:div>
    <w:div w:id="132211917">
      <w:bodyDiv w:val="1"/>
      <w:marLeft w:val="0"/>
      <w:marRight w:val="0"/>
      <w:marTop w:val="0"/>
      <w:marBottom w:val="0"/>
      <w:divBdr>
        <w:top w:val="none" w:sz="0" w:space="0" w:color="auto"/>
        <w:left w:val="none" w:sz="0" w:space="0" w:color="auto"/>
        <w:bottom w:val="none" w:sz="0" w:space="0" w:color="auto"/>
        <w:right w:val="none" w:sz="0" w:space="0" w:color="auto"/>
      </w:divBdr>
    </w:div>
    <w:div w:id="132719323">
      <w:bodyDiv w:val="1"/>
      <w:marLeft w:val="0"/>
      <w:marRight w:val="0"/>
      <w:marTop w:val="0"/>
      <w:marBottom w:val="0"/>
      <w:divBdr>
        <w:top w:val="none" w:sz="0" w:space="0" w:color="auto"/>
        <w:left w:val="none" w:sz="0" w:space="0" w:color="auto"/>
        <w:bottom w:val="none" w:sz="0" w:space="0" w:color="auto"/>
        <w:right w:val="none" w:sz="0" w:space="0" w:color="auto"/>
      </w:divBdr>
    </w:div>
    <w:div w:id="133834575">
      <w:bodyDiv w:val="1"/>
      <w:marLeft w:val="0"/>
      <w:marRight w:val="0"/>
      <w:marTop w:val="0"/>
      <w:marBottom w:val="0"/>
      <w:divBdr>
        <w:top w:val="none" w:sz="0" w:space="0" w:color="auto"/>
        <w:left w:val="none" w:sz="0" w:space="0" w:color="auto"/>
        <w:bottom w:val="none" w:sz="0" w:space="0" w:color="auto"/>
        <w:right w:val="none" w:sz="0" w:space="0" w:color="auto"/>
      </w:divBdr>
    </w:div>
    <w:div w:id="137916742">
      <w:bodyDiv w:val="1"/>
      <w:marLeft w:val="0"/>
      <w:marRight w:val="0"/>
      <w:marTop w:val="0"/>
      <w:marBottom w:val="0"/>
      <w:divBdr>
        <w:top w:val="none" w:sz="0" w:space="0" w:color="auto"/>
        <w:left w:val="none" w:sz="0" w:space="0" w:color="auto"/>
        <w:bottom w:val="none" w:sz="0" w:space="0" w:color="auto"/>
        <w:right w:val="none" w:sz="0" w:space="0" w:color="auto"/>
      </w:divBdr>
    </w:div>
    <w:div w:id="139351776">
      <w:bodyDiv w:val="1"/>
      <w:marLeft w:val="0"/>
      <w:marRight w:val="0"/>
      <w:marTop w:val="0"/>
      <w:marBottom w:val="0"/>
      <w:divBdr>
        <w:top w:val="none" w:sz="0" w:space="0" w:color="auto"/>
        <w:left w:val="none" w:sz="0" w:space="0" w:color="auto"/>
        <w:bottom w:val="none" w:sz="0" w:space="0" w:color="auto"/>
        <w:right w:val="none" w:sz="0" w:space="0" w:color="auto"/>
      </w:divBdr>
    </w:div>
    <w:div w:id="139612156">
      <w:bodyDiv w:val="1"/>
      <w:marLeft w:val="0"/>
      <w:marRight w:val="0"/>
      <w:marTop w:val="0"/>
      <w:marBottom w:val="0"/>
      <w:divBdr>
        <w:top w:val="none" w:sz="0" w:space="0" w:color="auto"/>
        <w:left w:val="none" w:sz="0" w:space="0" w:color="auto"/>
        <w:bottom w:val="none" w:sz="0" w:space="0" w:color="auto"/>
        <w:right w:val="none" w:sz="0" w:space="0" w:color="auto"/>
      </w:divBdr>
    </w:div>
    <w:div w:id="142893239">
      <w:bodyDiv w:val="1"/>
      <w:marLeft w:val="0"/>
      <w:marRight w:val="0"/>
      <w:marTop w:val="0"/>
      <w:marBottom w:val="0"/>
      <w:divBdr>
        <w:top w:val="none" w:sz="0" w:space="0" w:color="auto"/>
        <w:left w:val="none" w:sz="0" w:space="0" w:color="auto"/>
        <w:bottom w:val="none" w:sz="0" w:space="0" w:color="auto"/>
        <w:right w:val="none" w:sz="0" w:space="0" w:color="auto"/>
      </w:divBdr>
    </w:div>
    <w:div w:id="143664767">
      <w:bodyDiv w:val="1"/>
      <w:marLeft w:val="0"/>
      <w:marRight w:val="0"/>
      <w:marTop w:val="0"/>
      <w:marBottom w:val="0"/>
      <w:divBdr>
        <w:top w:val="none" w:sz="0" w:space="0" w:color="auto"/>
        <w:left w:val="none" w:sz="0" w:space="0" w:color="auto"/>
        <w:bottom w:val="none" w:sz="0" w:space="0" w:color="auto"/>
        <w:right w:val="none" w:sz="0" w:space="0" w:color="auto"/>
      </w:divBdr>
    </w:div>
    <w:div w:id="152263941">
      <w:bodyDiv w:val="1"/>
      <w:marLeft w:val="0"/>
      <w:marRight w:val="0"/>
      <w:marTop w:val="0"/>
      <w:marBottom w:val="0"/>
      <w:divBdr>
        <w:top w:val="none" w:sz="0" w:space="0" w:color="auto"/>
        <w:left w:val="none" w:sz="0" w:space="0" w:color="auto"/>
        <w:bottom w:val="none" w:sz="0" w:space="0" w:color="auto"/>
        <w:right w:val="none" w:sz="0" w:space="0" w:color="auto"/>
      </w:divBdr>
    </w:div>
    <w:div w:id="153255545">
      <w:bodyDiv w:val="1"/>
      <w:marLeft w:val="0"/>
      <w:marRight w:val="0"/>
      <w:marTop w:val="0"/>
      <w:marBottom w:val="0"/>
      <w:divBdr>
        <w:top w:val="none" w:sz="0" w:space="0" w:color="auto"/>
        <w:left w:val="none" w:sz="0" w:space="0" w:color="auto"/>
        <w:bottom w:val="none" w:sz="0" w:space="0" w:color="auto"/>
        <w:right w:val="none" w:sz="0" w:space="0" w:color="auto"/>
      </w:divBdr>
    </w:div>
    <w:div w:id="155389918">
      <w:bodyDiv w:val="1"/>
      <w:marLeft w:val="0"/>
      <w:marRight w:val="0"/>
      <w:marTop w:val="0"/>
      <w:marBottom w:val="0"/>
      <w:divBdr>
        <w:top w:val="none" w:sz="0" w:space="0" w:color="auto"/>
        <w:left w:val="none" w:sz="0" w:space="0" w:color="auto"/>
        <w:bottom w:val="none" w:sz="0" w:space="0" w:color="auto"/>
        <w:right w:val="none" w:sz="0" w:space="0" w:color="auto"/>
      </w:divBdr>
    </w:div>
    <w:div w:id="156043675">
      <w:bodyDiv w:val="1"/>
      <w:marLeft w:val="0"/>
      <w:marRight w:val="0"/>
      <w:marTop w:val="0"/>
      <w:marBottom w:val="0"/>
      <w:divBdr>
        <w:top w:val="none" w:sz="0" w:space="0" w:color="auto"/>
        <w:left w:val="none" w:sz="0" w:space="0" w:color="auto"/>
        <w:bottom w:val="none" w:sz="0" w:space="0" w:color="auto"/>
        <w:right w:val="none" w:sz="0" w:space="0" w:color="auto"/>
      </w:divBdr>
    </w:div>
    <w:div w:id="157693331">
      <w:bodyDiv w:val="1"/>
      <w:marLeft w:val="0"/>
      <w:marRight w:val="0"/>
      <w:marTop w:val="0"/>
      <w:marBottom w:val="0"/>
      <w:divBdr>
        <w:top w:val="none" w:sz="0" w:space="0" w:color="auto"/>
        <w:left w:val="none" w:sz="0" w:space="0" w:color="auto"/>
        <w:bottom w:val="none" w:sz="0" w:space="0" w:color="auto"/>
        <w:right w:val="none" w:sz="0" w:space="0" w:color="auto"/>
      </w:divBdr>
    </w:div>
    <w:div w:id="158270913">
      <w:bodyDiv w:val="1"/>
      <w:marLeft w:val="0"/>
      <w:marRight w:val="0"/>
      <w:marTop w:val="0"/>
      <w:marBottom w:val="0"/>
      <w:divBdr>
        <w:top w:val="none" w:sz="0" w:space="0" w:color="auto"/>
        <w:left w:val="none" w:sz="0" w:space="0" w:color="auto"/>
        <w:bottom w:val="none" w:sz="0" w:space="0" w:color="auto"/>
        <w:right w:val="none" w:sz="0" w:space="0" w:color="auto"/>
      </w:divBdr>
    </w:div>
    <w:div w:id="159152523">
      <w:bodyDiv w:val="1"/>
      <w:marLeft w:val="0"/>
      <w:marRight w:val="0"/>
      <w:marTop w:val="0"/>
      <w:marBottom w:val="0"/>
      <w:divBdr>
        <w:top w:val="none" w:sz="0" w:space="0" w:color="auto"/>
        <w:left w:val="none" w:sz="0" w:space="0" w:color="auto"/>
        <w:bottom w:val="none" w:sz="0" w:space="0" w:color="auto"/>
        <w:right w:val="none" w:sz="0" w:space="0" w:color="auto"/>
      </w:divBdr>
    </w:div>
    <w:div w:id="159735202">
      <w:bodyDiv w:val="1"/>
      <w:marLeft w:val="0"/>
      <w:marRight w:val="0"/>
      <w:marTop w:val="0"/>
      <w:marBottom w:val="0"/>
      <w:divBdr>
        <w:top w:val="none" w:sz="0" w:space="0" w:color="auto"/>
        <w:left w:val="none" w:sz="0" w:space="0" w:color="auto"/>
        <w:bottom w:val="none" w:sz="0" w:space="0" w:color="auto"/>
        <w:right w:val="none" w:sz="0" w:space="0" w:color="auto"/>
      </w:divBdr>
    </w:div>
    <w:div w:id="160317388">
      <w:bodyDiv w:val="1"/>
      <w:marLeft w:val="0"/>
      <w:marRight w:val="0"/>
      <w:marTop w:val="0"/>
      <w:marBottom w:val="0"/>
      <w:divBdr>
        <w:top w:val="none" w:sz="0" w:space="0" w:color="auto"/>
        <w:left w:val="none" w:sz="0" w:space="0" w:color="auto"/>
        <w:bottom w:val="none" w:sz="0" w:space="0" w:color="auto"/>
        <w:right w:val="none" w:sz="0" w:space="0" w:color="auto"/>
      </w:divBdr>
    </w:div>
    <w:div w:id="160507668">
      <w:bodyDiv w:val="1"/>
      <w:marLeft w:val="0"/>
      <w:marRight w:val="0"/>
      <w:marTop w:val="0"/>
      <w:marBottom w:val="0"/>
      <w:divBdr>
        <w:top w:val="none" w:sz="0" w:space="0" w:color="auto"/>
        <w:left w:val="none" w:sz="0" w:space="0" w:color="auto"/>
        <w:bottom w:val="none" w:sz="0" w:space="0" w:color="auto"/>
        <w:right w:val="none" w:sz="0" w:space="0" w:color="auto"/>
      </w:divBdr>
    </w:div>
    <w:div w:id="160783162">
      <w:bodyDiv w:val="1"/>
      <w:marLeft w:val="0"/>
      <w:marRight w:val="0"/>
      <w:marTop w:val="0"/>
      <w:marBottom w:val="0"/>
      <w:divBdr>
        <w:top w:val="none" w:sz="0" w:space="0" w:color="auto"/>
        <w:left w:val="none" w:sz="0" w:space="0" w:color="auto"/>
        <w:bottom w:val="none" w:sz="0" w:space="0" w:color="auto"/>
        <w:right w:val="none" w:sz="0" w:space="0" w:color="auto"/>
      </w:divBdr>
    </w:div>
    <w:div w:id="164170366">
      <w:bodyDiv w:val="1"/>
      <w:marLeft w:val="0"/>
      <w:marRight w:val="0"/>
      <w:marTop w:val="0"/>
      <w:marBottom w:val="0"/>
      <w:divBdr>
        <w:top w:val="none" w:sz="0" w:space="0" w:color="auto"/>
        <w:left w:val="none" w:sz="0" w:space="0" w:color="auto"/>
        <w:bottom w:val="none" w:sz="0" w:space="0" w:color="auto"/>
        <w:right w:val="none" w:sz="0" w:space="0" w:color="auto"/>
      </w:divBdr>
    </w:div>
    <w:div w:id="164244813">
      <w:bodyDiv w:val="1"/>
      <w:marLeft w:val="0"/>
      <w:marRight w:val="0"/>
      <w:marTop w:val="0"/>
      <w:marBottom w:val="0"/>
      <w:divBdr>
        <w:top w:val="none" w:sz="0" w:space="0" w:color="auto"/>
        <w:left w:val="none" w:sz="0" w:space="0" w:color="auto"/>
        <w:bottom w:val="none" w:sz="0" w:space="0" w:color="auto"/>
        <w:right w:val="none" w:sz="0" w:space="0" w:color="auto"/>
      </w:divBdr>
    </w:div>
    <w:div w:id="170686378">
      <w:bodyDiv w:val="1"/>
      <w:marLeft w:val="0"/>
      <w:marRight w:val="0"/>
      <w:marTop w:val="0"/>
      <w:marBottom w:val="0"/>
      <w:divBdr>
        <w:top w:val="none" w:sz="0" w:space="0" w:color="auto"/>
        <w:left w:val="none" w:sz="0" w:space="0" w:color="auto"/>
        <w:bottom w:val="none" w:sz="0" w:space="0" w:color="auto"/>
        <w:right w:val="none" w:sz="0" w:space="0" w:color="auto"/>
      </w:divBdr>
    </w:div>
    <w:div w:id="171339332">
      <w:bodyDiv w:val="1"/>
      <w:marLeft w:val="0"/>
      <w:marRight w:val="0"/>
      <w:marTop w:val="0"/>
      <w:marBottom w:val="0"/>
      <w:divBdr>
        <w:top w:val="none" w:sz="0" w:space="0" w:color="auto"/>
        <w:left w:val="none" w:sz="0" w:space="0" w:color="auto"/>
        <w:bottom w:val="none" w:sz="0" w:space="0" w:color="auto"/>
        <w:right w:val="none" w:sz="0" w:space="0" w:color="auto"/>
      </w:divBdr>
    </w:div>
    <w:div w:id="173499311">
      <w:bodyDiv w:val="1"/>
      <w:marLeft w:val="0"/>
      <w:marRight w:val="0"/>
      <w:marTop w:val="0"/>
      <w:marBottom w:val="0"/>
      <w:divBdr>
        <w:top w:val="none" w:sz="0" w:space="0" w:color="auto"/>
        <w:left w:val="none" w:sz="0" w:space="0" w:color="auto"/>
        <w:bottom w:val="none" w:sz="0" w:space="0" w:color="auto"/>
        <w:right w:val="none" w:sz="0" w:space="0" w:color="auto"/>
      </w:divBdr>
    </w:div>
    <w:div w:id="174657229">
      <w:bodyDiv w:val="1"/>
      <w:marLeft w:val="0"/>
      <w:marRight w:val="0"/>
      <w:marTop w:val="0"/>
      <w:marBottom w:val="0"/>
      <w:divBdr>
        <w:top w:val="none" w:sz="0" w:space="0" w:color="auto"/>
        <w:left w:val="none" w:sz="0" w:space="0" w:color="auto"/>
        <w:bottom w:val="none" w:sz="0" w:space="0" w:color="auto"/>
        <w:right w:val="none" w:sz="0" w:space="0" w:color="auto"/>
      </w:divBdr>
    </w:div>
    <w:div w:id="177699900">
      <w:bodyDiv w:val="1"/>
      <w:marLeft w:val="0"/>
      <w:marRight w:val="0"/>
      <w:marTop w:val="0"/>
      <w:marBottom w:val="0"/>
      <w:divBdr>
        <w:top w:val="none" w:sz="0" w:space="0" w:color="auto"/>
        <w:left w:val="none" w:sz="0" w:space="0" w:color="auto"/>
        <w:bottom w:val="none" w:sz="0" w:space="0" w:color="auto"/>
        <w:right w:val="none" w:sz="0" w:space="0" w:color="auto"/>
      </w:divBdr>
    </w:div>
    <w:div w:id="179198008">
      <w:bodyDiv w:val="1"/>
      <w:marLeft w:val="0"/>
      <w:marRight w:val="0"/>
      <w:marTop w:val="0"/>
      <w:marBottom w:val="0"/>
      <w:divBdr>
        <w:top w:val="none" w:sz="0" w:space="0" w:color="auto"/>
        <w:left w:val="none" w:sz="0" w:space="0" w:color="auto"/>
        <w:bottom w:val="none" w:sz="0" w:space="0" w:color="auto"/>
        <w:right w:val="none" w:sz="0" w:space="0" w:color="auto"/>
      </w:divBdr>
    </w:div>
    <w:div w:id="182673851">
      <w:bodyDiv w:val="1"/>
      <w:marLeft w:val="0"/>
      <w:marRight w:val="0"/>
      <w:marTop w:val="0"/>
      <w:marBottom w:val="0"/>
      <w:divBdr>
        <w:top w:val="none" w:sz="0" w:space="0" w:color="auto"/>
        <w:left w:val="none" w:sz="0" w:space="0" w:color="auto"/>
        <w:bottom w:val="none" w:sz="0" w:space="0" w:color="auto"/>
        <w:right w:val="none" w:sz="0" w:space="0" w:color="auto"/>
      </w:divBdr>
    </w:div>
    <w:div w:id="183908285">
      <w:bodyDiv w:val="1"/>
      <w:marLeft w:val="0"/>
      <w:marRight w:val="0"/>
      <w:marTop w:val="0"/>
      <w:marBottom w:val="0"/>
      <w:divBdr>
        <w:top w:val="none" w:sz="0" w:space="0" w:color="auto"/>
        <w:left w:val="none" w:sz="0" w:space="0" w:color="auto"/>
        <w:bottom w:val="none" w:sz="0" w:space="0" w:color="auto"/>
        <w:right w:val="none" w:sz="0" w:space="0" w:color="auto"/>
      </w:divBdr>
    </w:div>
    <w:div w:id="186676965">
      <w:bodyDiv w:val="1"/>
      <w:marLeft w:val="0"/>
      <w:marRight w:val="0"/>
      <w:marTop w:val="0"/>
      <w:marBottom w:val="0"/>
      <w:divBdr>
        <w:top w:val="none" w:sz="0" w:space="0" w:color="auto"/>
        <w:left w:val="none" w:sz="0" w:space="0" w:color="auto"/>
        <w:bottom w:val="none" w:sz="0" w:space="0" w:color="auto"/>
        <w:right w:val="none" w:sz="0" w:space="0" w:color="auto"/>
      </w:divBdr>
    </w:div>
    <w:div w:id="191263924">
      <w:bodyDiv w:val="1"/>
      <w:marLeft w:val="0"/>
      <w:marRight w:val="0"/>
      <w:marTop w:val="0"/>
      <w:marBottom w:val="0"/>
      <w:divBdr>
        <w:top w:val="none" w:sz="0" w:space="0" w:color="auto"/>
        <w:left w:val="none" w:sz="0" w:space="0" w:color="auto"/>
        <w:bottom w:val="none" w:sz="0" w:space="0" w:color="auto"/>
        <w:right w:val="none" w:sz="0" w:space="0" w:color="auto"/>
      </w:divBdr>
    </w:div>
    <w:div w:id="191310511">
      <w:bodyDiv w:val="1"/>
      <w:marLeft w:val="0"/>
      <w:marRight w:val="0"/>
      <w:marTop w:val="0"/>
      <w:marBottom w:val="0"/>
      <w:divBdr>
        <w:top w:val="none" w:sz="0" w:space="0" w:color="auto"/>
        <w:left w:val="none" w:sz="0" w:space="0" w:color="auto"/>
        <w:bottom w:val="none" w:sz="0" w:space="0" w:color="auto"/>
        <w:right w:val="none" w:sz="0" w:space="0" w:color="auto"/>
      </w:divBdr>
    </w:div>
    <w:div w:id="194075276">
      <w:bodyDiv w:val="1"/>
      <w:marLeft w:val="0"/>
      <w:marRight w:val="0"/>
      <w:marTop w:val="0"/>
      <w:marBottom w:val="0"/>
      <w:divBdr>
        <w:top w:val="none" w:sz="0" w:space="0" w:color="auto"/>
        <w:left w:val="none" w:sz="0" w:space="0" w:color="auto"/>
        <w:bottom w:val="none" w:sz="0" w:space="0" w:color="auto"/>
        <w:right w:val="none" w:sz="0" w:space="0" w:color="auto"/>
      </w:divBdr>
    </w:div>
    <w:div w:id="194083316">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5509934">
      <w:bodyDiv w:val="1"/>
      <w:marLeft w:val="0"/>
      <w:marRight w:val="0"/>
      <w:marTop w:val="0"/>
      <w:marBottom w:val="0"/>
      <w:divBdr>
        <w:top w:val="none" w:sz="0" w:space="0" w:color="auto"/>
        <w:left w:val="none" w:sz="0" w:space="0" w:color="auto"/>
        <w:bottom w:val="none" w:sz="0" w:space="0" w:color="auto"/>
        <w:right w:val="none" w:sz="0" w:space="0" w:color="auto"/>
      </w:divBdr>
    </w:div>
    <w:div w:id="196085005">
      <w:bodyDiv w:val="1"/>
      <w:marLeft w:val="0"/>
      <w:marRight w:val="0"/>
      <w:marTop w:val="0"/>
      <w:marBottom w:val="0"/>
      <w:divBdr>
        <w:top w:val="none" w:sz="0" w:space="0" w:color="auto"/>
        <w:left w:val="none" w:sz="0" w:space="0" w:color="auto"/>
        <w:bottom w:val="none" w:sz="0" w:space="0" w:color="auto"/>
        <w:right w:val="none" w:sz="0" w:space="0" w:color="auto"/>
      </w:divBdr>
    </w:div>
    <w:div w:id="196357598">
      <w:bodyDiv w:val="1"/>
      <w:marLeft w:val="0"/>
      <w:marRight w:val="0"/>
      <w:marTop w:val="0"/>
      <w:marBottom w:val="0"/>
      <w:divBdr>
        <w:top w:val="none" w:sz="0" w:space="0" w:color="auto"/>
        <w:left w:val="none" w:sz="0" w:space="0" w:color="auto"/>
        <w:bottom w:val="none" w:sz="0" w:space="0" w:color="auto"/>
        <w:right w:val="none" w:sz="0" w:space="0" w:color="auto"/>
      </w:divBdr>
    </w:div>
    <w:div w:id="196745479">
      <w:bodyDiv w:val="1"/>
      <w:marLeft w:val="0"/>
      <w:marRight w:val="0"/>
      <w:marTop w:val="0"/>
      <w:marBottom w:val="0"/>
      <w:divBdr>
        <w:top w:val="none" w:sz="0" w:space="0" w:color="auto"/>
        <w:left w:val="none" w:sz="0" w:space="0" w:color="auto"/>
        <w:bottom w:val="none" w:sz="0" w:space="0" w:color="auto"/>
        <w:right w:val="none" w:sz="0" w:space="0" w:color="auto"/>
      </w:divBdr>
    </w:div>
    <w:div w:id="198208134">
      <w:bodyDiv w:val="1"/>
      <w:marLeft w:val="0"/>
      <w:marRight w:val="0"/>
      <w:marTop w:val="0"/>
      <w:marBottom w:val="0"/>
      <w:divBdr>
        <w:top w:val="none" w:sz="0" w:space="0" w:color="auto"/>
        <w:left w:val="none" w:sz="0" w:space="0" w:color="auto"/>
        <w:bottom w:val="none" w:sz="0" w:space="0" w:color="auto"/>
        <w:right w:val="none" w:sz="0" w:space="0" w:color="auto"/>
      </w:divBdr>
    </w:div>
    <w:div w:id="199634224">
      <w:bodyDiv w:val="1"/>
      <w:marLeft w:val="0"/>
      <w:marRight w:val="0"/>
      <w:marTop w:val="0"/>
      <w:marBottom w:val="0"/>
      <w:divBdr>
        <w:top w:val="none" w:sz="0" w:space="0" w:color="auto"/>
        <w:left w:val="none" w:sz="0" w:space="0" w:color="auto"/>
        <w:bottom w:val="none" w:sz="0" w:space="0" w:color="auto"/>
        <w:right w:val="none" w:sz="0" w:space="0" w:color="auto"/>
      </w:divBdr>
    </w:div>
    <w:div w:id="199823482">
      <w:bodyDiv w:val="1"/>
      <w:marLeft w:val="0"/>
      <w:marRight w:val="0"/>
      <w:marTop w:val="0"/>
      <w:marBottom w:val="0"/>
      <w:divBdr>
        <w:top w:val="none" w:sz="0" w:space="0" w:color="auto"/>
        <w:left w:val="none" w:sz="0" w:space="0" w:color="auto"/>
        <w:bottom w:val="none" w:sz="0" w:space="0" w:color="auto"/>
        <w:right w:val="none" w:sz="0" w:space="0" w:color="auto"/>
      </w:divBdr>
    </w:div>
    <w:div w:id="200173807">
      <w:bodyDiv w:val="1"/>
      <w:marLeft w:val="0"/>
      <w:marRight w:val="0"/>
      <w:marTop w:val="0"/>
      <w:marBottom w:val="0"/>
      <w:divBdr>
        <w:top w:val="none" w:sz="0" w:space="0" w:color="auto"/>
        <w:left w:val="none" w:sz="0" w:space="0" w:color="auto"/>
        <w:bottom w:val="none" w:sz="0" w:space="0" w:color="auto"/>
        <w:right w:val="none" w:sz="0" w:space="0" w:color="auto"/>
      </w:divBdr>
    </w:div>
    <w:div w:id="202058718">
      <w:bodyDiv w:val="1"/>
      <w:marLeft w:val="0"/>
      <w:marRight w:val="0"/>
      <w:marTop w:val="0"/>
      <w:marBottom w:val="0"/>
      <w:divBdr>
        <w:top w:val="none" w:sz="0" w:space="0" w:color="auto"/>
        <w:left w:val="none" w:sz="0" w:space="0" w:color="auto"/>
        <w:bottom w:val="none" w:sz="0" w:space="0" w:color="auto"/>
        <w:right w:val="none" w:sz="0" w:space="0" w:color="auto"/>
      </w:divBdr>
    </w:div>
    <w:div w:id="202182930">
      <w:bodyDiv w:val="1"/>
      <w:marLeft w:val="0"/>
      <w:marRight w:val="0"/>
      <w:marTop w:val="0"/>
      <w:marBottom w:val="0"/>
      <w:divBdr>
        <w:top w:val="none" w:sz="0" w:space="0" w:color="auto"/>
        <w:left w:val="none" w:sz="0" w:space="0" w:color="auto"/>
        <w:bottom w:val="none" w:sz="0" w:space="0" w:color="auto"/>
        <w:right w:val="none" w:sz="0" w:space="0" w:color="auto"/>
      </w:divBdr>
    </w:div>
    <w:div w:id="208493699">
      <w:bodyDiv w:val="1"/>
      <w:marLeft w:val="0"/>
      <w:marRight w:val="0"/>
      <w:marTop w:val="0"/>
      <w:marBottom w:val="0"/>
      <w:divBdr>
        <w:top w:val="none" w:sz="0" w:space="0" w:color="auto"/>
        <w:left w:val="none" w:sz="0" w:space="0" w:color="auto"/>
        <w:bottom w:val="none" w:sz="0" w:space="0" w:color="auto"/>
        <w:right w:val="none" w:sz="0" w:space="0" w:color="auto"/>
      </w:divBdr>
    </w:div>
    <w:div w:id="209541943">
      <w:bodyDiv w:val="1"/>
      <w:marLeft w:val="0"/>
      <w:marRight w:val="0"/>
      <w:marTop w:val="0"/>
      <w:marBottom w:val="0"/>
      <w:divBdr>
        <w:top w:val="none" w:sz="0" w:space="0" w:color="auto"/>
        <w:left w:val="none" w:sz="0" w:space="0" w:color="auto"/>
        <w:bottom w:val="none" w:sz="0" w:space="0" w:color="auto"/>
        <w:right w:val="none" w:sz="0" w:space="0" w:color="auto"/>
      </w:divBdr>
    </w:div>
    <w:div w:id="210962897">
      <w:bodyDiv w:val="1"/>
      <w:marLeft w:val="0"/>
      <w:marRight w:val="0"/>
      <w:marTop w:val="0"/>
      <w:marBottom w:val="0"/>
      <w:divBdr>
        <w:top w:val="none" w:sz="0" w:space="0" w:color="auto"/>
        <w:left w:val="none" w:sz="0" w:space="0" w:color="auto"/>
        <w:bottom w:val="none" w:sz="0" w:space="0" w:color="auto"/>
        <w:right w:val="none" w:sz="0" w:space="0" w:color="auto"/>
      </w:divBdr>
    </w:div>
    <w:div w:id="211308709">
      <w:bodyDiv w:val="1"/>
      <w:marLeft w:val="0"/>
      <w:marRight w:val="0"/>
      <w:marTop w:val="0"/>
      <w:marBottom w:val="0"/>
      <w:divBdr>
        <w:top w:val="none" w:sz="0" w:space="0" w:color="auto"/>
        <w:left w:val="none" w:sz="0" w:space="0" w:color="auto"/>
        <w:bottom w:val="none" w:sz="0" w:space="0" w:color="auto"/>
        <w:right w:val="none" w:sz="0" w:space="0" w:color="auto"/>
      </w:divBdr>
    </w:div>
    <w:div w:id="213154954">
      <w:bodyDiv w:val="1"/>
      <w:marLeft w:val="0"/>
      <w:marRight w:val="0"/>
      <w:marTop w:val="0"/>
      <w:marBottom w:val="0"/>
      <w:divBdr>
        <w:top w:val="none" w:sz="0" w:space="0" w:color="auto"/>
        <w:left w:val="none" w:sz="0" w:space="0" w:color="auto"/>
        <w:bottom w:val="none" w:sz="0" w:space="0" w:color="auto"/>
        <w:right w:val="none" w:sz="0" w:space="0" w:color="auto"/>
      </w:divBdr>
    </w:div>
    <w:div w:id="215699159">
      <w:bodyDiv w:val="1"/>
      <w:marLeft w:val="0"/>
      <w:marRight w:val="0"/>
      <w:marTop w:val="0"/>
      <w:marBottom w:val="0"/>
      <w:divBdr>
        <w:top w:val="none" w:sz="0" w:space="0" w:color="auto"/>
        <w:left w:val="none" w:sz="0" w:space="0" w:color="auto"/>
        <w:bottom w:val="none" w:sz="0" w:space="0" w:color="auto"/>
        <w:right w:val="none" w:sz="0" w:space="0" w:color="auto"/>
      </w:divBdr>
    </w:div>
    <w:div w:id="216745225">
      <w:bodyDiv w:val="1"/>
      <w:marLeft w:val="0"/>
      <w:marRight w:val="0"/>
      <w:marTop w:val="0"/>
      <w:marBottom w:val="0"/>
      <w:divBdr>
        <w:top w:val="none" w:sz="0" w:space="0" w:color="auto"/>
        <w:left w:val="none" w:sz="0" w:space="0" w:color="auto"/>
        <w:bottom w:val="none" w:sz="0" w:space="0" w:color="auto"/>
        <w:right w:val="none" w:sz="0" w:space="0" w:color="auto"/>
      </w:divBdr>
    </w:div>
    <w:div w:id="217859131">
      <w:bodyDiv w:val="1"/>
      <w:marLeft w:val="0"/>
      <w:marRight w:val="0"/>
      <w:marTop w:val="0"/>
      <w:marBottom w:val="0"/>
      <w:divBdr>
        <w:top w:val="none" w:sz="0" w:space="0" w:color="auto"/>
        <w:left w:val="none" w:sz="0" w:space="0" w:color="auto"/>
        <w:bottom w:val="none" w:sz="0" w:space="0" w:color="auto"/>
        <w:right w:val="none" w:sz="0" w:space="0" w:color="auto"/>
      </w:divBdr>
    </w:div>
    <w:div w:id="218634960">
      <w:bodyDiv w:val="1"/>
      <w:marLeft w:val="0"/>
      <w:marRight w:val="0"/>
      <w:marTop w:val="0"/>
      <w:marBottom w:val="0"/>
      <w:divBdr>
        <w:top w:val="none" w:sz="0" w:space="0" w:color="auto"/>
        <w:left w:val="none" w:sz="0" w:space="0" w:color="auto"/>
        <w:bottom w:val="none" w:sz="0" w:space="0" w:color="auto"/>
        <w:right w:val="none" w:sz="0" w:space="0" w:color="auto"/>
      </w:divBdr>
    </w:div>
    <w:div w:id="218909053">
      <w:bodyDiv w:val="1"/>
      <w:marLeft w:val="0"/>
      <w:marRight w:val="0"/>
      <w:marTop w:val="0"/>
      <w:marBottom w:val="0"/>
      <w:divBdr>
        <w:top w:val="none" w:sz="0" w:space="0" w:color="auto"/>
        <w:left w:val="none" w:sz="0" w:space="0" w:color="auto"/>
        <w:bottom w:val="none" w:sz="0" w:space="0" w:color="auto"/>
        <w:right w:val="none" w:sz="0" w:space="0" w:color="auto"/>
      </w:divBdr>
    </w:div>
    <w:div w:id="220488338">
      <w:bodyDiv w:val="1"/>
      <w:marLeft w:val="0"/>
      <w:marRight w:val="0"/>
      <w:marTop w:val="0"/>
      <w:marBottom w:val="0"/>
      <w:divBdr>
        <w:top w:val="none" w:sz="0" w:space="0" w:color="auto"/>
        <w:left w:val="none" w:sz="0" w:space="0" w:color="auto"/>
        <w:bottom w:val="none" w:sz="0" w:space="0" w:color="auto"/>
        <w:right w:val="none" w:sz="0" w:space="0" w:color="auto"/>
      </w:divBdr>
    </w:div>
    <w:div w:id="222955218">
      <w:bodyDiv w:val="1"/>
      <w:marLeft w:val="0"/>
      <w:marRight w:val="0"/>
      <w:marTop w:val="0"/>
      <w:marBottom w:val="0"/>
      <w:divBdr>
        <w:top w:val="none" w:sz="0" w:space="0" w:color="auto"/>
        <w:left w:val="none" w:sz="0" w:space="0" w:color="auto"/>
        <w:bottom w:val="none" w:sz="0" w:space="0" w:color="auto"/>
        <w:right w:val="none" w:sz="0" w:space="0" w:color="auto"/>
      </w:divBdr>
    </w:div>
    <w:div w:id="223684711">
      <w:bodyDiv w:val="1"/>
      <w:marLeft w:val="0"/>
      <w:marRight w:val="0"/>
      <w:marTop w:val="0"/>
      <w:marBottom w:val="0"/>
      <w:divBdr>
        <w:top w:val="none" w:sz="0" w:space="0" w:color="auto"/>
        <w:left w:val="none" w:sz="0" w:space="0" w:color="auto"/>
        <w:bottom w:val="none" w:sz="0" w:space="0" w:color="auto"/>
        <w:right w:val="none" w:sz="0" w:space="0" w:color="auto"/>
      </w:divBdr>
    </w:div>
    <w:div w:id="224033181">
      <w:bodyDiv w:val="1"/>
      <w:marLeft w:val="0"/>
      <w:marRight w:val="0"/>
      <w:marTop w:val="0"/>
      <w:marBottom w:val="0"/>
      <w:divBdr>
        <w:top w:val="none" w:sz="0" w:space="0" w:color="auto"/>
        <w:left w:val="none" w:sz="0" w:space="0" w:color="auto"/>
        <w:bottom w:val="none" w:sz="0" w:space="0" w:color="auto"/>
        <w:right w:val="none" w:sz="0" w:space="0" w:color="auto"/>
      </w:divBdr>
    </w:div>
    <w:div w:id="225116611">
      <w:bodyDiv w:val="1"/>
      <w:marLeft w:val="0"/>
      <w:marRight w:val="0"/>
      <w:marTop w:val="0"/>
      <w:marBottom w:val="0"/>
      <w:divBdr>
        <w:top w:val="none" w:sz="0" w:space="0" w:color="auto"/>
        <w:left w:val="none" w:sz="0" w:space="0" w:color="auto"/>
        <w:bottom w:val="none" w:sz="0" w:space="0" w:color="auto"/>
        <w:right w:val="none" w:sz="0" w:space="0" w:color="auto"/>
      </w:divBdr>
    </w:div>
    <w:div w:id="225652628">
      <w:bodyDiv w:val="1"/>
      <w:marLeft w:val="0"/>
      <w:marRight w:val="0"/>
      <w:marTop w:val="0"/>
      <w:marBottom w:val="0"/>
      <w:divBdr>
        <w:top w:val="none" w:sz="0" w:space="0" w:color="auto"/>
        <w:left w:val="none" w:sz="0" w:space="0" w:color="auto"/>
        <w:bottom w:val="none" w:sz="0" w:space="0" w:color="auto"/>
        <w:right w:val="none" w:sz="0" w:space="0" w:color="auto"/>
      </w:divBdr>
    </w:div>
    <w:div w:id="225994526">
      <w:bodyDiv w:val="1"/>
      <w:marLeft w:val="0"/>
      <w:marRight w:val="0"/>
      <w:marTop w:val="0"/>
      <w:marBottom w:val="0"/>
      <w:divBdr>
        <w:top w:val="none" w:sz="0" w:space="0" w:color="auto"/>
        <w:left w:val="none" w:sz="0" w:space="0" w:color="auto"/>
        <w:bottom w:val="none" w:sz="0" w:space="0" w:color="auto"/>
        <w:right w:val="none" w:sz="0" w:space="0" w:color="auto"/>
      </w:divBdr>
    </w:div>
    <w:div w:id="227301924">
      <w:bodyDiv w:val="1"/>
      <w:marLeft w:val="0"/>
      <w:marRight w:val="0"/>
      <w:marTop w:val="0"/>
      <w:marBottom w:val="0"/>
      <w:divBdr>
        <w:top w:val="none" w:sz="0" w:space="0" w:color="auto"/>
        <w:left w:val="none" w:sz="0" w:space="0" w:color="auto"/>
        <w:bottom w:val="none" w:sz="0" w:space="0" w:color="auto"/>
        <w:right w:val="none" w:sz="0" w:space="0" w:color="auto"/>
      </w:divBdr>
    </w:div>
    <w:div w:id="229074950">
      <w:bodyDiv w:val="1"/>
      <w:marLeft w:val="0"/>
      <w:marRight w:val="0"/>
      <w:marTop w:val="0"/>
      <w:marBottom w:val="0"/>
      <w:divBdr>
        <w:top w:val="none" w:sz="0" w:space="0" w:color="auto"/>
        <w:left w:val="none" w:sz="0" w:space="0" w:color="auto"/>
        <w:bottom w:val="none" w:sz="0" w:space="0" w:color="auto"/>
        <w:right w:val="none" w:sz="0" w:space="0" w:color="auto"/>
      </w:divBdr>
    </w:div>
    <w:div w:id="234366310">
      <w:bodyDiv w:val="1"/>
      <w:marLeft w:val="0"/>
      <w:marRight w:val="0"/>
      <w:marTop w:val="0"/>
      <w:marBottom w:val="0"/>
      <w:divBdr>
        <w:top w:val="none" w:sz="0" w:space="0" w:color="auto"/>
        <w:left w:val="none" w:sz="0" w:space="0" w:color="auto"/>
        <w:bottom w:val="none" w:sz="0" w:space="0" w:color="auto"/>
        <w:right w:val="none" w:sz="0" w:space="0" w:color="auto"/>
      </w:divBdr>
    </w:div>
    <w:div w:id="235169393">
      <w:bodyDiv w:val="1"/>
      <w:marLeft w:val="0"/>
      <w:marRight w:val="0"/>
      <w:marTop w:val="0"/>
      <w:marBottom w:val="0"/>
      <w:divBdr>
        <w:top w:val="none" w:sz="0" w:space="0" w:color="auto"/>
        <w:left w:val="none" w:sz="0" w:space="0" w:color="auto"/>
        <w:bottom w:val="none" w:sz="0" w:space="0" w:color="auto"/>
        <w:right w:val="none" w:sz="0" w:space="0" w:color="auto"/>
      </w:divBdr>
    </w:div>
    <w:div w:id="236209046">
      <w:bodyDiv w:val="1"/>
      <w:marLeft w:val="0"/>
      <w:marRight w:val="0"/>
      <w:marTop w:val="0"/>
      <w:marBottom w:val="0"/>
      <w:divBdr>
        <w:top w:val="none" w:sz="0" w:space="0" w:color="auto"/>
        <w:left w:val="none" w:sz="0" w:space="0" w:color="auto"/>
        <w:bottom w:val="none" w:sz="0" w:space="0" w:color="auto"/>
        <w:right w:val="none" w:sz="0" w:space="0" w:color="auto"/>
      </w:divBdr>
    </w:div>
    <w:div w:id="236522666">
      <w:bodyDiv w:val="1"/>
      <w:marLeft w:val="0"/>
      <w:marRight w:val="0"/>
      <w:marTop w:val="0"/>
      <w:marBottom w:val="0"/>
      <w:divBdr>
        <w:top w:val="none" w:sz="0" w:space="0" w:color="auto"/>
        <w:left w:val="none" w:sz="0" w:space="0" w:color="auto"/>
        <w:bottom w:val="none" w:sz="0" w:space="0" w:color="auto"/>
        <w:right w:val="none" w:sz="0" w:space="0" w:color="auto"/>
      </w:divBdr>
    </w:div>
    <w:div w:id="240456655">
      <w:bodyDiv w:val="1"/>
      <w:marLeft w:val="0"/>
      <w:marRight w:val="0"/>
      <w:marTop w:val="0"/>
      <w:marBottom w:val="0"/>
      <w:divBdr>
        <w:top w:val="none" w:sz="0" w:space="0" w:color="auto"/>
        <w:left w:val="none" w:sz="0" w:space="0" w:color="auto"/>
        <w:bottom w:val="none" w:sz="0" w:space="0" w:color="auto"/>
        <w:right w:val="none" w:sz="0" w:space="0" w:color="auto"/>
      </w:divBdr>
    </w:div>
    <w:div w:id="241065874">
      <w:bodyDiv w:val="1"/>
      <w:marLeft w:val="0"/>
      <w:marRight w:val="0"/>
      <w:marTop w:val="0"/>
      <w:marBottom w:val="0"/>
      <w:divBdr>
        <w:top w:val="none" w:sz="0" w:space="0" w:color="auto"/>
        <w:left w:val="none" w:sz="0" w:space="0" w:color="auto"/>
        <w:bottom w:val="none" w:sz="0" w:space="0" w:color="auto"/>
        <w:right w:val="none" w:sz="0" w:space="0" w:color="auto"/>
      </w:divBdr>
    </w:div>
    <w:div w:id="242765510">
      <w:bodyDiv w:val="1"/>
      <w:marLeft w:val="0"/>
      <w:marRight w:val="0"/>
      <w:marTop w:val="0"/>
      <w:marBottom w:val="0"/>
      <w:divBdr>
        <w:top w:val="none" w:sz="0" w:space="0" w:color="auto"/>
        <w:left w:val="none" w:sz="0" w:space="0" w:color="auto"/>
        <w:bottom w:val="none" w:sz="0" w:space="0" w:color="auto"/>
        <w:right w:val="none" w:sz="0" w:space="0" w:color="auto"/>
      </w:divBdr>
    </w:div>
    <w:div w:id="244414091">
      <w:bodyDiv w:val="1"/>
      <w:marLeft w:val="0"/>
      <w:marRight w:val="0"/>
      <w:marTop w:val="0"/>
      <w:marBottom w:val="0"/>
      <w:divBdr>
        <w:top w:val="none" w:sz="0" w:space="0" w:color="auto"/>
        <w:left w:val="none" w:sz="0" w:space="0" w:color="auto"/>
        <w:bottom w:val="none" w:sz="0" w:space="0" w:color="auto"/>
        <w:right w:val="none" w:sz="0" w:space="0" w:color="auto"/>
      </w:divBdr>
    </w:div>
    <w:div w:id="245454329">
      <w:bodyDiv w:val="1"/>
      <w:marLeft w:val="0"/>
      <w:marRight w:val="0"/>
      <w:marTop w:val="0"/>
      <w:marBottom w:val="0"/>
      <w:divBdr>
        <w:top w:val="none" w:sz="0" w:space="0" w:color="auto"/>
        <w:left w:val="none" w:sz="0" w:space="0" w:color="auto"/>
        <w:bottom w:val="none" w:sz="0" w:space="0" w:color="auto"/>
        <w:right w:val="none" w:sz="0" w:space="0" w:color="auto"/>
      </w:divBdr>
    </w:div>
    <w:div w:id="245959381">
      <w:bodyDiv w:val="1"/>
      <w:marLeft w:val="0"/>
      <w:marRight w:val="0"/>
      <w:marTop w:val="0"/>
      <w:marBottom w:val="0"/>
      <w:divBdr>
        <w:top w:val="none" w:sz="0" w:space="0" w:color="auto"/>
        <w:left w:val="none" w:sz="0" w:space="0" w:color="auto"/>
        <w:bottom w:val="none" w:sz="0" w:space="0" w:color="auto"/>
        <w:right w:val="none" w:sz="0" w:space="0" w:color="auto"/>
      </w:divBdr>
    </w:div>
    <w:div w:id="246421963">
      <w:bodyDiv w:val="1"/>
      <w:marLeft w:val="0"/>
      <w:marRight w:val="0"/>
      <w:marTop w:val="0"/>
      <w:marBottom w:val="0"/>
      <w:divBdr>
        <w:top w:val="none" w:sz="0" w:space="0" w:color="auto"/>
        <w:left w:val="none" w:sz="0" w:space="0" w:color="auto"/>
        <w:bottom w:val="none" w:sz="0" w:space="0" w:color="auto"/>
        <w:right w:val="none" w:sz="0" w:space="0" w:color="auto"/>
      </w:divBdr>
    </w:div>
    <w:div w:id="248782817">
      <w:bodyDiv w:val="1"/>
      <w:marLeft w:val="0"/>
      <w:marRight w:val="0"/>
      <w:marTop w:val="0"/>
      <w:marBottom w:val="0"/>
      <w:divBdr>
        <w:top w:val="none" w:sz="0" w:space="0" w:color="auto"/>
        <w:left w:val="none" w:sz="0" w:space="0" w:color="auto"/>
        <w:bottom w:val="none" w:sz="0" w:space="0" w:color="auto"/>
        <w:right w:val="none" w:sz="0" w:space="0" w:color="auto"/>
      </w:divBdr>
    </w:div>
    <w:div w:id="250162018">
      <w:bodyDiv w:val="1"/>
      <w:marLeft w:val="0"/>
      <w:marRight w:val="0"/>
      <w:marTop w:val="0"/>
      <w:marBottom w:val="0"/>
      <w:divBdr>
        <w:top w:val="none" w:sz="0" w:space="0" w:color="auto"/>
        <w:left w:val="none" w:sz="0" w:space="0" w:color="auto"/>
        <w:bottom w:val="none" w:sz="0" w:space="0" w:color="auto"/>
        <w:right w:val="none" w:sz="0" w:space="0" w:color="auto"/>
      </w:divBdr>
    </w:div>
    <w:div w:id="251746806">
      <w:bodyDiv w:val="1"/>
      <w:marLeft w:val="0"/>
      <w:marRight w:val="0"/>
      <w:marTop w:val="0"/>
      <w:marBottom w:val="0"/>
      <w:divBdr>
        <w:top w:val="none" w:sz="0" w:space="0" w:color="auto"/>
        <w:left w:val="none" w:sz="0" w:space="0" w:color="auto"/>
        <w:bottom w:val="none" w:sz="0" w:space="0" w:color="auto"/>
        <w:right w:val="none" w:sz="0" w:space="0" w:color="auto"/>
      </w:divBdr>
    </w:div>
    <w:div w:id="252054185">
      <w:bodyDiv w:val="1"/>
      <w:marLeft w:val="0"/>
      <w:marRight w:val="0"/>
      <w:marTop w:val="0"/>
      <w:marBottom w:val="0"/>
      <w:divBdr>
        <w:top w:val="none" w:sz="0" w:space="0" w:color="auto"/>
        <w:left w:val="none" w:sz="0" w:space="0" w:color="auto"/>
        <w:bottom w:val="none" w:sz="0" w:space="0" w:color="auto"/>
        <w:right w:val="none" w:sz="0" w:space="0" w:color="auto"/>
      </w:divBdr>
    </w:div>
    <w:div w:id="255751190">
      <w:bodyDiv w:val="1"/>
      <w:marLeft w:val="0"/>
      <w:marRight w:val="0"/>
      <w:marTop w:val="0"/>
      <w:marBottom w:val="0"/>
      <w:divBdr>
        <w:top w:val="none" w:sz="0" w:space="0" w:color="auto"/>
        <w:left w:val="none" w:sz="0" w:space="0" w:color="auto"/>
        <w:bottom w:val="none" w:sz="0" w:space="0" w:color="auto"/>
        <w:right w:val="none" w:sz="0" w:space="0" w:color="auto"/>
      </w:divBdr>
    </w:div>
    <w:div w:id="255867509">
      <w:bodyDiv w:val="1"/>
      <w:marLeft w:val="0"/>
      <w:marRight w:val="0"/>
      <w:marTop w:val="0"/>
      <w:marBottom w:val="0"/>
      <w:divBdr>
        <w:top w:val="none" w:sz="0" w:space="0" w:color="auto"/>
        <w:left w:val="none" w:sz="0" w:space="0" w:color="auto"/>
        <w:bottom w:val="none" w:sz="0" w:space="0" w:color="auto"/>
        <w:right w:val="none" w:sz="0" w:space="0" w:color="auto"/>
      </w:divBdr>
    </w:div>
    <w:div w:id="256524395">
      <w:bodyDiv w:val="1"/>
      <w:marLeft w:val="0"/>
      <w:marRight w:val="0"/>
      <w:marTop w:val="0"/>
      <w:marBottom w:val="0"/>
      <w:divBdr>
        <w:top w:val="none" w:sz="0" w:space="0" w:color="auto"/>
        <w:left w:val="none" w:sz="0" w:space="0" w:color="auto"/>
        <w:bottom w:val="none" w:sz="0" w:space="0" w:color="auto"/>
        <w:right w:val="none" w:sz="0" w:space="0" w:color="auto"/>
      </w:divBdr>
    </w:div>
    <w:div w:id="256982577">
      <w:bodyDiv w:val="1"/>
      <w:marLeft w:val="0"/>
      <w:marRight w:val="0"/>
      <w:marTop w:val="0"/>
      <w:marBottom w:val="0"/>
      <w:divBdr>
        <w:top w:val="none" w:sz="0" w:space="0" w:color="auto"/>
        <w:left w:val="none" w:sz="0" w:space="0" w:color="auto"/>
        <w:bottom w:val="none" w:sz="0" w:space="0" w:color="auto"/>
        <w:right w:val="none" w:sz="0" w:space="0" w:color="auto"/>
      </w:divBdr>
    </w:div>
    <w:div w:id="257829136">
      <w:bodyDiv w:val="1"/>
      <w:marLeft w:val="0"/>
      <w:marRight w:val="0"/>
      <w:marTop w:val="0"/>
      <w:marBottom w:val="0"/>
      <w:divBdr>
        <w:top w:val="none" w:sz="0" w:space="0" w:color="auto"/>
        <w:left w:val="none" w:sz="0" w:space="0" w:color="auto"/>
        <w:bottom w:val="none" w:sz="0" w:space="0" w:color="auto"/>
        <w:right w:val="none" w:sz="0" w:space="0" w:color="auto"/>
      </w:divBdr>
    </w:div>
    <w:div w:id="260912588">
      <w:bodyDiv w:val="1"/>
      <w:marLeft w:val="0"/>
      <w:marRight w:val="0"/>
      <w:marTop w:val="0"/>
      <w:marBottom w:val="0"/>
      <w:divBdr>
        <w:top w:val="none" w:sz="0" w:space="0" w:color="auto"/>
        <w:left w:val="none" w:sz="0" w:space="0" w:color="auto"/>
        <w:bottom w:val="none" w:sz="0" w:space="0" w:color="auto"/>
        <w:right w:val="none" w:sz="0" w:space="0" w:color="auto"/>
      </w:divBdr>
    </w:div>
    <w:div w:id="261845797">
      <w:bodyDiv w:val="1"/>
      <w:marLeft w:val="0"/>
      <w:marRight w:val="0"/>
      <w:marTop w:val="0"/>
      <w:marBottom w:val="0"/>
      <w:divBdr>
        <w:top w:val="none" w:sz="0" w:space="0" w:color="auto"/>
        <w:left w:val="none" w:sz="0" w:space="0" w:color="auto"/>
        <w:bottom w:val="none" w:sz="0" w:space="0" w:color="auto"/>
        <w:right w:val="none" w:sz="0" w:space="0" w:color="auto"/>
      </w:divBdr>
    </w:div>
    <w:div w:id="263150258">
      <w:bodyDiv w:val="1"/>
      <w:marLeft w:val="0"/>
      <w:marRight w:val="0"/>
      <w:marTop w:val="0"/>
      <w:marBottom w:val="0"/>
      <w:divBdr>
        <w:top w:val="none" w:sz="0" w:space="0" w:color="auto"/>
        <w:left w:val="none" w:sz="0" w:space="0" w:color="auto"/>
        <w:bottom w:val="none" w:sz="0" w:space="0" w:color="auto"/>
        <w:right w:val="none" w:sz="0" w:space="0" w:color="auto"/>
      </w:divBdr>
    </w:div>
    <w:div w:id="264656641">
      <w:bodyDiv w:val="1"/>
      <w:marLeft w:val="0"/>
      <w:marRight w:val="0"/>
      <w:marTop w:val="0"/>
      <w:marBottom w:val="0"/>
      <w:divBdr>
        <w:top w:val="none" w:sz="0" w:space="0" w:color="auto"/>
        <w:left w:val="none" w:sz="0" w:space="0" w:color="auto"/>
        <w:bottom w:val="none" w:sz="0" w:space="0" w:color="auto"/>
        <w:right w:val="none" w:sz="0" w:space="0" w:color="auto"/>
      </w:divBdr>
    </w:div>
    <w:div w:id="266930786">
      <w:bodyDiv w:val="1"/>
      <w:marLeft w:val="0"/>
      <w:marRight w:val="0"/>
      <w:marTop w:val="0"/>
      <w:marBottom w:val="0"/>
      <w:divBdr>
        <w:top w:val="none" w:sz="0" w:space="0" w:color="auto"/>
        <w:left w:val="none" w:sz="0" w:space="0" w:color="auto"/>
        <w:bottom w:val="none" w:sz="0" w:space="0" w:color="auto"/>
        <w:right w:val="none" w:sz="0" w:space="0" w:color="auto"/>
      </w:divBdr>
    </w:div>
    <w:div w:id="268129881">
      <w:bodyDiv w:val="1"/>
      <w:marLeft w:val="0"/>
      <w:marRight w:val="0"/>
      <w:marTop w:val="0"/>
      <w:marBottom w:val="0"/>
      <w:divBdr>
        <w:top w:val="none" w:sz="0" w:space="0" w:color="auto"/>
        <w:left w:val="none" w:sz="0" w:space="0" w:color="auto"/>
        <w:bottom w:val="none" w:sz="0" w:space="0" w:color="auto"/>
        <w:right w:val="none" w:sz="0" w:space="0" w:color="auto"/>
      </w:divBdr>
    </w:div>
    <w:div w:id="268508383">
      <w:bodyDiv w:val="1"/>
      <w:marLeft w:val="0"/>
      <w:marRight w:val="0"/>
      <w:marTop w:val="0"/>
      <w:marBottom w:val="0"/>
      <w:divBdr>
        <w:top w:val="none" w:sz="0" w:space="0" w:color="auto"/>
        <w:left w:val="none" w:sz="0" w:space="0" w:color="auto"/>
        <w:bottom w:val="none" w:sz="0" w:space="0" w:color="auto"/>
        <w:right w:val="none" w:sz="0" w:space="0" w:color="auto"/>
      </w:divBdr>
    </w:div>
    <w:div w:id="270743905">
      <w:bodyDiv w:val="1"/>
      <w:marLeft w:val="0"/>
      <w:marRight w:val="0"/>
      <w:marTop w:val="0"/>
      <w:marBottom w:val="0"/>
      <w:divBdr>
        <w:top w:val="none" w:sz="0" w:space="0" w:color="auto"/>
        <w:left w:val="none" w:sz="0" w:space="0" w:color="auto"/>
        <w:bottom w:val="none" w:sz="0" w:space="0" w:color="auto"/>
        <w:right w:val="none" w:sz="0" w:space="0" w:color="auto"/>
      </w:divBdr>
    </w:div>
    <w:div w:id="272589773">
      <w:bodyDiv w:val="1"/>
      <w:marLeft w:val="0"/>
      <w:marRight w:val="0"/>
      <w:marTop w:val="0"/>
      <w:marBottom w:val="0"/>
      <w:divBdr>
        <w:top w:val="none" w:sz="0" w:space="0" w:color="auto"/>
        <w:left w:val="none" w:sz="0" w:space="0" w:color="auto"/>
        <w:bottom w:val="none" w:sz="0" w:space="0" w:color="auto"/>
        <w:right w:val="none" w:sz="0" w:space="0" w:color="auto"/>
      </w:divBdr>
    </w:div>
    <w:div w:id="273638098">
      <w:bodyDiv w:val="1"/>
      <w:marLeft w:val="0"/>
      <w:marRight w:val="0"/>
      <w:marTop w:val="0"/>
      <w:marBottom w:val="0"/>
      <w:divBdr>
        <w:top w:val="none" w:sz="0" w:space="0" w:color="auto"/>
        <w:left w:val="none" w:sz="0" w:space="0" w:color="auto"/>
        <w:bottom w:val="none" w:sz="0" w:space="0" w:color="auto"/>
        <w:right w:val="none" w:sz="0" w:space="0" w:color="auto"/>
      </w:divBdr>
    </w:div>
    <w:div w:id="273905152">
      <w:bodyDiv w:val="1"/>
      <w:marLeft w:val="0"/>
      <w:marRight w:val="0"/>
      <w:marTop w:val="0"/>
      <w:marBottom w:val="0"/>
      <w:divBdr>
        <w:top w:val="none" w:sz="0" w:space="0" w:color="auto"/>
        <w:left w:val="none" w:sz="0" w:space="0" w:color="auto"/>
        <w:bottom w:val="none" w:sz="0" w:space="0" w:color="auto"/>
        <w:right w:val="none" w:sz="0" w:space="0" w:color="auto"/>
      </w:divBdr>
    </w:div>
    <w:div w:id="274873861">
      <w:bodyDiv w:val="1"/>
      <w:marLeft w:val="0"/>
      <w:marRight w:val="0"/>
      <w:marTop w:val="0"/>
      <w:marBottom w:val="0"/>
      <w:divBdr>
        <w:top w:val="none" w:sz="0" w:space="0" w:color="auto"/>
        <w:left w:val="none" w:sz="0" w:space="0" w:color="auto"/>
        <w:bottom w:val="none" w:sz="0" w:space="0" w:color="auto"/>
        <w:right w:val="none" w:sz="0" w:space="0" w:color="auto"/>
      </w:divBdr>
    </w:div>
    <w:div w:id="275719584">
      <w:bodyDiv w:val="1"/>
      <w:marLeft w:val="0"/>
      <w:marRight w:val="0"/>
      <w:marTop w:val="0"/>
      <w:marBottom w:val="0"/>
      <w:divBdr>
        <w:top w:val="none" w:sz="0" w:space="0" w:color="auto"/>
        <w:left w:val="none" w:sz="0" w:space="0" w:color="auto"/>
        <w:bottom w:val="none" w:sz="0" w:space="0" w:color="auto"/>
        <w:right w:val="none" w:sz="0" w:space="0" w:color="auto"/>
      </w:divBdr>
    </w:div>
    <w:div w:id="276059076">
      <w:bodyDiv w:val="1"/>
      <w:marLeft w:val="0"/>
      <w:marRight w:val="0"/>
      <w:marTop w:val="0"/>
      <w:marBottom w:val="0"/>
      <w:divBdr>
        <w:top w:val="none" w:sz="0" w:space="0" w:color="auto"/>
        <w:left w:val="none" w:sz="0" w:space="0" w:color="auto"/>
        <w:bottom w:val="none" w:sz="0" w:space="0" w:color="auto"/>
        <w:right w:val="none" w:sz="0" w:space="0" w:color="auto"/>
      </w:divBdr>
    </w:div>
    <w:div w:id="280113203">
      <w:bodyDiv w:val="1"/>
      <w:marLeft w:val="0"/>
      <w:marRight w:val="0"/>
      <w:marTop w:val="0"/>
      <w:marBottom w:val="0"/>
      <w:divBdr>
        <w:top w:val="none" w:sz="0" w:space="0" w:color="auto"/>
        <w:left w:val="none" w:sz="0" w:space="0" w:color="auto"/>
        <w:bottom w:val="none" w:sz="0" w:space="0" w:color="auto"/>
        <w:right w:val="none" w:sz="0" w:space="0" w:color="auto"/>
      </w:divBdr>
    </w:div>
    <w:div w:id="282001647">
      <w:bodyDiv w:val="1"/>
      <w:marLeft w:val="0"/>
      <w:marRight w:val="0"/>
      <w:marTop w:val="0"/>
      <w:marBottom w:val="0"/>
      <w:divBdr>
        <w:top w:val="none" w:sz="0" w:space="0" w:color="auto"/>
        <w:left w:val="none" w:sz="0" w:space="0" w:color="auto"/>
        <w:bottom w:val="none" w:sz="0" w:space="0" w:color="auto"/>
        <w:right w:val="none" w:sz="0" w:space="0" w:color="auto"/>
      </w:divBdr>
    </w:div>
    <w:div w:id="282804719">
      <w:bodyDiv w:val="1"/>
      <w:marLeft w:val="0"/>
      <w:marRight w:val="0"/>
      <w:marTop w:val="0"/>
      <w:marBottom w:val="0"/>
      <w:divBdr>
        <w:top w:val="none" w:sz="0" w:space="0" w:color="auto"/>
        <w:left w:val="none" w:sz="0" w:space="0" w:color="auto"/>
        <w:bottom w:val="none" w:sz="0" w:space="0" w:color="auto"/>
        <w:right w:val="none" w:sz="0" w:space="0" w:color="auto"/>
      </w:divBdr>
    </w:div>
    <w:div w:id="284849421">
      <w:bodyDiv w:val="1"/>
      <w:marLeft w:val="0"/>
      <w:marRight w:val="0"/>
      <w:marTop w:val="0"/>
      <w:marBottom w:val="0"/>
      <w:divBdr>
        <w:top w:val="none" w:sz="0" w:space="0" w:color="auto"/>
        <w:left w:val="none" w:sz="0" w:space="0" w:color="auto"/>
        <w:bottom w:val="none" w:sz="0" w:space="0" w:color="auto"/>
        <w:right w:val="none" w:sz="0" w:space="0" w:color="auto"/>
      </w:divBdr>
    </w:div>
    <w:div w:id="286204209">
      <w:bodyDiv w:val="1"/>
      <w:marLeft w:val="0"/>
      <w:marRight w:val="0"/>
      <w:marTop w:val="0"/>
      <w:marBottom w:val="0"/>
      <w:divBdr>
        <w:top w:val="none" w:sz="0" w:space="0" w:color="auto"/>
        <w:left w:val="none" w:sz="0" w:space="0" w:color="auto"/>
        <w:bottom w:val="none" w:sz="0" w:space="0" w:color="auto"/>
        <w:right w:val="none" w:sz="0" w:space="0" w:color="auto"/>
      </w:divBdr>
    </w:div>
    <w:div w:id="286618683">
      <w:bodyDiv w:val="1"/>
      <w:marLeft w:val="0"/>
      <w:marRight w:val="0"/>
      <w:marTop w:val="0"/>
      <w:marBottom w:val="0"/>
      <w:divBdr>
        <w:top w:val="none" w:sz="0" w:space="0" w:color="auto"/>
        <w:left w:val="none" w:sz="0" w:space="0" w:color="auto"/>
        <w:bottom w:val="none" w:sz="0" w:space="0" w:color="auto"/>
        <w:right w:val="none" w:sz="0" w:space="0" w:color="auto"/>
      </w:divBdr>
    </w:div>
    <w:div w:id="288978174">
      <w:bodyDiv w:val="1"/>
      <w:marLeft w:val="0"/>
      <w:marRight w:val="0"/>
      <w:marTop w:val="0"/>
      <w:marBottom w:val="0"/>
      <w:divBdr>
        <w:top w:val="none" w:sz="0" w:space="0" w:color="auto"/>
        <w:left w:val="none" w:sz="0" w:space="0" w:color="auto"/>
        <w:bottom w:val="none" w:sz="0" w:space="0" w:color="auto"/>
        <w:right w:val="none" w:sz="0" w:space="0" w:color="auto"/>
      </w:divBdr>
    </w:div>
    <w:div w:id="289211937">
      <w:bodyDiv w:val="1"/>
      <w:marLeft w:val="0"/>
      <w:marRight w:val="0"/>
      <w:marTop w:val="0"/>
      <w:marBottom w:val="0"/>
      <w:divBdr>
        <w:top w:val="none" w:sz="0" w:space="0" w:color="auto"/>
        <w:left w:val="none" w:sz="0" w:space="0" w:color="auto"/>
        <w:bottom w:val="none" w:sz="0" w:space="0" w:color="auto"/>
        <w:right w:val="none" w:sz="0" w:space="0" w:color="auto"/>
      </w:divBdr>
    </w:div>
    <w:div w:id="291139474">
      <w:bodyDiv w:val="1"/>
      <w:marLeft w:val="0"/>
      <w:marRight w:val="0"/>
      <w:marTop w:val="0"/>
      <w:marBottom w:val="0"/>
      <w:divBdr>
        <w:top w:val="none" w:sz="0" w:space="0" w:color="auto"/>
        <w:left w:val="none" w:sz="0" w:space="0" w:color="auto"/>
        <w:bottom w:val="none" w:sz="0" w:space="0" w:color="auto"/>
        <w:right w:val="none" w:sz="0" w:space="0" w:color="auto"/>
      </w:divBdr>
    </w:div>
    <w:div w:id="293172123">
      <w:bodyDiv w:val="1"/>
      <w:marLeft w:val="0"/>
      <w:marRight w:val="0"/>
      <w:marTop w:val="0"/>
      <w:marBottom w:val="0"/>
      <w:divBdr>
        <w:top w:val="none" w:sz="0" w:space="0" w:color="auto"/>
        <w:left w:val="none" w:sz="0" w:space="0" w:color="auto"/>
        <w:bottom w:val="none" w:sz="0" w:space="0" w:color="auto"/>
        <w:right w:val="none" w:sz="0" w:space="0" w:color="auto"/>
      </w:divBdr>
    </w:div>
    <w:div w:id="294064335">
      <w:bodyDiv w:val="1"/>
      <w:marLeft w:val="0"/>
      <w:marRight w:val="0"/>
      <w:marTop w:val="0"/>
      <w:marBottom w:val="0"/>
      <w:divBdr>
        <w:top w:val="none" w:sz="0" w:space="0" w:color="auto"/>
        <w:left w:val="none" w:sz="0" w:space="0" w:color="auto"/>
        <w:bottom w:val="none" w:sz="0" w:space="0" w:color="auto"/>
        <w:right w:val="none" w:sz="0" w:space="0" w:color="auto"/>
      </w:divBdr>
    </w:div>
    <w:div w:id="295840212">
      <w:bodyDiv w:val="1"/>
      <w:marLeft w:val="0"/>
      <w:marRight w:val="0"/>
      <w:marTop w:val="0"/>
      <w:marBottom w:val="0"/>
      <w:divBdr>
        <w:top w:val="none" w:sz="0" w:space="0" w:color="auto"/>
        <w:left w:val="none" w:sz="0" w:space="0" w:color="auto"/>
        <w:bottom w:val="none" w:sz="0" w:space="0" w:color="auto"/>
        <w:right w:val="none" w:sz="0" w:space="0" w:color="auto"/>
      </w:divBdr>
    </w:div>
    <w:div w:id="300497190">
      <w:bodyDiv w:val="1"/>
      <w:marLeft w:val="0"/>
      <w:marRight w:val="0"/>
      <w:marTop w:val="0"/>
      <w:marBottom w:val="0"/>
      <w:divBdr>
        <w:top w:val="none" w:sz="0" w:space="0" w:color="auto"/>
        <w:left w:val="none" w:sz="0" w:space="0" w:color="auto"/>
        <w:bottom w:val="none" w:sz="0" w:space="0" w:color="auto"/>
        <w:right w:val="none" w:sz="0" w:space="0" w:color="auto"/>
      </w:divBdr>
    </w:div>
    <w:div w:id="301159524">
      <w:bodyDiv w:val="1"/>
      <w:marLeft w:val="0"/>
      <w:marRight w:val="0"/>
      <w:marTop w:val="0"/>
      <w:marBottom w:val="0"/>
      <w:divBdr>
        <w:top w:val="none" w:sz="0" w:space="0" w:color="auto"/>
        <w:left w:val="none" w:sz="0" w:space="0" w:color="auto"/>
        <w:bottom w:val="none" w:sz="0" w:space="0" w:color="auto"/>
        <w:right w:val="none" w:sz="0" w:space="0" w:color="auto"/>
      </w:divBdr>
    </w:div>
    <w:div w:id="304630654">
      <w:bodyDiv w:val="1"/>
      <w:marLeft w:val="0"/>
      <w:marRight w:val="0"/>
      <w:marTop w:val="0"/>
      <w:marBottom w:val="0"/>
      <w:divBdr>
        <w:top w:val="none" w:sz="0" w:space="0" w:color="auto"/>
        <w:left w:val="none" w:sz="0" w:space="0" w:color="auto"/>
        <w:bottom w:val="none" w:sz="0" w:space="0" w:color="auto"/>
        <w:right w:val="none" w:sz="0" w:space="0" w:color="auto"/>
      </w:divBdr>
    </w:div>
    <w:div w:id="306083663">
      <w:bodyDiv w:val="1"/>
      <w:marLeft w:val="0"/>
      <w:marRight w:val="0"/>
      <w:marTop w:val="0"/>
      <w:marBottom w:val="0"/>
      <w:divBdr>
        <w:top w:val="none" w:sz="0" w:space="0" w:color="auto"/>
        <w:left w:val="none" w:sz="0" w:space="0" w:color="auto"/>
        <w:bottom w:val="none" w:sz="0" w:space="0" w:color="auto"/>
        <w:right w:val="none" w:sz="0" w:space="0" w:color="auto"/>
      </w:divBdr>
    </w:div>
    <w:div w:id="306276415">
      <w:bodyDiv w:val="1"/>
      <w:marLeft w:val="0"/>
      <w:marRight w:val="0"/>
      <w:marTop w:val="0"/>
      <w:marBottom w:val="0"/>
      <w:divBdr>
        <w:top w:val="none" w:sz="0" w:space="0" w:color="auto"/>
        <w:left w:val="none" w:sz="0" w:space="0" w:color="auto"/>
        <w:bottom w:val="none" w:sz="0" w:space="0" w:color="auto"/>
        <w:right w:val="none" w:sz="0" w:space="0" w:color="auto"/>
      </w:divBdr>
    </w:div>
    <w:div w:id="307055766">
      <w:bodyDiv w:val="1"/>
      <w:marLeft w:val="0"/>
      <w:marRight w:val="0"/>
      <w:marTop w:val="0"/>
      <w:marBottom w:val="0"/>
      <w:divBdr>
        <w:top w:val="none" w:sz="0" w:space="0" w:color="auto"/>
        <w:left w:val="none" w:sz="0" w:space="0" w:color="auto"/>
        <w:bottom w:val="none" w:sz="0" w:space="0" w:color="auto"/>
        <w:right w:val="none" w:sz="0" w:space="0" w:color="auto"/>
      </w:divBdr>
    </w:div>
    <w:div w:id="308638152">
      <w:bodyDiv w:val="1"/>
      <w:marLeft w:val="0"/>
      <w:marRight w:val="0"/>
      <w:marTop w:val="0"/>
      <w:marBottom w:val="0"/>
      <w:divBdr>
        <w:top w:val="none" w:sz="0" w:space="0" w:color="auto"/>
        <w:left w:val="none" w:sz="0" w:space="0" w:color="auto"/>
        <w:bottom w:val="none" w:sz="0" w:space="0" w:color="auto"/>
        <w:right w:val="none" w:sz="0" w:space="0" w:color="auto"/>
      </w:divBdr>
    </w:div>
    <w:div w:id="309138719">
      <w:bodyDiv w:val="1"/>
      <w:marLeft w:val="0"/>
      <w:marRight w:val="0"/>
      <w:marTop w:val="0"/>
      <w:marBottom w:val="0"/>
      <w:divBdr>
        <w:top w:val="none" w:sz="0" w:space="0" w:color="auto"/>
        <w:left w:val="none" w:sz="0" w:space="0" w:color="auto"/>
        <w:bottom w:val="none" w:sz="0" w:space="0" w:color="auto"/>
        <w:right w:val="none" w:sz="0" w:space="0" w:color="auto"/>
      </w:divBdr>
    </w:div>
    <w:div w:id="309479771">
      <w:bodyDiv w:val="1"/>
      <w:marLeft w:val="0"/>
      <w:marRight w:val="0"/>
      <w:marTop w:val="0"/>
      <w:marBottom w:val="0"/>
      <w:divBdr>
        <w:top w:val="none" w:sz="0" w:space="0" w:color="auto"/>
        <w:left w:val="none" w:sz="0" w:space="0" w:color="auto"/>
        <w:bottom w:val="none" w:sz="0" w:space="0" w:color="auto"/>
        <w:right w:val="none" w:sz="0" w:space="0" w:color="auto"/>
      </w:divBdr>
    </w:div>
    <w:div w:id="309791366">
      <w:bodyDiv w:val="1"/>
      <w:marLeft w:val="0"/>
      <w:marRight w:val="0"/>
      <w:marTop w:val="0"/>
      <w:marBottom w:val="0"/>
      <w:divBdr>
        <w:top w:val="none" w:sz="0" w:space="0" w:color="auto"/>
        <w:left w:val="none" w:sz="0" w:space="0" w:color="auto"/>
        <w:bottom w:val="none" w:sz="0" w:space="0" w:color="auto"/>
        <w:right w:val="none" w:sz="0" w:space="0" w:color="auto"/>
      </w:divBdr>
    </w:div>
    <w:div w:id="310448750">
      <w:bodyDiv w:val="1"/>
      <w:marLeft w:val="0"/>
      <w:marRight w:val="0"/>
      <w:marTop w:val="0"/>
      <w:marBottom w:val="0"/>
      <w:divBdr>
        <w:top w:val="none" w:sz="0" w:space="0" w:color="auto"/>
        <w:left w:val="none" w:sz="0" w:space="0" w:color="auto"/>
        <w:bottom w:val="none" w:sz="0" w:space="0" w:color="auto"/>
        <w:right w:val="none" w:sz="0" w:space="0" w:color="auto"/>
      </w:divBdr>
    </w:div>
    <w:div w:id="310520107">
      <w:bodyDiv w:val="1"/>
      <w:marLeft w:val="0"/>
      <w:marRight w:val="0"/>
      <w:marTop w:val="0"/>
      <w:marBottom w:val="0"/>
      <w:divBdr>
        <w:top w:val="none" w:sz="0" w:space="0" w:color="auto"/>
        <w:left w:val="none" w:sz="0" w:space="0" w:color="auto"/>
        <w:bottom w:val="none" w:sz="0" w:space="0" w:color="auto"/>
        <w:right w:val="none" w:sz="0" w:space="0" w:color="auto"/>
      </w:divBdr>
    </w:div>
    <w:div w:id="310869762">
      <w:bodyDiv w:val="1"/>
      <w:marLeft w:val="0"/>
      <w:marRight w:val="0"/>
      <w:marTop w:val="0"/>
      <w:marBottom w:val="0"/>
      <w:divBdr>
        <w:top w:val="none" w:sz="0" w:space="0" w:color="auto"/>
        <w:left w:val="none" w:sz="0" w:space="0" w:color="auto"/>
        <w:bottom w:val="none" w:sz="0" w:space="0" w:color="auto"/>
        <w:right w:val="none" w:sz="0" w:space="0" w:color="auto"/>
      </w:divBdr>
    </w:div>
    <w:div w:id="314724743">
      <w:bodyDiv w:val="1"/>
      <w:marLeft w:val="0"/>
      <w:marRight w:val="0"/>
      <w:marTop w:val="0"/>
      <w:marBottom w:val="0"/>
      <w:divBdr>
        <w:top w:val="none" w:sz="0" w:space="0" w:color="auto"/>
        <w:left w:val="none" w:sz="0" w:space="0" w:color="auto"/>
        <w:bottom w:val="none" w:sz="0" w:space="0" w:color="auto"/>
        <w:right w:val="none" w:sz="0" w:space="0" w:color="auto"/>
      </w:divBdr>
    </w:div>
    <w:div w:id="318388796">
      <w:bodyDiv w:val="1"/>
      <w:marLeft w:val="0"/>
      <w:marRight w:val="0"/>
      <w:marTop w:val="0"/>
      <w:marBottom w:val="0"/>
      <w:divBdr>
        <w:top w:val="none" w:sz="0" w:space="0" w:color="auto"/>
        <w:left w:val="none" w:sz="0" w:space="0" w:color="auto"/>
        <w:bottom w:val="none" w:sz="0" w:space="0" w:color="auto"/>
        <w:right w:val="none" w:sz="0" w:space="0" w:color="auto"/>
      </w:divBdr>
    </w:div>
    <w:div w:id="318583883">
      <w:bodyDiv w:val="1"/>
      <w:marLeft w:val="0"/>
      <w:marRight w:val="0"/>
      <w:marTop w:val="0"/>
      <w:marBottom w:val="0"/>
      <w:divBdr>
        <w:top w:val="none" w:sz="0" w:space="0" w:color="auto"/>
        <w:left w:val="none" w:sz="0" w:space="0" w:color="auto"/>
        <w:bottom w:val="none" w:sz="0" w:space="0" w:color="auto"/>
        <w:right w:val="none" w:sz="0" w:space="0" w:color="auto"/>
      </w:divBdr>
    </w:div>
    <w:div w:id="320502332">
      <w:bodyDiv w:val="1"/>
      <w:marLeft w:val="0"/>
      <w:marRight w:val="0"/>
      <w:marTop w:val="0"/>
      <w:marBottom w:val="0"/>
      <w:divBdr>
        <w:top w:val="none" w:sz="0" w:space="0" w:color="auto"/>
        <w:left w:val="none" w:sz="0" w:space="0" w:color="auto"/>
        <w:bottom w:val="none" w:sz="0" w:space="0" w:color="auto"/>
        <w:right w:val="none" w:sz="0" w:space="0" w:color="auto"/>
      </w:divBdr>
    </w:div>
    <w:div w:id="321202107">
      <w:bodyDiv w:val="1"/>
      <w:marLeft w:val="0"/>
      <w:marRight w:val="0"/>
      <w:marTop w:val="0"/>
      <w:marBottom w:val="0"/>
      <w:divBdr>
        <w:top w:val="none" w:sz="0" w:space="0" w:color="auto"/>
        <w:left w:val="none" w:sz="0" w:space="0" w:color="auto"/>
        <w:bottom w:val="none" w:sz="0" w:space="0" w:color="auto"/>
        <w:right w:val="none" w:sz="0" w:space="0" w:color="auto"/>
      </w:divBdr>
    </w:div>
    <w:div w:id="323705210">
      <w:bodyDiv w:val="1"/>
      <w:marLeft w:val="0"/>
      <w:marRight w:val="0"/>
      <w:marTop w:val="0"/>
      <w:marBottom w:val="0"/>
      <w:divBdr>
        <w:top w:val="none" w:sz="0" w:space="0" w:color="auto"/>
        <w:left w:val="none" w:sz="0" w:space="0" w:color="auto"/>
        <w:bottom w:val="none" w:sz="0" w:space="0" w:color="auto"/>
        <w:right w:val="none" w:sz="0" w:space="0" w:color="auto"/>
      </w:divBdr>
    </w:div>
    <w:div w:id="324670586">
      <w:bodyDiv w:val="1"/>
      <w:marLeft w:val="0"/>
      <w:marRight w:val="0"/>
      <w:marTop w:val="0"/>
      <w:marBottom w:val="0"/>
      <w:divBdr>
        <w:top w:val="none" w:sz="0" w:space="0" w:color="auto"/>
        <w:left w:val="none" w:sz="0" w:space="0" w:color="auto"/>
        <w:bottom w:val="none" w:sz="0" w:space="0" w:color="auto"/>
        <w:right w:val="none" w:sz="0" w:space="0" w:color="auto"/>
      </w:divBdr>
    </w:div>
    <w:div w:id="324750389">
      <w:bodyDiv w:val="1"/>
      <w:marLeft w:val="0"/>
      <w:marRight w:val="0"/>
      <w:marTop w:val="0"/>
      <w:marBottom w:val="0"/>
      <w:divBdr>
        <w:top w:val="none" w:sz="0" w:space="0" w:color="auto"/>
        <w:left w:val="none" w:sz="0" w:space="0" w:color="auto"/>
        <w:bottom w:val="none" w:sz="0" w:space="0" w:color="auto"/>
        <w:right w:val="none" w:sz="0" w:space="0" w:color="auto"/>
      </w:divBdr>
    </w:div>
    <w:div w:id="326443057">
      <w:bodyDiv w:val="1"/>
      <w:marLeft w:val="0"/>
      <w:marRight w:val="0"/>
      <w:marTop w:val="0"/>
      <w:marBottom w:val="0"/>
      <w:divBdr>
        <w:top w:val="none" w:sz="0" w:space="0" w:color="auto"/>
        <w:left w:val="none" w:sz="0" w:space="0" w:color="auto"/>
        <w:bottom w:val="none" w:sz="0" w:space="0" w:color="auto"/>
        <w:right w:val="none" w:sz="0" w:space="0" w:color="auto"/>
      </w:divBdr>
    </w:div>
    <w:div w:id="328336076">
      <w:bodyDiv w:val="1"/>
      <w:marLeft w:val="0"/>
      <w:marRight w:val="0"/>
      <w:marTop w:val="0"/>
      <w:marBottom w:val="0"/>
      <w:divBdr>
        <w:top w:val="none" w:sz="0" w:space="0" w:color="auto"/>
        <w:left w:val="none" w:sz="0" w:space="0" w:color="auto"/>
        <w:bottom w:val="none" w:sz="0" w:space="0" w:color="auto"/>
        <w:right w:val="none" w:sz="0" w:space="0" w:color="auto"/>
      </w:divBdr>
    </w:div>
    <w:div w:id="329064463">
      <w:bodyDiv w:val="1"/>
      <w:marLeft w:val="0"/>
      <w:marRight w:val="0"/>
      <w:marTop w:val="0"/>
      <w:marBottom w:val="0"/>
      <w:divBdr>
        <w:top w:val="none" w:sz="0" w:space="0" w:color="auto"/>
        <w:left w:val="none" w:sz="0" w:space="0" w:color="auto"/>
        <w:bottom w:val="none" w:sz="0" w:space="0" w:color="auto"/>
        <w:right w:val="none" w:sz="0" w:space="0" w:color="auto"/>
      </w:divBdr>
    </w:div>
    <w:div w:id="329213373">
      <w:bodyDiv w:val="1"/>
      <w:marLeft w:val="0"/>
      <w:marRight w:val="0"/>
      <w:marTop w:val="0"/>
      <w:marBottom w:val="0"/>
      <w:divBdr>
        <w:top w:val="none" w:sz="0" w:space="0" w:color="auto"/>
        <w:left w:val="none" w:sz="0" w:space="0" w:color="auto"/>
        <w:bottom w:val="none" w:sz="0" w:space="0" w:color="auto"/>
        <w:right w:val="none" w:sz="0" w:space="0" w:color="auto"/>
      </w:divBdr>
    </w:div>
    <w:div w:id="331104127">
      <w:bodyDiv w:val="1"/>
      <w:marLeft w:val="0"/>
      <w:marRight w:val="0"/>
      <w:marTop w:val="0"/>
      <w:marBottom w:val="0"/>
      <w:divBdr>
        <w:top w:val="none" w:sz="0" w:space="0" w:color="auto"/>
        <w:left w:val="none" w:sz="0" w:space="0" w:color="auto"/>
        <w:bottom w:val="none" w:sz="0" w:space="0" w:color="auto"/>
        <w:right w:val="none" w:sz="0" w:space="0" w:color="auto"/>
      </w:divBdr>
    </w:div>
    <w:div w:id="331613349">
      <w:bodyDiv w:val="1"/>
      <w:marLeft w:val="0"/>
      <w:marRight w:val="0"/>
      <w:marTop w:val="0"/>
      <w:marBottom w:val="0"/>
      <w:divBdr>
        <w:top w:val="none" w:sz="0" w:space="0" w:color="auto"/>
        <w:left w:val="none" w:sz="0" w:space="0" w:color="auto"/>
        <w:bottom w:val="none" w:sz="0" w:space="0" w:color="auto"/>
        <w:right w:val="none" w:sz="0" w:space="0" w:color="auto"/>
      </w:divBdr>
    </w:div>
    <w:div w:id="332026540">
      <w:bodyDiv w:val="1"/>
      <w:marLeft w:val="0"/>
      <w:marRight w:val="0"/>
      <w:marTop w:val="0"/>
      <w:marBottom w:val="0"/>
      <w:divBdr>
        <w:top w:val="none" w:sz="0" w:space="0" w:color="auto"/>
        <w:left w:val="none" w:sz="0" w:space="0" w:color="auto"/>
        <w:bottom w:val="none" w:sz="0" w:space="0" w:color="auto"/>
        <w:right w:val="none" w:sz="0" w:space="0" w:color="auto"/>
      </w:divBdr>
    </w:div>
    <w:div w:id="332805164">
      <w:bodyDiv w:val="1"/>
      <w:marLeft w:val="0"/>
      <w:marRight w:val="0"/>
      <w:marTop w:val="0"/>
      <w:marBottom w:val="0"/>
      <w:divBdr>
        <w:top w:val="none" w:sz="0" w:space="0" w:color="auto"/>
        <w:left w:val="none" w:sz="0" w:space="0" w:color="auto"/>
        <w:bottom w:val="none" w:sz="0" w:space="0" w:color="auto"/>
        <w:right w:val="none" w:sz="0" w:space="0" w:color="auto"/>
      </w:divBdr>
    </w:div>
    <w:div w:id="335379389">
      <w:bodyDiv w:val="1"/>
      <w:marLeft w:val="0"/>
      <w:marRight w:val="0"/>
      <w:marTop w:val="0"/>
      <w:marBottom w:val="0"/>
      <w:divBdr>
        <w:top w:val="none" w:sz="0" w:space="0" w:color="auto"/>
        <w:left w:val="none" w:sz="0" w:space="0" w:color="auto"/>
        <w:bottom w:val="none" w:sz="0" w:space="0" w:color="auto"/>
        <w:right w:val="none" w:sz="0" w:space="0" w:color="auto"/>
      </w:divBdr>
    </w:div>
    <w:div w:id="337654304">
      <w:bodyDiv w:val="1"/>
      <w:marLeft w:val="0"/>
      <w:marRight w:val="0"/>
      <w:marTop w:val="0"/>
      <w:marBottom w:val="0"/>
      <w:divBdr>
        <w:top w:val="none" w:sz="0" w:space="0" w:color="auto"/>
        <w:left w:val="none" w:sz="0" w:space="0" w:color="auto"/>
        <w:bottom w:val="none" w:sz="0" w:space="0" w:color="auto"/>
        <w:right w:val="none" w:sz="0" w:space="0" w:color="auto"/>
      </w:divBdr>
    </w:div>
    <w:div w:id="338655531">
      <w:bodyDiv w:val="1"/>
      <w:marLeft w:val="0"/>
      <w:marRight w:val="0"/>
      <w:marTop w:val="0"/>
      <w:marBottom w:val="0"/>
      <w:divBdr>
        <w:top w:val="none" w:sz="0" w:space="0" w:color="auto"/>
        <w:left w:val="none" w:sz="0" w:space="0" w:color="auto"/>
        <w:bottom w:val="none" w:sz="0" w:space="0" w:color="auto"/>
        <w:right w:val="none" w:sz="0" w:space="0" w:color="auto"/>
      </w:divBdr>
    </w:div>
    <w:div w:id="340400477">
      <w:bodyDiv w:val="1"/>
      <w:marLeft w:val="0"/>
      <w:marRight w:val="0"/>
      <w:marTop w:val="0"/>
      <w:marBottom w:val="0"/>
      <w:divBdr>
        <w:top w:val="none" w:sz="0" w:space="0" w:color="auto"/>
        <w:left w:val="none" w:sz="0" w:space="0" w:color="auto"/>
        <w:bottom w:val="none" w:sz="0" w:space="0" w:color="auto"/>
        <w:right w:val="none" w:sz="0" w:space="0" w:color="auto"/>
      </w:divBdr>
    </w:div>
    <w:div w:id="340931304">
      <w:bodyDiv w:val="1"/>
      <w:marLeft w:val="0"/>
      <w:marRight w:val="0"/>
      <w:marTop w:val="0"/>
      <w:marBottom w:val="0"/>
      <w:divBdr>
        <w:top w:val="none" w:sz="0" w:space="0" w:color="auto"/>
        <w:left w:val="none" w:sz="0" w:space="0" w:color="auto"/>
        <w:bottom w:val="none" w:sz="0" w:space="0" w:color="auto"/>
        <w:right w:val="none" w:sz="0" w:space="0" w:color="auto"/>
      </w:divBdr>
    </w:div>
    <w:div w:id="342978556">
      <w:bodyDiv w:val="1"/>
      <w:marLeft w:val="0"/>
      <w:marRight w:val="0"/>
      <w:marTop w:val="0"/>
      <w:marBottom w:val="0"/>
      <w:divBdr>
        <w:top w:val="none" w:sz="0" w:space="0" w:color="auto"/>
        <w:left w:val="none" w:sz="0" w:space="0" w:color="auto"/>
        <w:bottom w:val="none" w:sz="0" w:space="0" w:color="auto"/>
        <w:right w:val="none" w:sz="0" w:space="0" w:color="auto"/>
      </w:divBdr>
    </w:div>
    <w:div w:id="347021676">
      <w:bodyDiv w:val="1"/>
      <w:marLeft w:val="0"/>
      <w:marRight w:val="0"/>
      <w:marTop w:val="0"/>
      <w:marBottom w:val="0"/>
      <w:divBdr>
        <w:top w:val="none" w:sz="0" w:space="0" w:color="auto"/>
        <w:left w:val="none" w:sz="0" w:space="0" w:color="auto"/>
        <w:bottom w:val="none" w:sz="0" w:space="0" w:color="auto"/>
        <w:right w:val="none" w:sz="0" w:space="0" w:color="auto"/>
      </w:divBdr>
    </w:div>
    <w:div w:id="347754020">
      <w:bodyDiv w:val="1"/>
      <w:marLeft w:val="0"/>
      <w:marRight w:val="0"/>
      <w:marTop w:val="0"/>
      <w:marBottom w:val="0"/>
      <w:divBdr>
        <w:top w:val="none" w:sz="0" w:space="0" w:color="auto"/>
        <w:left w:val="none" w:sz="0" w:space="0" w:color="auto"/>
        <w:bottom w:val="none" w:sz="0" w:space="0" w:color="auto"/>
        <w:right w:val="none" w:sz="0" w:space="0" w:color="auto"/>
      </w:divBdr>
    </w:div>
    <w:div w:id="348408371">
      <w:bodyDiv w:val="1"/>
      <w:marLeft w:val="0"/>
      <w:marRight w:val="0"/>
      <w:marTop w:val="0"/>
      <w:marBottom w:val="0"/>
      <w:divBdr>
        <w:top w:val="none" w:sz="0" w:space="0" w:color="auto"/>
        <w:left w:val="none" w:sz="0" w:space="0" w:color="auto"/>
        <w:bottom w:val="none" w:sz="0" w:space="0" w:color="auto"/>
        <w:right w:val="none" w:sz="0" w:space="0" w:color="auto"/>
      </w:divBdr>
    </w:div>
    <w:div w:id="349647857">
      <w:bodyDiv w:val="1"/>
      <w:marLeft w:val="0"/>
      <w:marRight w:val="0"/>
      <w:marTop w:val="0"/>
      <w:marBottom w:val="0"/>
      <w:divBdr>
        <w:top w:val="none" w:sz="0" w:space="0" w:color="auto"/>
        <w:left w:val="none" w:sz="0" w:space="0" w:color="auto"/>
        <w:bottom w:val="none" w:sz="0" w:space="0" w:color="auto"/>
        <w:right w:val="none" w:sz="0" w:space="0" w:color="auto"/>
      </w:divBdr>
    </w:div>
    <w:div w:id="350184348">
      <w:bodyDiv w:val="1"/>
      <w:marLeft w:val="0"/>
      <w:marRight w:val="0"/>
      <w:marTop w:val="0"/>
      <w:marBottom w:val="0"/>
      <w:divBdr>
        <w:top w:val="none" w:sz="0" w:space="0" w:color="auto"/>
        <w:left w:val="none" w:sz="0" w:space="0" w:color="auto"/>
        <w:bottom w:val="none" w:sz="0" w:space="0" w:color="auto"/>
        <w:right w:val="none" w:sz="0" w:space="0" w:color="auto"/>
      </w:divBdr>
    </w:div>
    <w:div w:id="353046021">
      <w:bodyDiv w:val="1"/>
      <w:marLeft w:val="0"/>
      <w:marRight w:val="0"/>
      <w:marTop w:val="0"/>
      <w:marBottom w:val="0"/>
      <w:divBdr>
        <w:top w:val="none" w:sz="0" w:space="0" w:color="auto"/>
        <w:left w:val="none" w:sz="0" w:space="0" w:color="auto"/>
        <w:bottom w:val="none" w:sz="0" w:space="0" w:color="auto"/>
        <w:right w:val="none" w:sz="0" w:space="0" w:color="auto"/>
      </w:divBdr>
    </w:div>
    <w:div w:id="357120471">
      <w:bodyDiv w:val="1"/>
      <w:marLeft w:val="0"/>
      <w:marRight w:val="0"/>
      <w:marTop w:val="0"/>
      <w:marBottom w:val="0"/>
      <w:divBdr>
        <w:top w:val="none" w:sz="0" w:space="0" w:color="auto"/>
        <w:left w:val="none" w:sz="0" w:space="0" w:color="auto"/>
        <w:bottom w:val="none" w:sz="0" w:space="0" w:color="auto"/>
        <w:right w:val="none" w:sz="0" w:space="0" w:color="auto"/>
      </w:divBdr>
    </w:div>
    <w:div w:id="357850258">
      <w:bodyDiv w:val="1"/>
      <w:marLeft w:val="0"/>
      <w:marRight w:val="0"/>
      <w:marTop w:val="0"/>
      <w:marBottom w:val="0"/>
      <w:divBdr>
        <w:top w:val="none" w:sz="0" w:space="0" w:color="auto"/>
        <w:left w:val="none" w:sz="0" w:space="0" w:color="auto"/>
        <w:bottom w:val="none" w:sz="0" w:space="0" w:color="auto"/>
        <w:right w:val="none" w:sz="0" w:space="0" w:color="auto"/>
      </w:divBdr>
    </w:div>
    <w:div w:id="358510116">
      <w:bodyDiv w:val="1"/>
      <w:marLeft w:val="0"/>
      <w:marRight w:val="0"/>
      <w:marTop w:val="0"/>
      <w:marBottom w:val="0"/>
      <w:divBdr>
        <w:top w:val="none" w:sz="0" w:space="0" w:color="auto"/>
        <w:left w:val="none" w:sz="0" w:space="0" w:color="auto"/>
        <w:bottom w:val="none" w:sz="0" w:space="0" w:color="auto"/>
        <w:right w:val="none" w:sz="0" w:space="0" w:color="auto"/>
      </w:divBdr>
    </w:div>
    <w:div w:id="359554770">
      <w:bodyDiv w:val="1"/>
      <w:marLeft w:val="0"/>
      <w:marRight w:val="0"/>
      <w:marTop w:val="0"/>
      <w:marBottom w:val="0"/>
      <w:divBdr>
        <w:top w:val="none" w:sz="0" w:space="0" w:color="auto"/>
        <w:left w:val="none" w:sz="0" w:space="0" w:color="auto"/>
        <w:bottom w:val="none" w:sz="0" w:space="0" w:color="auto"/>
        <w:right w:val="none" w:sz="0" w:space="0" w:color="auto"/>
      </w:divBdr>
    </w:div>
    <w:div w:id="362630224">
      <w:bodyDiv w:val="1"/>
      <w:marLeft w:val="0"/>
      <w:marRight w:val="0"/>
      <w:marTop w:val="0"/>
      <w:marBottom w:val="0"/>
      <w:divBdr>
        <w:top w:val="none" w:sz="0" w:space="0" w:color="auto"/>
        <w:left w:val="none" w:sz="0" w:space="0" w:color="auto"/>
        <w:bottom w:val="none" w:sz="0" w:space="0" w:color="auto"/>
        <w:right w:val="none" w:sz="0" w:space="0" w:color="auto"/>
      </w:divBdr>
    </w:div>
    <w:div w:id="363216752">
      <w:bodyDiv w:val="1"/>
      <w:marLeft w:val="0"/>
      <w:marRight w:val="0"/>
      <w:marTop w:val="0"/>
      <w:marBottom w:val="0"/>
      <w:divBdr>
        <w:top w:val="none" w:sz="0" w:space="0" w:color="auto"/>
        <w:left w:val="none" w:sz="0" w:space="0" w:color="auto"/>
        <w:bottom w:val="none" w:sz="0" w:space="0" w:color="auto"/>
        <w:right w:val="none" w:sz="0" w:space="0" w:color="auto"/>
      </w:divBdr>
    </w:div>
    <w:div w:id="366878000">
      <w:bodyDiv w:val="1"/>
      <w:marLeft w:val="0"/>
      <w:marRight w:val="0"/>
      <w:marTop w:val="0"/>
      <w:marBottom w:val="0"/>
      <w:divBdr>
        <w:top w:val="none" w:sz="0" w:space="0" w:color="auto"/>
        <w:left w:val="none" w:sz="0" w:space="0" w:color="auto"/>
        <w:bottom w:val="none" w:sz="0" w:space="0" w:color="auto"/>
        <w:right w:val="none" w:sz="0" w:space="0" w:color="auto"/>
      </w:divBdr>
    </w:div>
    <w:div w:id="368072778">
      <w:bodyDiv w:val="1"/>
      <w:marLeft w:val="0"/>
      <w:marRight w:val="0"/>
      <w:marTop w:val="0"/>
      <w:marBottom w:val="0"/>
      <w:divBdr>
        <w:top w:val="none" w:sz="0" w:space="0" w:color="auto"/>
        <w:left w:val="none" w:sz="0" w:space="0" w:color="auto"/>
        <w:bottom w:val="none" w:sz="0" w:space="0" w:color="auto"/>
        <w:right w:val="none" w:sz="0" w:space="0" w:color="auto"/>
      </w:divBdr>
    </w:div>
    <w:div w:id="370692436">
      <w:bodyDiv w:val="1"/>
      <w:marLeft w:val="0"/>
      <w:marRight w:val="0"/>
      <w:marTop w:val="0"/>
      <w:marBottom w:val="0"/>
      <w:divBdr>
        <w:top w:val="none" w:sz="0" w:space="0" w:color="auto"/>
        <w:left w:val="none" w:sz="0" w:space="0" w:color="auto"/>
        <w:bottom w:val="none" w:sz="0" w:space="0" w:color="auto"/>
        <w:right w:val="none" w:sz="0" w:space="0" w:color="auto"/>
      </w:divBdr>
    </w:div>
    <w:div w:id="372463648">
      <w:bodyDiv w:val="1"/>
      <w:marLeft w:val="0"/>
      <w:marRight w:val="0"/>
      <w:marTop w:val="0"/>
      <w:marBottom w:val="0"/>
      <w:divBdr>
        <w:top w:val="none" w:sz="0" w:space="0" w:color="auto"/>
        <w:left w:val="none" w:sz="0" w:space="0" w:color="auto"/>
        <w:bottom w:val="none" w:sz="0" w:space="0" w:color="auto"/>
        <w:right w:val="none" w:sz="0" w:space="0" w:color="auto"/>
      </w:divBdr>
    </w:div>
    <w:div w:id="374080927">
      <w:bodyDiv w:val="1"/>
      <w:marLeft w:val="0"/>
      <w:marRight w:val="0"/>
      <w:marTop w:val="0"/>
      <w:marBottom w:val="0"/>
      <w:divBdr>
        <w:top w:val="none" w:sz="0" w:space="0" w:color="auto"/>
        <w:left w:val="none" w:sz="0" w:space="0" w:color="auto"/>
        <w:bottom w:val="none" w:sz="0" w:space="0" w:color="auto"/>
        <w:right w:val="none" w:sz="0" w:space="0" w:color="auto"/>
      </w:divBdr>
    </w:div>
    <w:div w:id="376706136">
      <w:bodyDiv w:val="1"/>
      <w:marLeft w:val="0"/>
      <w:marRight w:val="0"/>
      <w:marTop w:val="0"/>
      <w:marBottom w:val="0"/>
      <w:divBdr>
        <w:top w:val="none" w:sz="0" w:space="0" w:color="auto"/>
        <w:left w:val="none" w:sz="0" w:space="0" w:color="auto"/>
        <w:bottom w:val="none" w:sz="0" w:space="0" w:color="auto"/>
        <w:right w:val="none" w:sz="0" w:space="0" w:color="auto"/>
      </w:divBdr>
    </w:div>
    <w:div w:id="377321949">
      <w:bodyDiv w:val="1"/>
      <w:marLeft w:val="0"/>
      <w:marRight w:val="0"/>
      <w:marTop w:val="0"/>
      <w:marBottom w:val="0"/>
      <w:divBdr>
        <w:top w:val="none" w:sz="0" w:space="0" w:color="auto"/>
        <w:left w:val="none" w:sz="0" w:space="0" w:color="auto"/>
        <w:bottom w:val="none" w:sz="0" w:space="0" w:color="auto"/>
        <w:right w:val="none" w:sz="0" w:space="0" w:color="auto"/>
      </w:divBdr>
    </w:div>
    <w:div w:id="378823679">
      <w:bodyDiv w:val="1"/>
      <w:marLeft w:val="0"/>
      <w:marRight w:val="0"/>
      <w:marTop w:val="0"/>
      <w:marBottom w:val="0"/>
      <w:divBdr>
        <w:top w:val="none" w:sz="0" w:space="0" w:color="auto"/>
        <w:left w:val="none" w:sz="0" w:space="0" w:color="auto"/>
        <w:bottom w:val="none" w:sz="0" w:space="0" w:color="auto"/>
        <w:right w:val="none" w:sz="0" w:space="0" w:color="auto"/>
      </w:divBdr>
    </w:div>
    <w:div w:id="379324093">
      <w:bodyDiv w:val="1"/>
      <w:marLeft w:val="0"/>
      <w:marRight w:val="0"/>
      <w:marTop w:val="0"/>
      <w:marBottom w:val="0"/>
      <w:divBdr>
        <w:top w:val="none" w:sz="0" w:space="0" w:color="auto"/>
        <w:left w:val="none" w:sz="0" w:space="0" w:color="auto"/>
        <w:bottom w:val="none" w:sz="0" w:space="0" w:color="auto"/>
        <w:right w:val="none" w:sz="0" w:space="0" w:color="auto"/>
      </w:divBdr>
    </w:div>
    <w:div w:id="380441620">
      <w:bodyDiv w:val="1"/>
      <w:marLeft w:val="0"/>
      <w:marRight w:val="0"/>
      <w:marTop w:val="0"/>
      <w:marBottom w:val="0"/>
      <w:divBdr>
        <w:top w:val="none" w:sz="0" w:space="0" w:color="auto"/>
        <w:left w:val="none" w:sz="0" w:space="0" w:color="auto"/>
        <w:bottom w:val="none" w:sz="0" w:space="0" w:color="auto"/>
        <w:right w:val="none" w:sz="0" w:space="0" w:color="auto"/>
      </w:divBdr>
    </w:div>
    <w:div w:id="380634701">
      <w:bodyDiv w:val="1"/>
      <w:marLeft w:val="0"/>
      <w:marRight w:val="0"/>
      <w:marTop w:val="0"/>
      <w:marBottom w:val="0"/>
      <w:divBdr>
        <w:top w:val="none" w:sz="0" w:space="0" w:color="auto"/>
        <w:left w:val="none" w:sz="0" w:space="0" w:color="auto"/>
        <w:bottom w:val="none" w:sz="0" w:space="0" w:color="auto"/>
        <w:right w:val="none" w:sz="0" w:space="0" w:color="auto"/>
      </w:divBdr>
    </w:div>
    <w:div w:id="382290525">
      <w:bodyDiv w:val="1"/>
      <w:marLeft w:val="0"/>
      <w:marRight w:val="0"/>
      <w:marTop w:val="0"/>
      <w:marBottom w:val="0"/>
      <w:divBdr>
        <w:top w:val="none" w:sz="0" w:space="0" w:color="auto"/>
        <w:left w:val="none" w:sz="0" w:space="0" w:color="auto"/>
        <w:bottom w:val="none" w:sz="0" w:space="0" w:color="auto"/>
        <w:right w:val="none" w:sz="0" w:space="0" w:color="auto"/>
      </w:divBdr>
    </w:div>
    <w:div w:id="382993806">
      <w:bodyDiv w:val="1"/>
      <w:marLeft w:val="0"/>
      <w:marRight w:val="0"/>
      <w:marTop w:val="0"/>
      <w:marBottom w:val="0"/>
      <w:divBdr>
        <w:top w:val="none" w:sz="0" w:space="0" w:color="auto"/>
        <w:left w:val="none" w:sz="0" w:space="0" w:color="auto"/>
        <w:bottom w:val="none" w:sz="0" w:space="0" w:color="auto"/>
        <w:right w:val="none" w:sz="0" w:space="0" w:color="auto"/>
      </w:divBdr>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3139445">
      <w:bodyDiv w:val="1"/>
      <w:marLeft w:val="0"/>
      <w:marRight w:val="0"/>
      <w:marTop w:val="0"/>
      <w:marBottom w:val="0"/>
      <w:divBdr>
        <w:top w:val="none" w:sz="0" w:space="0" w:color="auto"/>
        <w:left w:val="none" w:sz="0" w:space="0" w:color="auto"/>
        <w:bottom w:val="none" w:sz="0" w:space="0" w:color="auto"/>
        <w:right w:val="none" w:sz="0" w:space="0" w:color="auto"/>
      </w:divBdr>
    </w:div>
    <w:div w:id="384447788">
      <w:bodyDiv w:val="1"/>
      <w:marLeft w:val="0"/>
      <w:marRight w:val="0"/>
      <w:marTop w:val="0"/>
      <w:marBottom w:val="0"/>
      <w:divBdr>
        <w:top w:val="none" w:sz="0" w:space="0" w:color="auto"/>
        <w:left w:val="none" w:sz="0" w:space="0" w:color="auto"/>
        <w:bottom w:val="none" w:sz="0" w:space="0" w:color="auto"/>
        <w:right w:val="none" w:sz="0" w:space="0" w:color="auto"/>
      </w:divBdr>
      <w:divsChild>
        <w:div w:id="1631939949">
          <w:marLeft w:val="0"/>
          <w:marRight w:val="0"/>
          <w:marTop w:val="0"/>
          <w:marBottom w:val="0"/>
          <w:divBdr>
            <w:top w:val="none" w:sz="0" w:space="0" w:color="auto"/>
            <w:left w:val="none" w:sz="0" w:space="0" w:color="auto"/>
            <w:bottom w:val="none" w:sz="0" w:space="0" w:color="auto"/>
            <w:right w:val="none" w:sz="0" w:space="0" w:color="auto"/>
          </w:divBdr>
        </w:div>
      </w:divsChild>
    </w:div>
    <w:div w:id="385643731">
      <w:bodyDiv w:val="1"/>
      <w:marLeft w:val="0"/>
      <w:marRight w:val="0"/>
      <w:marTop w:val="0"/>
      <w:marBottom w:val="0"/>
      <w:divBdr>
        <w:top w:val="none" w:sz="0" w:space="0" w:color="auto"/>
        <w:left w:val="none" w:sz="0" w:space="0" w:color="auto"/>
        <w:bottom w:val="none" w:sz="0" w:space="0" w:color="auto"/>
        <w:right w:val="none" w:sz="0" w:space="0" w:color="auto"/>
      </w:divBdr>
    </w:div>
    <w:div w:id="388847546">
      <w:bodyDiv w:val="1"/>
      <w:marLeft w:val="0"/>
      <w:marRight w:val="0"/>
      <w:marTop w:val="0"/>
      <w:marBottom w:val="0"/>
      <w:divBdr>
        <w:top w:val="none" w:sz="0" w:space="0" w:color="auto"/>
        <w:left w:val="none" w:sz="0" w:space="0" w:color="auto"/>
        <w:bottom w:val="none" w:sz="0" w:space="0" w:color="auto"/>
        <w:right w:val="none" w:sz="0" w:space="0" w:color="auto"/>
      </w:divBdr>
    </w:div>
    <w:div w:id="389109427">
      <w:bodyDiv w:val="1"/>
      <w:marLeft w:val="0"/>
      <w:marRight w:val="0"/>
      <w:marTop w:val="0"/>
      <w:marBottom w:val="0"/>
      <w:divBdr>
        <w:top w:val="none" w:sz="0" w:space="0" w:color="auto"/>
        <w:left w:val="none" w:sz="0" w:space="0" w:color="auto"/>
        <w:bottom w:val="none" w:sz="0" w:space="0" w:color="auto"/>
        <w:right w:val="none" w:sz="0" w:space="0" w:color="auto"/>
      </w:divBdr>
    </w:div>
    <w:div w:id="390155651">
      <w:bodyDiv w:val="1"/>
      <w:marLeft w:val="0"/>
      <w:marRight w:val="0"/>
      <w:marTop w:val="0"/>
      <w:marBottom w:val="0"/>
      <w:divBdr>
        <w:top w:val="none" w:sz="0" w:space="0" w:color="auto"/>
        <w:left w:val="none" w:sz="0" w:space="0" w:color="auto"/>
        <w:bottom w:val="none" w:sz="0" w:space="0" w:color="auto"/>
        <w:right w:val="none" w:sz="0" w:space="0" w:color="auto"/>
      </w:divBdr>
    </w:div>
    <w:div w:id="391121526">
      <w:bodyDiv w:val="1"/>
      <w:marLeft w:val="0"/>
      <w:marRight w:val="0"/>
      <w:marTop w:val="0"/>
      <w:marBottom w:val="0"/>
      <w:divBdr>
        <w:top w:val="none" w:sz="0" w:space="0" w:color="auto"/>
        <w:left w:val="none" w:sz="0" w:space="0" w:color="auto"/>
        <w:bottom w:val="none" w:sz="0" w:space="0" w:color="auto"/>
        <w:right w:val="none" w:sz="0" w:space="0" w:color="auto"/>
      </w:divBdr>
    </w:div>
    <w:div w:id="392780284">
      <w:bodyDiv w:val="1"/>
      <w:marLeft w:val="0"/>
      <w:marRight w:val="0"/>
      <w:marTop w:val="0"/>
      <w:marBottom w:val="0"/>
      <w:divBdr>
        <w:top w:val="none" w:sz="0" w:space="0" w:color="auto"/>
        <w:left w:val="none" w:sz="0" w:space="0" w:color="auto"/>
        <w:bottom w:val="none" w:sz="0" w:space="0" w:color="auto"/>
        <w:right w:val="none" w:sz="0" w:space="0" w:color="auto"/>
      </w:divBdr>
    </w:div>
    <w:div w:id="395980750">
      <w:bodyDiv w:val="1"/>
      <w:marLeft w:val="0"/>
      <w:marRight w:val="0"/>
      <w:marTop w:val="0"/>
      <w:marBottom w:val="0"/>
      <w:divBdr>
        <w:top w:val="none" w:sz="0" w:space="0" w:color="auto"/>
        <w:left w:val="none" w:sz="0" w:space="0" w:color="auto"/>
        <w:bottom w:val="none" w:sz="0" w:space="0" w:color="auto"/>
        <w:right w:val="none" w:sz="0" w:space="0" w:color="auto"/>
      </w:divBdr>
    </w:div>
    <w:div w:id="397215709">
      <w:bodyDiv w:val="1"/>
      <w:marLeft w:val="0"/>
      <w:marRight w:val="0"/>
      <w:marTop w:val="0"/>
      <w:marBottom w:val="0"/>
      <w:divBdr>
        <w:top w:val="none" w:sz="0" w:space="0" w:color="auto"/>
        <w:left w:val="none" w:sz="0" w:space="0" w:color="auto"/>
        <w:bottom w:val="none" w:sz="0" w:space="0" w:color="auto"/>
        <w:right w:val="none" w:sz="0" w:space="0" w:color="auto"/>
      </w:divBdr>
    </w:div>
    <w:div w:id="398089907">
      <w:bodyDiv w:val="1"/>
      <w:marLeft w:val="0"/>
      <w:marRight w:val="0"/>
      <w:marTop w:val="0"/>
      <w:marBottom w:val="0"/>
      <w:divBdr>
        <w:top w:val="none" w:sz="0" w:space="0" w:color="auto"/>
        <w:left w:val="none" w:sz="0" w:space="0" w:color="auto"/>
        <w:bottom w:val="none" w:sz="0" w:space="0" w:color="auto"/>
        <w:right w:val="none" w:sz="0" w:space="0" w:color="auto"/>
      </w:divBdr>
    </w:div>
    <w:div w:id="398554120">
      <w:bodyDiv w:val="1"/>
      <w:marLeft w:val="0"/>
      <w:marRight w:val="0"/>
      <w:marTop w:val="0"/>
      <w:marBottom w:val="0"/>
      <w:divBdr>
        <w:top w:val="none" w:sz="0" w:space="0" w:color="auto"/>
        <w:left w:val="none" w:sz="0" w:space="0" w:color="auto"/>
        <w:bottom w:val="none" w:sz="0" w:space="0" w:color="auto"/>
        <w:right w:val="none" w:sz="0" w:space="0" w:color="auto"/>
      </w:divBdr>
    </w:div>
    <w:div w:id="399257249">
      <w:bodyDiv w:val="1"/>
      <w:marLeft w:val="0"/>
      <w:marRight w:val="0"/>
      <w:marTop w:val="0"/>
      <w:marBottom w:val="0"/>
      <w:divBdr>
        <w:top w:val="none" w:sz="0" w:space="0" w:color="auto"/>
        <w:left w:val="none" w:sz="0" w:space="0" w:color="auto"/>
        <w:bottom w:val="none" w:sz="0" w:space="0" w:color="auto"/>
        <w:right w:val="none" w:sz="0" w:space="0" w:color="auto"/>
      </w:divBdr>
    </w:div>
    <w:div w:id="400449963">
      <w:bodyDiv w:val="1"/>
      <w:marLeft w:val="0"/>
      <w:marRight w:val="0"/>
      <w:marTop w:val="0"/>
      <w:marBottom w:val="0"/>
      <w:divBdr>
        <w:top w:val="none" w:sz="0" w:space="0" w:color="auto"/>
        <w:left w:val="none" w:sz="0" w:space="0" w:color="auto"/>
        <w:bottom w:val="none" w:sz="0" w:space="0" w:color="auto"/>
        <w:right w:val="none" w:sz="0" w:space="0" w:color="auto"/>
      </w:divBdr>
    </w:div>
    <w:div w:id="400639249">
      <w:bodyDiv w:val="1"/>
      <w:marLeft w:val="0"/>
      <w:marRight w:val="0"/>
      <w:marTop w:val="0"/>
      <w:marBottom w:val="0"/>
      <w:divBdr>
        <w:top w:val="none" w:sz="0" w:space="0" w:color="auto"/>
        <w:left w:val="none" w:sz="0" w:space="0" w:color="auto"/>
        <w:bottom w:val="none" w:sz="0" w:space="0" w:color="auto"/>
        <w:right w:val="none" w:sz="0" w:space="0" w:color="auto"/>
      </w:divBdr>
    </w:div>
    <w:div w:id="401291136">
      <w:bodyDiv w:val="1"/>
      <w:marLeft w:val="0"/>
      <w:marRight w:val="0"/>
      <w:marTop w:val="0"/>
      <w:marBottom w:val="0"/>
      <w:divBdr>
        <w:top w:val="none" w:sz="0" w:space="0" w:color="auto"/>
        <w:left w:val="none" w:sz="0" w:space="0" w:color="auto"/>
        <w:bottom w:val="none" w:sz="0" w:space="0" w:color="auto"/>
        <w:right w:val="none" w:sz="0" w:space="0" w:color="auto"/>
      </w:divBdr>
    </w:div>
    <w:div w:id="401561575">
      <w:bodyDiv w:val="1"/>
      <w:marLeft w:val="0"/>
      <w:marRight w:val="0"/>
      <w:marTop w:val="0"/>
      <w:marBottom w:val="0"/>
      <w:divBdr>
        <w:top w:val="none" w:sz="0" w:space="0" w:color="auto"/>
        <w:left w:val="none" w:sz="0" w:space="0" w:color="auto"/>
        <w:bottom w:val="none" w:sz="0" w:space="0" w:color="auto"/>
        <w:right w:val="none" w:sz="0" w:space="0" w:color="auto"/>
      </w:divBdr>
    </w:div>
    <w:div w:id="402610504">
      <w:bodyDiv w:val="1"/>
      <w:marLeft w:val="0"/>
      <w:marRight w:val="0"/>
      <w:marTop w:val="0"/>
      <w:marBottom w:val="0"/>
      <w:divBdr>
        <w:top w:val="none" w:sz="0" w:space="0" w:color="auto"/>
        <w:left w:val="none" w:sz="0" w:space="0" w:color="auto"/>
        <w:bottom w:val="none" w:sz="0" w:space="0" w:color="auto"/>
        <w:right w:val="none" w:sz="0" w:space="0" w:color="auto"/>
      </w:divBdr>
    </w:div>
    <w:div w:id="402993327">
      <w:bodyDiv w:val="1"/>
      <w:marLeft w:val="0"/>
      <w:marRight w:val="0"/>
      <w:marTop w:val="0"/>
      <w:marBottom w:val="0"/>
      <w:divBdr>
        <w:top w:val="none" w:sz="0" w:space="0" w:color="auto"/>
        <w:left w:val="none" w:sz="0" w:space="0" w:color="auto"/>
        <w:bottom w:val="none" w:sz="0" w:space="0" w:color="auto"/>
        <w:right w:val="none" w:sz="0" w:space="0" w:color="auto"/>
      </w:divBdr>
    </w:div>
    <w:div w:id="403727724">
      <w:bodyDiv w:val="1"/>
      <w:marLeft w:val="0"/>
      <w:marRight w:val="0"/>
      <w:marTop w:val="0"/>
      <w:marBottom w:val="0"/>
      <w:divBdr>
        <w:top w:val="none" w:sz="0" w:space="0" w:color="auto"/>
        <w:left w:val="none" w:sz="0" w:space="0" w:color="auto"/>
        <w:bottom w:val="none" w:sz="0" w:space="0" w:color="auto"/>
        <w:right w:val="none" w:sz="0" w:space="0" w:color="auto"/>
      </w:divBdr>
    </w:div>
    <w:div w:id="405690923">
      <w:bodyDiv w:val="1"/>
      <w:marLeft w:val="0"/>
      <w:marRight w:val="0"/>
      <w:marTop w:val="0"/>
      <w:marBottom w:val="0"/>
      <w:divBdr>
        <w:top w:val="none" w:sz="0" w:space="0" w:color="auto"/>
        <w:left w:val="none" w:sz="0" w:space="0" w:color="auto"/>
        <w:bottom w:val="none" w:sz="0" w:space="0" w:color="auto"/>
        <w:right w:val="none" w:sz="0" w:space="0" w:color="auto"/>
      </w:divBdr>
    </w:div>
    <w:div w:id="405880296">
      <w:bodyDiv w:val="1"/>
      <w:marLeft w:val="0"/>
      <w:marRight w:val="0"/>
      <w:marTop w:val="0"/>
      <w:marBottom w:val="0"/>
      <w:divBdr>
        <w:top w:val="none" w:sz="0" w:space="0" w:color="auto"/>
        <w:left w:val="none" w:sz="0" w:space="0" w:color="auto"/>
        <w:bottom w:val="none" w:sz="0" w:space="0" w:color="auto"/>
        <w:right w:val="none" w:sz="0" w:space="0" w:color="auto"/>
      </w:divBdr>
    </w:div>
    <w:div w:id="409738816">
      <w:bodyDiv w:val="1"/>
      <w:marLeft w:val="0"/>
      <w:marRight w:val="0"/>
      <w:marTop w:val="0"/>
      <w:marBottom w:val="0"/>
      <w:divBdr>
        <w:top w:val="none" w:sz="0" w:space="0" w:color="auto"/>
        <w:left w:val="none" w:sz="0" w:space="0" w:color="auto"/>
        <w:bottom w:val="none" w:sz="0" w:space="0" w:color="auto"/>
        <w:right w:val="none" w:sz="0" w:space="0" w:color="auto"/>
      </w:divBdr>
    </w:div>
    <w:div w:id="411122963">
      <w:bodyDiv w:val="1"/>
      <w:marLeft w:val="0"/>
      <w:marRight w:val="0"/>
      <w:marTop w:val="0"/>
      <w:marBottom w:val="0"/>
      <w:divBdr>
        <w:top w:val="none" w:sz="0" w:space="0" w:color="auto"/>
        <w:left w:val="none" w:sz="0" w:space="0" w:color="auto"/>
        <w:bottom w:val="none" w:sz="0" w:space="0" w:color="auto"/>
        <w:right w:val="none" w:sz="0" w:space="0" w:color="auto"/>
      </w:divBdr>
    </w:div>
    <w:div w:id="411704336">
      <w:bodyDiv w:val="1"/>
      <w:marLeft w:val="0"/>
      <w:marRight w:val="0"/>
      <w:marTop w:val="0"/>
      <w:marBottom w:val="0"/>
      <w:divBdr>
        <w:top w:val="none" w:sz="0" w:space="0" w:color="auto"/>
        <w:left w:val="none" w:sz="0" w:space="0" w:color="auto"/>
        <w:bottom w:val="none" w:sz="0" w:space="0" w:color="auto"/>
        <w:right w:val="none" w:sz="0" w:space="0" w:color="auto"/>
      </w:divBdr>
    </w:div>
    <w:div w:id="413665240">
      <w:bodyDiv w:val="1"/>
      <w:marLeft w:val="0"/>
      <w:marRight w:val="0"/>
      <w:marTop w:val="0"/>
      <w:marBottom w:val="0"/>
      <w:divBdr>
        <w:top w:val="none" w:sz="0" w:space="0" w:color="auto"/>
        <w:left w:val="none" w:sz="0" w:space="0" w:color="auto"/>
        <w:bottom w:val="none" w:sz="0" w:space="0" w:color="auto"/>
        <w:right w:val="none" w:sz="0" w:space="0" w:color="auto"/>
      </w:divBdr>
    </w:div>
    <w:div w:id="417555833">
      <w:bodyDiv w:val="1"/>
      <w:marLeft w:val="0"/>
      <w:marRight w:val="0"/>
      <w:marTop w:val="0"/>
      <w:marBottom w:val="0"/>
      <w:divBdr>
        <w:top w:val="none" w:sz="0" w:space="0" w:color="auto"/>
        <w:left w:val="none" w:sz="0" w:space="0" w:color="auto"/>
        <w:bottom w:val="none" w:sz="0" w:space="0" w:color="auto"/>
        <w:right w:val="none" w:sz="0" w:space="0" w:color="auto"/>
      </w:divBdr>
      <w:divsChild>
        <w:div w:id="878005398">
          <w:marLeft w:val="0"/>
          <w:marRight w:val="0"/>
          <w:marTop w:val="0"/>
          <w:marBottom w:val="0"/>
          <w:divBdr>
            <w:top w:val="none" w:sz="0" w:space="0" w:color="auto"/>
            <w:left w:val="none" w:sz="0" w:space="0" w:color="auto"/>
            <w:bottom w:val="none" w:sz="0" w:space="0" w:color="auto"/>
            <w:right w:val="none" w:sz="0" w:space="0" w:color="auto"/>
          </w:divBdr>
        </w:div>
      </w:divsChild>
    </w:div>
    <w:div w:id="418412289">
      <w:bodyDiv w:val="1"/>
      <w:marLeft w:val="0"/>
      <w:marRight w:val="0"/>
      <w:marTop w:val="0"/>
      <w:marBottom w:val="0"/>
      <w:divBdr>
        <w:top w:val="none" w:sz="0" w:space="0" w:color="auto"/>
        <w:left w:val="none" w:sz="0" w:space="0" w:color="auto"/>
        <w:bottom w:val="none" w:sz="0" w:space="0" w:color="auto"/>
        <w:right w:val="none" w:sz="0" w:space="0" w:color="auto"/>
      </w:divBdr>
    </w:div>
    <w:div w:id="419717657">
      <w:bodyDiv w:val="1"/>
      <w:marLeft w:val="0"/>
      <w:marRight w:val="0"/>
      <w:marTop w:val="0"/>
      <w:marBottom w:val="0"/>
      <w:divBdr>
        <w:top w:val="none" w:sz="0" w:space="0" w:color="auto"/>
        <w:left w:val="none" w:sz="0" w:space="0" w:color="auto"/>
        <w:bottom w:val="none" w:sz="0" w:space="0" w:color="auto"/>
        <w:right w:val="none" w:sz="0" w:space="0" w:color="auto"/>
      </w:divBdr>
    </w:div>
    <w:div w:id="419840527">
      <w:bodyDiv w:val="1"/>
      <w:marLeft w:val="0"/>
      <w:marRight w:val="0"/>
      <w:marTop w:val="0"/>
      <w:marBottom w:val="0"/>
      <w:divBdr>
        <w:top w:val="none" w:sz="0" w:space="0" w:color="auto"/>
        <w:left w:val="none" w:sz="0" w:space="0" w:color="auto"/>
        <w:bottom w:val="none" w:sz="0" w:space="0" w:color="auto"/>
        <w:right w:val="none" w:sz="0" w:space="0" w:color="auto"/>
      </w:divBdr>
    </w:div>
    <w:div w:id="420220798">
      <w:bodyDiv w:val="1"/>
      <w:marLeft w:val="0"/>
      <w:marRight w:val="0"/>
      <w:marTop w:val="0"/>
      <w:marBottom w:val="0"/>
      <w:divBdr>
        <w:top w:val="none" w:sz="0" w:space="0" w:color="auto"/>
        <w:left w:val="none" w:sz="0" w:space="0" w:color="auto"/>
        <w:bottom w:val="none" w:sz="0" w:space="0" w:color="auto"/>
        <w:right w:val="none" w:sz="0" w:space="0" w:color="auto"/>
      </w:divBdr>
    </w:div>
    <w:div w:id="420493407">
      <w:bodyDiv w:val="1"/>
      <w:marLeft w:val="0"/>
      <w:marRight w:val="0"/>
      <w:marTop w:val="0"/>
      <w:marBottom w:val="0"/>
      <w:divBdr>
        <w:top w:val="none" w:sz="0" w:space="0" w:color="auto"/>
        <w:left w:val="none" w:sz="0" w:space="0" w:color="auto"/>
        <w:bottom w:val="none" w:sz="0" w:space="0" w:color="auto"/>
        <w:right w:val="none" w:sz="0" w:space="0" w:color="auto"/>
      </w:divBdr>
    </w:div>
    <w:div w:id="421343996">
      <w:bodyDiv w:val="1"/>
      <w:marLeft w:val="0"/>
      <w:marRight w:val="0"/>
      <w:marTop w:val="0"/>
      <w:marBottom w:val="0"/>
      <w:divBdr>
        <w:top w:val="none" w:sz="0" w:space="0" w:color="auto"/>
        <w:left w:val="none" w:sz="0" w:space="0" w:color="auto"/>
        <w:bottom w:val="none" w:sz="0" w:space="0" w:color="auto"/>
        <w:right w:val="none" w:sz="0" w:space="0" w:color="auto"/>
      </w:divBdr>
    </w:div>
    <w:div w:id="422068895">
      <w:bodyDiv w:val="1"/>
      <w:marLeft w:val="0"/>
      <w:marRight w:val="0"/>
      <w:marTop w:val="0"/>
      <w:marBottom w:val="0"/>
      <w:divBdr>
        <w:top w:val="none" w:sz="0" w:space="0" w:color="auto"/>
        <w:left w:val="none" w:sz="0" w:space="0" w:color="auto"/>
        <w:bottom w:val="none" w:sz="0" w:space="0" w:color="auto"/>
        <w:right w:val="none" w:sz="0" w:space="0" w:color="auto"/>
      </w:divBdr>
    </w:div>
    <w:div w:id="422730262">
      <w:bodyDiv w:val="1"/>
      <w:marLeft w:val="0"/>
      <w:marRight w:val="0"/>
      <w:marTop w:val="0"/>
      <w:marBottom w:val="0"/>
      <w:divBdr>
        <w:top w:val="none" w:sz="0" w:space="0" w:color="auto"/>
        <w:left w:val="none" w:sz="0" w:space="0" w:color="auto"/>
        <w:bottom w:val="none" w:sz="0" w:space="0" w:color="auto"/>
        <w:right w:val="none" w:sz="0" w:space="0" w:color="auto"/>
      </w:divBdr>
    </w:div>
    <w:div w:id="425930567">
      <w:bodyDiv w:val="1"/>
      <w:marLeft w:val="0"/>
      <w:marRight w:val="0"/>
      <w:marTop w:val="0"/>
      <w:marBottom w:val="0"/>
      <w:divBdr>
        <w:top w:val="none" w:sz="0" w:space="0" w:color="auto"/>
        <w:left w:val="none" w:sz="0" w:space="0" w:color="auto"/>
        <w:bottom w:val="none" w:sz="0" w:space="0" w:color="auto"/>
        <w:right w:val="none" w:sz="0" w:space="0" w:color="auto"/>
      </w:divBdr>
    </w:div>
    <w:div w:id="426999043">
      <w:bodyDiv w:val="1"/>
      <w:marLeft w:val="0"/>
      <w:marRight w:val="0"/>
      <w:marTop w:val="0"/>
      <w:marBottom w:val="0"/>
      <w:divBdr>
        <w:top w:val="none" w:sz="0" w:space="0" w:color="auto"/>
        <w:left w:val="none" w:sz="0" w:space="0" w:color="auto"/>
        <w:bottom w:val="none" w:sz="0" w:space="0" w:color="auto"/>
        <w:right w:val="none" w:sz="0" w:space="0" w:color="auto"/>
      </w:divBdr>
    </w:div>
    <w:div w:id="430202611">
      <w:bodyDiv w:val="1"/>
      <w:marLeft w:val="0"/>
      <w:marRight w:val="0"/>
      <w:marTop w:val="0"/>
      <w:marBottom w:val="0"/>
      <w:divBdr>
        <w:top w:val="none" w:sz="0" w:space="0" w:color="auto"/>
        <w:left w:val="none" w:sz="0" w:space="0" w:color="auto"/>
        <w:bottom w:val="none" w:sz="0" w:space="0" w:color="auto"/>
        <w:right w:val="none" w:sz="0" w:space="0" w:color="auto"/>
      </w:divBdr>
    </w:div>
    <w:div w:id="431433298">
      <w:bodyDiv w:val="1"/>
      <w:marLeft w:val="0"/>
      <w:marRight w:val="0"/>
      <w:marTop w:val="0"/>
      <w:marBottom w:val="0"/>
      <w:divBdr>
        <w:top w:val="none" w:sz="0" w:space="0" w:color="auto"/>
        <w:left w:val="none" w:sz="0" w:space="0" w:color="auto"/>
        <w:bottom w:val="none" w:sz="0" w:space="0" w:color="auto"/>
        <w:right w:val="none" w:sz="0" w:space="0" w:color="auto"/>
      </w:divBdr>
    </w:div>
    <w:div w:id="431586778">
      <w:bodyDiv w:val="1"/>
      <w:marLeft w:val="0"/>
      <w:marRight w:val="0"/>
      <w:marTop w:val="0"/>
      <w:marBottom w:val="0"/>
      <w:divBdr>
        <w:top w:val="none" w:sz="0" w:space="0" w:color="auto"/>
        <w:left w:val="none" w:sz="0" w:space="0" w:color="auto"/>
        <w:bottom w:val="none" w:sz="0" w:space="0" w:color="auto"/>
        <w:right w:val="none" w:sz="0" w:space="0" w:color="auto"/>
      </w:divBdr>
    </w:div>
    <w:div w:id="432013946">
      <w:bodyDiv w:val="1"/>
      <w:marLeft w:val="0"/>
      <w:marRight w:val="0"/>
      <w:marTop w:val="0"/>
      <w:marBottom w:val="0"/>
      <w:divBdr>
        <w:top w:val="none" w:sz="0" w:space="0" w:color="auto"/>
        <w:left w:val="none" w:sz="0" w:space="0" w:color="auto"/>
        <w:bottom w:val="none" w:sz="0" w:space="0" w:color="auto"/>
        <w:right w:val="none" w:sz="0" w:space="0" w:color="auto"/>
      </w:divBdr>
    </w:div>
    <w:div w:id="433402709">
      <w:bodyDiv w:val="1"/>
      <w:marLeft w:val="0"/>
      <w:marRight w:val="0"/>
      <w:marTop w:val="0"/>
      <w:marBottom w:val="0"/>
      <w:divBdr>
        <w:top w:val="none" w:sz="0" w:space="0" w:color="auto"/>
        <w:left w:val="none" w:sz="0" w:space="0" w:color="auto"/>
        <w:bottom w:val="none" w:sz="0" w:space="0" w:color="auto"/>
        <w:right w:val="none" w:sz="0" w:space="0" w:color="auto"/>
      </w:divBdr>
    </w:div>
    <w:div w:id="433669276">
      <w:bodyDiv w:val="1"/>
      <w:marLeft w:val="0"/>
      <w:marRight w:val="0"/>
      <w:marTop w:val="0"/>
      <w:marBottom w:val="0"/>
      <w:divBdr>
        <w:top w:val="none" w:sz="0" w:space="0" w:color="auto"/>
        <w:left w:val="none" w:sz="0" w:space="0" w:color="auto"/>
        <w:bottom w:val="none" w:sz="0" w:space="0" w:color="auto"/>
        <w:right w:val="none" w:sz="0" w:space="0" w:color="auto"/>
      </w:divBdr>
    </w:div>
    <w:div w:id="433794757">
      <w:bodyDiv w:val="1"/>
      <w:marLeft w:val="0"/>
      <w:marRight w:val="0"/>
      <w:marTop w:val="0"/>
      <w:marBottom w:val="0"/>
      <w:divBdr>
        <w:top w:val="none" w:sz="0" w:space="0" w:color="auto"/>
        <w:left w:val="none" w:sz="0" w:space="0" w:color="auto"/>
        <w:bottom w:val="none" w:sz="0" w:space="0" w:color="auto"/>
        <w:right w:val="none" w:sz="0" w:space="0" w:color="auto"/>
      </w:divBdr>
    </w:div>
    <w:div w:id="438255158">
      <w:bodyDiv w:val="1"/>
      <w:marLeft w:val="0"/>
      <w:marRight w:val="0"/>
      <w:marTop w:val="0"/>
      <w:marBottom w:val="0"/>
      <w:divBdr>
        <w:top w:val="none" w:sz="0" w:space="0" w:color="auto"/>
        <w:left w:val="none" w:sz="0" w:space="0" w:color="auto"/>
        <w:bottom w:val="none" w:sz="0" w:space="0" w:color="auto"/>
        <w:right w:val="none" w:sz="0" w:space="0" w:color="auto"/>
      </w:divBdr>
    </w:div>
    <w:div w:id="442456571">
      <w:bodyDiv w:val="1"/>
      <w:marLeft w:val="0"/>
      <w:marRight w:val="0"/>
      <w:marTop w:val="0"/>
      <w:marBottom w:val="0"/>
      <w:divBdr>
        <w:top w:val="none" w:sz="0" w:space="0" w:color="auto"/>
        <w:left w:val="none" w:sz="0" w:space="0" w:color="auto"/>
        <w:bottom w:val="none" w:sz="0" w:space="0" w:color="auto"/>
        <w:right w:val="none" w:sz="0" w:space="0" w:color="auto"/>
      </w:divBdr>
    </w:div>
    <w:div w:id="442848333">
      <w:bodyDiv w:val="1"/>
      <w:marLeft w:val="0"/>
      <w:marRight w:val="0"/>
      <w:marTop w:val="0"/>
      <w:marBottom w:val="0"/>
      <w:divBdr>
        <w:top w:val="none" w:sz="0" w:space="0" w:color="auto"/>
        <w:left w:val="none" w:sz="0" w:space="0" w:color="auto"/>
        <w:bottom w:val="none" w:sz="0" w:space="0" w:color="auto"/>
        <w:right w:val="none" w:sz="0" w:space="0" w:color="auto"/>
      </w:divBdr>
    </w:div>
    <w:div w:id="445586963">
      <w:bodyDiv w:val="1"/>
      <w:marLeft w:val="0"/>
      <w:marRight w:val="0"/>
      <w:marTop w:val="0"/>
      <w:marBottom w:val="0"/>
      <w:divBdr>
        <w:top w:val="none" w:sz="0" w:space="0" w:color="auto"/>
        <w:left w:val="none" w:sz="0" w:space="0" w:color="auto"/>
        <w:bottom w:val="none" w:sz="0" w:space="0" w:color="auto"/>
        <w:right w:val="none" w:sz="0" w:space="0" w:color="auto"/>
      </w:divBdr>
    </w:div>
    <w:div w:id="446631347">
      <w:bodyDiv w:val="1"/>
      <w:marLeft w:val="0"/>
      <w:marRight w:val="0"/>
      <w:marTop w:val="0"/>
      <w:marBottom w:val="0"/>
      <w:divBdr>
        <w:top w:val="none" w:sz="0" w:space="0" w:color="auto"/>
        <w:left w:val="none" w:sz="0" w:space="0" w:color="auto"/>
        <w:bottom w:val="none" w:sz="0" w:space="0" w:color="auto"/>
        <w:right w:val="none" w:sz="0" w:space="0" w:color="auto"/>
      </w:divBdr>
    </w:div>
    <w:div w:id="447358546">
      <w:bodyDiv w:val="1"/>
      <w:marLeft w:val="0"/>
      <w:marRight w:val="0"/>
      <w:marTop w:val="0"/>
      <w:marBottom w:val="0"/>
      <w:divBdr>
        <w:top w:val="none" w:sz="0" w:space="0" w:color="auto"/>
        <w:left w:val="none" w:sz="0" w:space="0" w:color="auto"/>
        <w:bottom w:val="none" w:sz="0" w:space="0" w:color="auto"/>
        <w:right w:val="none" w:sz="0" w:space="0" w:color="auto"/>
      </w:divBdr>
    </w:div>
    <w:div w:id="447548967">
      <w:bodyDiv w:val="1"/>
      <w:marLeft w:val="0"/>
      <w:marRight w:val="0"/>
      <w:marTop w:val="0"/>
      <w:marBottom w:val="0"/>
      <w:divBdr>
        <w:top w:val="none" w:sz="0" w:space="0" w:color="auto"/>
        <w:left w:val="none" w:sz="0" w:space="0" w:color="auto"/>
        <w:bottom w:val="none" w:sz="0" w:space="0" w:color="auto"/>
        <w:right w:val="none" w:sz="0" w:space="0" w:color="auto"/>
      </w:divBdr>
    </w:div>
    <w:div w:id="448086246">
      <w:bodyDiv w:val="1"/>
      <w:marLeft w:val="0"/>
      <w:marRight w:val="0"/>
      <w:marTop w:val="0"/>
      <w:marBottom w:val="0"/>
      <w:divBdr>
        <w:top w:val="none" w:sz="0" w:space="0" w:color="auto"/>
        <w:left w:val="none" w:sz="0" w:space="0" w:color="auto"/>
        <w:bottom w:val="none" w:sz="0" w:space="0" w:color="auto"/>
        <w:right w:val="none" w:sz="0" w:space="0" w:color="auto"/>
      </w:divBdr>
    </w:div>
    <w:div w:id="448160472">
      <w:bodyDiv w:val="1"/>
      <w:marLeft w:val="0"/>
      <w:marRight w:val="0"/>
      <w:marTop w:val="0"/>
      <w:marBottom w:val="0"/>
      <w:divBdr>
        <w:top w:val="none" w:sz="0" w:space="0" w:color="auto"/>
        <w:left w:val="none" w:sz="0" w:space="0" w:color="auto"/>
        <w:bottom w:val="none" w:sz="0" w:space="0" w:color="auto"/>
        <w:right w:val="none" w:sz="0" w:space="0" w:color="auto"/>
      </w:divBdr>
    </w:div>
    <w:div w:id="450823155">
      <w:bodyDiv w:val="1"/>
      <w:marLeft w:val="0"/>
      <w:marRight w:val="0"/>
      <w:marTop w:val="0"/>
      <w:marBottom w:val="0"/>
      <w:divBdr>
        <w:top w:val="none" w:sz="0" w:space="0" w:color="auto"/>
        <w:left w:val="none" w:sz="0" w:space="0" w:color="auto"/>
        <w:bottom w:val="none" w:sz="0" w:space="0" w:color="auto"/>
        <w:right w:val="none" w:sz="0" w:space="0" w:color="auto"/>
      </w:divBdr>
    </w:div>
    <w:div w:id="451095862">
      <w:bodyDiv w:val="1"/>
      <w:marLeft w:val="0"/>
      <w:marRight w:val="0"/>
      <w:marTop w:val="0"/>
      <w:marBottom w:val="0"/>
      <w:divBdr>
        <w:top w:val="none" w:sz="0" w:space="0" w:color="auto"/>
        <w:left w:val="none" w:sz="0" w:space="0" w:color="auto"/>
        <w:bottom w:val="none" w:sz="0" w:space="0" w:color="auto"/>
        <w:right w:val="none" w:sz="0" w:space="0" w:color="auto"/>
      </w:divBdr>
    </w:div>
    <w:div w:id="453907325">
      <w:bodyDiv w:val="1"/>
      <w:marLeft w:val="0"/>
      <w:marRight w:val="0"/>
      <w:marTop w:val="0"/>
      <w:marBottom w:val="0"/>
      <w:divBdr>
        <w:top w:val="none" w:sz="0" w:space="0" w:color="auto"/>
        <w:left w:val="none" w:sz="0" w:space="0" w:color="auto"/>
        <w:bottom w:val="none" w:sz="0" w:space="0" w:color="auto"/>
        <w:right w:val="none" w:sz="0" w:space="0" w:color="auto"/>
      </w:divBdr>
    </w:div>
    <w:div w:id="455024311">
      <w:bodyDiv w:val="1"/>
      <w:marLeft w:val="0"/>
      <w:marRight w:val="0"/>
      <w:marTop w:val="0"/>
      <w:marBottom w:val="0"/>
      <w:divBdr>
        <w:top w:val="none" w:sz="0" w:space="0" w:color="auto"/>
        <w:left w:val="none" w:sz="0" w:space="0" w:color="auto"/>
        <w:bottom w:val="none" w:sz="0" w:space="0" w:color="auto"/>
        <w:right w:val="none" w:sz="0" w:space="0" w:color="auto"/>
      </w:divBdr>
    </w:div>
    <w:div w:id="456680411">
      <w:bodyDiv w:val="1"/>
      <w:marLeft w:val="0"/>
      <w:marRight w:val="0"/>
      <w:marTop w:val="0"/>
      <w:marBottom w:val="0"/>
      <w:divBdr>
        <w:top w:val="none" w:sz="0" w:space="0" w:color="auto"/>
        <w:left w:val="none" w:sz="0" w:space="0" w:color="auto"/>
        <w:bottom w:val="none" w:sz="0" w:space="0" w:color="auto"/>
        <w:right w:val="none" w:sz="0" w:space="0" w:color="auto"/>
      </w:divBdr>
    </w:div>
    <w:div w:id="457453321">
      <w:bodyDiv w:val="1"/>
      <w:marLeft w:val="0"/>
      <w:marRight w:val="0"/>
      <w:marTop w:val="0"/>
      <w:marBottom w:val="0"/>
      <w:divBdr>
        <w:top w:val="none" w:sz="0" w:space="0" w:color="auto"/>
        <w:left w:val="none" w:sz="0" w:space="0" w:color="auto"/>
        <w:bottom w:val="none" w:sz="0" w:space="0" w:color="auto"/>
        <w:right w:val="none" w:sz="0" w:space="0" w:color="auto"/>
      </w:divBdr>
    </w:div>
    <w:div w:id="458760911">
      <w:bodyDiv w:val="1"/>
      <w:marLeft w:val="0"/>
      <w:marRight w:val="0"/>
      <w:marTop w:val="0"/>
      <w:marBottom w:val="0"/>
      <w:divBdr>
        <w:top w:val="none" w:sz="0" w:space="0" w:color="auto"/>
        <w:left w:val="none" w:sz="0" w:space="0" w:color="auto"/>
        <w:bottom w:val="none" w:sz="0" w:space="0" w:color="auto"/>
        <w:right w:val="none" w:sz="0" w:space="0" w:color="auto"/>
      </w:divBdr>
    </w:div>
    <w:div w:id="463350956">
      <w:bodyDiv w:val="1"/>
      <w:marLeft w:val="0"/>
      <w:marRight w:val="0"/>
      <w:marTop w:val="0"/>
      <w:marBottom w:val="0"/>
      <w:divBdr>
        <w:top w:val="none" w:sz="0" w:space="0" w:color="auto"/>
        <w:left w:val="none" w:sz="0" w:space="0" w:color="auto"/>
        <w:bottom w:val="none" w:sz="0" w:space="0" w:color="auto"/>
        <w:right w:val="none" w:sz="0" w:space="0" w:color="auto"/>
      </w:divBdr>
    </w:div>
    <w:div w:id="465702630">
      <w:bodyDiv w:val="1"/>
      <w:marLeft w:val="0"/>
      <w:marRight w:val="0"/>
      <w:marTop w:val="0"/>
      <w:marBottom w:val="0"/>
      <w:divBdr>
        <w:top w:val="none" w:sz="0" w:space="0" w:color="auto"/>
        <w:left w:val="none" w:sz="0" w:space="0" w:color="auto"/>
        <w:bottom w:val="none" w:sz="0" w:space="0" w:color="auto"/>
        <w:right w:val="none" w:sz="0" w:space="0" w:color="auto"/>
      </w:divBdr>
    </w:div>
    <w:div w:id="465859293">
      <w:bodyDiv w:val="1"/>
      <w:marLeft w:val="0"/>
      <w:marRight w:val="0"/>
      <w:marTop w:val="0"/>
      <w:marBottom w:val="0"/>
      <w:divBdr>
        <w:top w:val="none" w:sz="0" w:space="0" w:color="auto"/>
        <w:left w:val="none" w:sz="0" w:space="0" w:color="auto"/>
        <w:bottom w:val="none" w:sz="0" w:space="0" w:color="auto"/>
        <w:right w:val="none" w:sz="0" w:space="0" w:color="auto"/>
      </w:divBdr>
    </w:div>
    <w:div w:id="466124194">
      <w:bodyDiv w:val="1"/>
      <w:marLeft w:val="0"/>
      <w:marRight w:val="0"/>
      <w:marTop w:val="0"/>
      <w:marBottom w:val="0"/>
      <w:divBdr>
        <w:top w:val="none" w:sz="0" w:space="0" w:color="auto"/>
        <w:left w:val="none" w:sz="0" w:space="0" w:color="auto"/>
        <w:bottom w:val="none" w:sz="0" w:space="0" w:color="auto"/>
        <w:right w:val="none" w:sz="0" w:space="0" w:color="auto"/>
      </w:divBdr>
    </w:div>
    <w:div w:id="470170215">
      <w:bodyDiv w:val="1"/>
      <w:marLeft w:val="0"/>
      <w:marRight w:val="0"/>
      <w:marTop w:val="0"/>
      <w:marBottom w:val="0"/>
      <w:divBdr>
        <w:top w:val="none" w:sz="0" w:space="0" w:color="auto"/>
        <w:left w:val="none" w:sz="0" w:space="0" w:color="auto"/>
        <w:bottom w:val="none" w:sz="0" w:space="0" w:color="auto"/>
        <w:right w:val="none" w:sz="0" w:space="0" w:color="auto"/>
      </w:divBdr>
    </w:div>
    <w:div w:id="471944796">
      <w:bodyDiv w:val="1"/>
      <w:marLeft w:val="0"/>
      <w:marRight w:val="0"/>
      <w:marTop w:val="0"/>
      <w:marBottom w:val="0"/>
      <w:divBdr>
        <w:top w:val="none" w:sz="0" w:space="0" w:color="auto"/>
        <w:left w:val="none" w:sz="0" w:space="0" w:color="auto"/>
        <w:bottom w:val="none" w:sz="0" w:space="0" w:color="auto"/>
        <w:right w:val="none" w:sz="0" w:space="0" w:color="auto"/>
      </w:divBdr>
    </w:div>
    <w:div w:id="471947533">
      <w:bodyDiv w:val="1"/>
      <w:marLeft w:val="0"/>
      <w:marRight w:val="0"/>
      <w:marTop w:val="0"/>
      <w:marBottom w:val="0"/>
      <w:divBdr>
        <w:top w:val="none" w:sz="0" w:space="0" w:color="auto"/>
        <w:left w:val="none" w:sz="0" w:space="0" w:color="auto"/>
        <w:bottom w:val="none" w:sz="0" w:space="0" w:color="auto"/>
        <w:right w:val="none" w:sz="0" w:space="0" w:color="auto"/>
      </w:divBdr>
    </w:div>
    <w:div w:id="472137237">
      <w:bodyDiv w:val="1"/>
      <w:marLeft w:val="0"/>
      <w:marRight w:val="0"/>
      <w:marTop w:val="0"/>
      <w:marBottom w:val="0"/>
      <w:divBdr>
        <w:top w:val="none" w:sz="0" w:space="0" w:color="auto"/>
        <w:left w:val="none" w:sz="0" w:space="0" w:color="auto"/>
        <w:bottom w:val="none" w:sz="0" w:space="0" w:color="auto"/>
        <w:right w:val="none" w:sz="0" w:space="0" w:color="auto"/>
      </w:divBdr>
    </w:div>
    <w:div w:id="472257939">
      <w:bodyDiv w:val="1"/>
      <w:marLeft w:val="0"/>
      <w:marRight w:val="0"/>
      <w:marTop w:val="0"/>
      <w:marBottom w:val="0"/>
      <w:divBdr>
        <w:top w:val="none" w:sz="0" w:space="0" w:color="auto"/>
        <w:left w:val="none" w:sz="0" w:space="0" w:color="auto"/>
        <w:bottom w:val="none" w:sz="0" w:space="0" w:color="auto"/>
        <w:right w:val="none" w:sz="0" w:space="0" w:color="auto"/>
      </w:divBdr>
    </w:div>
    <w:div w:id="472791275">
      <w:bodyDiv w:val="1"/>
      <w:marLeft w:val="0"/>
      <w:marRight w:val="0"/>
      <w:marTop w:val="0"/>
      <w:marBottom w:val="0"/>
      <w:divBdr>
        <w:top w:val="none" w:sz="0" w:space="0" w:color="auto"/>
        <w:left w:val="none" w:sz="0" w:space="0" w:color="auto"/>
        <w:bottom w:val="none" w:sz="0" w:space="0" w:color="auto"/>
        <w:right w:val="none" w:sz="0" w:space="0" w:color="auto"/>
      </w:divBdr>
    </w:div>
    <w:div w:id="475223472">
      <w:bodyDiv w:val="1"/>
      <w:marLeft w:val="0"/>
      <w:marRight w:val="0"/>
      <w:marTop w:val="0"/>
      <w:marBottom w:val="0"/>
      <w:divBdr>
        <w:top w:val="none" w:sz="0" w:space="0" w:color="auto"/>
        <w:left w:val="none" w:sz="0" w:space="0" w:color="auto"/>
        <w:bottom w:val="none" w:sz="0" w:space="0" w:color="auto"/>
        <w:right w:val="none" w:sz="0" w:space="0" w:color="auto"/>
      </w:divBdr>
    </w:div>
    <w:div w:id="476191647">
      <w:bodyDiv w:val="1"/>
      <w:marLeft w:val="0"/>
      <w:marRight w:val="0"/>
      <w:marTop w:val="0"/>
      <w:marBottom w:val="0"/>
      <w:divBdr>
        <w:top w:val="none" w:sz="0" w:space="0" w:color="auto"/>
        <w:left w:val="none" w:sz="0" w:space="0" w:color="auto"/>
        <w:bottom w:val="none" w:sz="0" w:space="0" w:color="auto"/>
        <w:right w:val="none" w:sz="0" w:space="0" w:color="auto"/>
      </w:divBdr>
    </w:div>
    <w:div w:id="478881296">
      <w:bodyDiv w:val="1"/>
      <w:marLeft w:val="0"/>
      <w:marRight w:val="0"/>
      <w:marTop w:val="0"/>
      <w:marBottom w:val="0"/>
      <w:divBdr>
        <w:top w:val="none" w:sz="0" w:space="0" w:color="auto"/>
        <w:left w:val="none" w:sz="0" w:space="0" w:color="auto"/>
        <w:bottom w:val="none" w:sz="0" w:space="0" w:color="auto"/>
        <w:right w:val="none" w:sz="0" w:space="0" w:color="auto"/>
      </w:divBdr>
    </w:div>
    <w:div w:id="483475371">
      <w:bodyDiv w:val="1"/>
      <w:marLeft w:val="0"/>
      <w:marRight w:val="0"/>
      <w:marTop w:val="0"/>
      <w:marBottom w:val="0"/>
      <w:divBdr>
        <w:top w:val="none" w:sz="0" w:space="0" w:color="auto"/>
        <w:left w:val="none" w:sz="0" w:space="0" w:color="auto"/>
        <w:bottom w:val="none" w:sz="0" w:space="0" w:color="auto"/>
        <w:right w:val="none" w:sz="0" w:space="0" w:color="auto"/>
      </w:divBdr>
    </w:div>
    <w:div w:id="486095617">
      <w:bodyDiv w:val="1"/>
      <w:marLeft w:val="0"/>
      <w:marRight w:val="0"/>
      <w:marTop w:val="0"/>
      <w:marBottom w:val="0"/>
      <w:divBdr>
        <w:top w:val="none" w:sz="0" w:space="0" w:color="auto"/>
        <w:left w:val="none" w:sz="0" w:space="0" w:color="auto"/>
        <w:bottom w:val="none" w:sz="0" w:space="0" w:color="auto"/>
        <w:right w:val="none" w:sz="0" w:space="0" w:color="auto"/>
      </w:divBdr>
    </w:div>
    <w:div w:id="487601039">
      <w:bodyDiv w:val="1"/>
      <w:marLeft w:val="0"/>
      <w:marRight w:val="0"/>
      <w:marTop w:val="0"/>
      <w:marBottom w:val="0"/>
      <w:divBdr>
        <w:top w:val="none" w:sz="0" w:space="0" w:color="auto"/>
        <w:left w:val="none" w:sz="0" w:space="0" w:color="auto"/>
        <w:bottom w:val="none" w:sz="0" w:space="0" w:color="auto"/>
        <w:right w:val="none" w:sz="0" w:space="0" w:color="auto"/>
      </w:divBdr>
    </w:div>
    <w:div w:id="490565084">
      <w:bodyDiv w:val="1"/>
      <w:marLeft w:val="0"/>
      <w:marRight w:val="0"/>
      <w:marTop w:val="0"/>
      <w:marBottom w:val="0"/>
      <w:divBdr>
        <w:top w:val="none" w:sz="0" w:space="0" w:color="auto"/>
        <w:left w:val="none" w:sz="0" w:space="0" w:color="auto"/>
        <w:bottom w:val="none" w:sz="0" w:space="0" w:color="auto"/>
        <w:right w:val="none" w:sz="0" w:space="0" w:color="auto"/>
      </w:divBdr>
    </w:div>
    <w:div w:id="492766615">
      <w:bodyDiv w:val="1"/>
      <w:marLeft w:val="0"/>
      <w:marRight w:val="0"/>
      <w:marTop w:val="0"/>
      <w:marBottom w:val="0"/>
      <w:divBdr>
        <w:top w:val="none" w:sz="0" w:space="0" w:color="auto"/>
        <w:left w:val="none" w:sz="0" w:space="0" w:color="auto"/>
        <w:bottom w:val="none" w:sz="0" w:space="0" w:color="auto"/>
        <w:right w:val="none" w:sz="0" w:space="0" w:color="auto"/>
      </w:divBdr>
    </w:div>
    <w:div w:id="494495758">
      <w:bodyDiv w:val="1"/>
      <w:marLeft w:val="0"/>
      <w:marRight w:val="0"/>
      <w:marTop w:val="0"/>
      <w:marBottom w:val="0"/>
      <w:divBdr>
        <w:top w:val="none" w:sz="0" w:space="0" w:color="auto"/>
        <w:left w:val="none" w:sz="0" w:space="0" w:color="auto"/>
        <w:bottom w:val="none" w:sz="0" w:space="0" w:color="auto"/>
        <w:right w:val="none" w:sz="0" w:space="0" w:color="auto"/>
      </w:divBdr>
    </w:div>
    <w:div w:id="495611229">
      <w:bodyDiv w:val="1"/>
      <w:marLeft w:val="0"/>
      <w:marRight w:val="0"/>
      <w:marTop w:val="0"/>
      <w:marBottom w:val="0"/>
      <w:divBdr>
        <w:top w:val="none" w:sz="0" w:space="0" w:color="auto"/>
        <w:left w:val="none" w:sz="0" w:space="0" w:color="auto"/>
        <w:bottom w:val="none" w:sz="0" w:space="0" w:color="auto"/>
        <w:right w:val="none" w:sz="0" w:space="0" w:color="auto"/>
      </w:divBdr>
    </w:div>
    <w:div w:id="496196081">
      <w:bodyDiv w:val="1"/>
      <w:marLeft w:val="0"/>
      <w:marRight w:val="0"/>
      <w:marTop w:val="0"/>
      <w:marBottom w:val="0"/>
      <w:divBdr>
        <w:top w:val="none" w:sz="0" w:space="0" w:color="auto"/>
        <w:left w:val="none" w:sz="0" w:space="0" w:color="auto"/>
        <w:bottom w:val="none" w:sz="0" w:space="0" w:color="auto"/>
        <w:right w:val="none" w:sz="0" w:space="0" w:color="auto"/>
      </w:divBdr>
    </w:div>
    <w:div w:id="497228406">
      <w:bodyDiv w:val="1"/>
      <w:marLeft w:val="0"/>
      <w:marRight w:val="0"/>
      <w:marTop w:val="0"/>
      <w:marBottom w:val="0"/>
      <w:divBdr>
        <w:top w:val="none" w:sz="0" w:space="0" w:color="auto"/>
        <w:left w:val="none" w:sz="0" w:space="0" w:color="auto"/>
        <w:bottom w:val="none" w:sz="0" w:space="0" w:color="auto"/>
        <w:right w:val="none" w:sz="0" w:space="0" w:color="auto"/>
      </w:divBdr>
    </w:div>
    <w:div w:id="500319571">
      <w:bodyDiv w:val="1"/>
      <w:marLeft w:val="0"/>
      <w:marRight w:val="0"/>
      <w:marTop w:val="0"/>
      <w:marBottom w:val="0"/>
      <w:divBdr>
        <w:top w:val="none" w:sz="0" w:space="0" w:color="auto"/>
        <w:left w:val="none" w:sz="0" w:space="0" w:color="auto"/>
        <w:bottom w:val="none" w:sz="0" w:space="0" w:color="auto"/>
        <w:right w:val="none" w:sz="0" w:space="0" w:color="auto"/>
      </w:divBdr>
    </w:div>
    <w:div w:id="501051663">
      <w:bodyDiv w:val="1"/>
      <w:marLeft w:val="0"/>
      <w:marRight w:val="0"/>
      <w:marTop w:val="0"/>
      <w:marBottom w:val="0"/>
      <w:divBdr>
        <w:top w:val="none" w:sz="0" w:space="0" w:color="auto"/>
        <w:left w:val="none" w:sz="0" w:space="0" w:color="auto"/>
        <w:bottom w:val="none" w:sz="0" w:space="0" w:color="auto"/>
        <w:right w:val="none" w:sz="0" w:space="0" w:color="auto"/>
      </w:divBdr>
    </w:div>
    <w:div w:id="501169332">
      <w:bodyDiv w:val="1"/>
      <w:marLeft w:val="0"/>
      <w:marRight w:val="0"/>
      <w:marTop w:val="0"/>
      <w:marBottom w:val="0"/>
      <w:divBdr>
        <w:top w:val="none" w:sz="0" w:space="0" w:color="auto"/>
        <w:left w:val="none" w:sz="0" w:space="0" w:color="auto"/>
        <w:bottom w:val="none" w:sz="0" w:space="0" w:color="auto"/>
        <w:right w:val="none" w:sz="0" w:space="0" w:color="auto"/>
      </w:divBdr>
    </w:div>
    <w:div w:id="502209945">
      <w:bodyDiv w:val="1"/>
      <w:marLeft w:val="0"/>
      <w:marRight w:val="0"/>
      <w:marTop w:val="0"/>
      <w:marBottom w:val="0"/>
      <w:divBdr>
        <w:top w:val="none" w:sz="0" w:space="0" w:color="auto"/>
        <w:left w:val="none" w:sz="0" w:space="0" w:color="auto"/>
        <w:bottom w:val="none" w:sz="0" w:space="0" w:color="auto"/>
        <w:right w:val="none" w:sz="0" w:space="0" w:color="auto"/>
      </w:divBdr>
    </w:div>
    <w:div w:id="504327515">
      <w:bodyDiv w:val="1"/>
      <w:marLeft w:val="0"/>
      <w:marRight w:val="0"/>
      <w:marTop w:val="0"/>
      <w:marBottom w:val="0"/>
      <w:divBdr>
        <w:top w:val="none" w:sz="0" w:space="0" w:color="auto"/>
        <w:left w:val="none" w:sz="0" w:space="0" w:color="auto"/>
        <w:bottom w:val="none" w:sz="0" w:space="0" w:color="auto"/>
        <w:right w:val="none" w:sz="0" w:space="0" w:color="auto"/>
      </w:divBdr>
    </w:div>
    <w:div w:id="508833463">
      <w:bodyDiv w:val="1"/>
      <w:marLeft w:val="0"/>
      <w:marRight w:val="0"/>
      <w:marTop w:val="0"/>
      <w:marBottom w:val="0"/>
      <w:divBdr>
        <w:top w:val="none" w:sz="0" w:space="0" w:color="auto"/>
        <w:left w:val="none" w:sz="0" w:space="0" w:color="auto"/>
        <w:bottom w:val="none" w:sz="0" w:space="0" w:color="auto"/>
        <w:right w:val="none" w:sz="0" w:space="0" w:color="auto"/>
      </w:divBdr>
    </w:div>
    <w:div w:id="511258570">
      <w:bodyDiv w:val="1"/>
      <w:marLeft w:val="0"/>
      <w:marRight w:val="0"/>
      <w:marTop w:val="0"/>
      <w:marBottom w:val="0"/>
      <w:divBdr>
        <w:top w:val="none" w:sz="0" w:space="0" w:color="auto"/>
        <w:left w:val="none" w:sz="0" w:space="0" w:color="auto"/>
        <w:bottom w:val="none" w:sz="0" w:space="0" w:color="auto"/>
        <w:right w:val="none" w:sz="0" w:space="0" w:color="auto"/>
      </w:divBdr>
    </w:div>
    <w:div w:id="511650596">
      <w:bodyDiv w:val="1"/>
      <w:marLeft w:val="0"/>
      <w:marRight w:val="0"/>
      <w:marTop w:val="0"/>
      <w:marBottom w:val="0"/>
      <w:divBdr>
        <w:top w:val="none" w:sz="0" w:space="0" w:color="auto"/>
        <w:left w:val="none" w:sz="0" w:space="0" w:color="auto"/>
        <w:bottom w:val="none" w:sz="0" w:space="0" w:color="auto"/>
        <w:right w:val="none" w:sz="0" w:space="0" w:color="auto"/>
      </w:divBdr>
    </w:div>
    <w:div w:id="514466332">
      <w:bodyDiv w:val="1"/>
      <w:marLeft w:val="0"/>
      <w:marRight w:val="0"/>
      <w:marTop w:val="0"/>
      <w:marBottom w:val="0"/>
      <w:divBdr>
        <w:top w:val="none" w:sz="0" w:space="0" w:color="auto"/>
        <w:left w:val="none" w:sz="0" w:space="0" w:color="auto"/>
        <w:bottom w:val="none" w:sz="0" w:space="0" w:color="auto"/>
        <w:right w:val="none" w:sz="0" w:space="0" w:color="auto"/>
      </w:divBdr>
    </w:div>
    <w:div w:id="515194603">
      <w:bodyDiv w:val="1"/>
      <w:marLeft w:val="0"/>
      <w:marRight w:val="0"/>
      <w:marTop w:val="0"/>
      <w:marBottom w:val="0"/>
      <w:divBdr>
        <w:top w:val="none" w:sz="0" w:space="0" w:color="auto"/>
        <w:left w:val="none" w:sz="0" w:space="0" w:color="auto"/>
        <w:bottom w:val="none" w:sz="0" w:space="0" w:color="auto"/>
        <w:right w:val="none" w:sz="0" w:space="0" w:color="auto"/>
      </w:divBdr>
    </w:div>
    <w:div w:id="517352061">
      <w:bodyDiv w:val="1"/>
      <w:marLeft w:val="0"/>
      <w:marRight w:val="0"/>
      <w:marTop w:val="0"/>
      <w:marBottom w:val="0"/>
      <w:divBdr>
        <w:top w:val="none" w:sz="0" w:space="0" w:color="auto"/>
        <w:left w:val="none" w:sz="0" w:space="0" w:color="auto"/>
        <w:bottom w:val="none" w:sz="0" w:space="0" w:color="auto"/>
        <w:right w:val="none" w:sz="0" w:space="0" w:color="auto"/>
      </w:divBdr>
    </w:div>
    <w:div w:id="517504278">
      <w:bodyDiv w:val="1"/>
      <w:marLeft w:val="0"/>
      <w:marRight w:val="0"/>
      <w:marTop w:val="0"/>
      <w:marBottom w:val="0"/>
      <w:divBdr>
        <w:top w:val="none" w:sz="0" w:space="0" w:color="auto"/>
        <w:left w:val="none" w:sz="0" w:space="0" w:color="auto"/>
        <w:bottom w:val="none" w:sz="0" w:space="0" w:color="auto"/>
        <w:right w:val="none" w:sz="0" w:space="0" w:color="auto"/>
      </w:divBdr>
    </w:div>
    <w:div w:id="521672019">
      <w:bodyDiv w:val="1"/>
      <w:marLeft w:val="0"/>
      <w:marRight w:val="0"/>
      <w:marTop w:val="0"/>
      <w:marBottom w:val="0"/>
      <w:divBdr>
        <w:top w:val="none" w:sz="0" w:space="0" w:color="auto"/>
        <w:left w:val="none" w:sz="0" w:space="0" w:color="auto"/>
        <w:bottom w:val="none" w:sz="0" w:space="0" w:color="auto"/>
        <w:right w:val="none" w:sz="0" w:space="0" w:color="auto"/>
      </w:divBdr>
    </w:div>
    <w:div w:id="528686122">
      <w:bodyDiv w:val="1"/>
      <w:marLeft w:val="0"/>
      <w:marRight w:val="0"/>
      <w:marTop w:val="0"/>
      <w:marBottom w:val="0"/>
      <w:divBdr>
        <w:top w:val="none" w:sz="0" w:space="0" w:color="auto"/>
        <w:left w:val="none" w:sz="0" w:space="0" w:color="auto"/>
        <w:bottom w:val="none" w:sz="0" w:space="0" w:color="auto"/>
        <w:right w:val="none" w:sz="0" w:space="0" w:color="auto"/>
      </w:divBdr>
    </w:div>
    <w:div w:id="534781172">
      <w:bodyDiv w:val="1"/>
      <w:marLeft w:val="0"/>
      <w:marRight w:val="0"/>
      <w:marTop w:val="0"/>
      <w:marBottom w:val="0"/>
      <w:divBdr>
        <w:top w:val="none" w:sz="0" w:space="0" w:color="auto"/>
        <w:left w:val="none" w:sz="0" w:space="0" w:color="auto"/>
        <w:bottom w:val="none" w:sz="0" w:space="0" w:color="auto"/>
        <w:right w:val="none" w:sz="0" w:space="0" w:color="auto"/>
      </w:divBdr>
    </w:div>
    <w:div w:id="536433026">
      <w:bodyDiv w:val="1"/>
      <w:marLeft w:val="0"/>
      <w:marRight w:val="0"/>
      <w:marTop w:val="0"/>
      <w:marBottom w:val="0"/>
      <w:divBdr>
        <w:top w:val="none" w:sz="0" w:space="0" w:color="auto"/>
        <w:left w:val="none" w:sz="0" w:space="0" w:color="auto"/>
        <w:bottom w:val="none" w:sz="0" w:space="0" w:color="auto"/>
        <w:right w:val="none" w:sz="0" w:space="0" w:color="auto"/>
      </w:divBdr>
    </w:div>
    <w:div w:id="539442446">
      <w:bodyDiv w:val="1"/>
      <w:marLeft w:val="0"/>
      <w:marRight w:val="0"/>
      <w:marTop w:val="0"/>
      <w:marBottom w:val="0"/>
      <w:divBdr>
        <w:top w:val="none" w:sz="0" w:space="0" w:color="auto"/>
        <w:left w:val="none" w:sz="0" w:space="0" w:color="auto"/>
        <w:bottom w:val="none" w:sz="0" w:space="0" w:color="auto"/>
        <w:right w:val="none" w:sz="0" w:space="0" w:color="auto"/>
      </w:divBdr>
    </w:div>
    <w:div w:id="539512450">
      <w:bodyDiv w:val="1"/>
      <w:marLeft w:val="0"/>
      <w:marRight w:val="0"/>
      <w:marTop w:val="0"/>
      <w:marBottom w:val="0"/>
      <w:divBdr>
        <w:top w:val="none" w:sz="0" w:space="0" w:color="auto"/>
        <w:left w:val="none" w:sz="0" w:space="0" w:color="auto"/>
        <w:bottom w:val="none" w:sz="0" w:space="0" w:color="auto"/>
        <w:right w:val="none" w:sz="0" w:space="0" w:color="auto"/>
      </w:divBdr>
    </w:div>
    <w:div w:id="542406590">
      <w:bodyDiv w:val="1"/>
      <w:marLeft w:val="0"/>
      <w:marRight w:val="0"/>
      <w:marTop w:val="0"/>
      <w:marBottom w:val="0"/>
      <w:divBdr>
        <w:top w:val="none" w:sz="0" w:space="0" w:color="auto"/>
        <w:left w:val="none" w:sz="0" w:space="0" w:color="auto"/>
        <w:bottom w:val="none" w:sz="0" w:space="0" w:color="auto"/>
        <w:right w:val="none" w:sz="0" w:space="0" w:color="auto"/>
      </w:divBdr>
    </w:div>
    <w:div w:id="543759661">
      <w:bodyDiv w:val="1"/>
      <w:marLeft w:val="0"/>
      <w:marRight w:val="0"/>
      <w:marTop w:val="0"/>
      <w:marBottom w:val="0"/>
      <w:divBdr>
        <w:top w:val="none" w:sz="0" w:space="0" w:color="auto"/>
        <w:left w:val="none" w:sz="0" w:space="0" w:color="auto"/>
        <w:bottom w:val="none" w:sz="0" w:space="0" w:color="auto"/>
        <w:right w:val="none" w:sz="0" w:space="0" w:color="auto"/>
      </w:divBdr>
    </w:div>
    <w:div w:id="544677845">
      <w:bodyDiv w:val="1"/>
      <w:marLeft w:val="0"/>
      <w:marRight w:val="0"/>
      <w:marTop w:val="0"/>
      <w:marBottom w:val="0"/>
      <w:divBdr>
        <w:top w:val="none" w:sz="0" w:space="0" w:color="auto"/>
        <w:left w:val="none" w:sz="0" w:space="0" w:color="auto"/>
        <w:bottom w:val="none" w:sz="0" w:space="0" w:color="auto"/>
        <w:right w:val="none" w:sz="0" w:space="0" w:color="auto"/>
      </w:divBdr>
    </w:div>
    <w:div w:id="546450127">
      <w:bodyDiv w:val="1"/>
      <w:marLeft w:val="0"/>
      <w:marRight w:val="0"/>
      <w:marTop w:val="0"/>
      <w:marBottom w:val="0"/>
      <w:divBdr>
        <w:top w:val="none" w:sz="0" w:space="0" w:color="auto"/>
        <w:left w:val="none" w:sz="0" w:space="0" w:color="auto"/>
        <w:bottom w:val="none" w:sz="0" w:space="0" w:color="auto"/>
        <w:right w:val="none" w:sz="0" w:space="0" w:color="auto"/>
      </w:divBdr>
    </w:div>
    <w:div w:id="546986280">
      <w:bodyDiv w:val="1"/>
      <w:marLeft w:val="0"/>
      <w:marRight w:val="0"/>
      <w:marTop w:val="0"/>
      <w:marBottom w:val="0"/>
      <w:divBdr>
        <w:top w:val="none" w:sz="0" w:space="0" w:color="auto"/>
        <w:left w:val="none" w:sz="0" w:space="0" w:color="auto"/>
        <w:bottom w:val="none" w:sz="0" w:space="0" w:color="auto"/>
        <w:right w:val="none" w:sz="0" w:space="0" w:color="auto"/>
      </w:divBdr>
    </w:div>
    <w:div w:id="550967143">
      <w:bodyDiv w:val="1"/>
      <w:marLeft w:val="0"/>
      <w:marRight w:val="0"/>
      <w:marTop w:val="0"/>
      <w:marBottom w:val="0"/>
      <w:divBdr>
        <w:top w:val="none" w:sz="0" w:space="0" w:color="auto"/>
        <w:left w:val="none" w:sz="0" w:space="0" w:color="auto"/>
        <w:bottom w:val="none" w:sz="0" w:space="0" w:color="auto"/>
        <w:right w:val="none" w:sz="0" w:space="0" w:color="auto"/>
      </w:divBdr>
    </w:div>
    <w:div w:id="552279032">
      <w:bodyDiv w:val="1"/>
      <w:marLeft w:val="0"/>
      <w:marRight w:val="0"/>
      <w:marTop w:val="0"/>
      <w:marBottom w:val="0"/>
      <w:divBdr>
        <w:top w:val="none" w:sz="0" w:space="0" w:color="auto"/>
        <w:left w:val="none" w:sz="0" w:space="0" w:color="auto"/>
        <w:bottom w:val="none" w:sz="0" w:space="0" w:color="auto"/>
        <w:right w:val="none" w:sz="0" w:space="0" w:color="auto"/>
      </w:divBdr>
    </w:div>
    <w:div w:id="552303910">
      <w:bodyDiv w:val="1"/>
      <w:marLeft w:val="0"/>
      <w:marRight w:val="0"/>
      <w:marTop w:val="0"/>
      <w:marBottom w:val="0"/>
      <w:divBdr>
        <w:top w:val="none" w:sz="0" w:space="0" w:color="auto"/>
        <w:left w:val="none" w:sz="0" w:space="0" w:color="auto"/>
        <w:bottom w:val="none" w:sz="0" w:space="0" w:color="auto"/>
        <w:right w:val="none" w:sz="0" w:space="0" w:color="auto"/>
      </w:divBdr>
    </w:div>
    <w:div w:id="552738246">
      <w:bodyDiv w:val="1"/>
      <w:marLeft w:val="0"/>
      <w:marRight w:val="0"/>
      <w:marTop w:val="0"/>
      <w:marBottom w:val="0"/>
      <w:divBdr>
        <w:top w:val="none" w:sz="0" w:space="0" w:color="auto"/>
        <w:left w:val="none" w:sz="0" w:space="0" w:color="auto"/>
        <w:bottom w:val="none" w:sz="0" w:space="0" w:color="auto"/>
        <w:right w:val="none" w:sz="0" w:space="0" w:color="auto"/>
      </w:divBdr>
    </w:div>
    <w:div w:id="552741321">
      <w:bodyDiv w:val="1"/>
      <w:marLeft w:val="0"/>
      <w:marRight w:val="0"/>
      <w:marTop w:val="0"/>
      <w:marBottom w:val="0"/>
      <w:divBdr>
        <w:top w:val="none" w:sz="0" w:space="0" w:color="auto"/>
        <w:left w:val="none" w:sz="0" w:space="0" w:color="auto"/>
        <w:bottom w:val="none" w:sz="0" w:space="0" w:color="auto"/>
        <w:right w:val="none" w:sz="0" w:space="0" w:color="auto"/>
      </w:divBdr>
    </w:div>
    <w:div w:id="554044850">
      <w:bodyDiv w:val="1"/>
      <w:marLeft w:val="0"/>
      <w:marRight w:val="0"/>
      <w:marTop w:val="0"/>
      <w:marBottom w:val="0"/>
      <w:divBdr>
        <w:top w:val="none" w:sz="0" w:space="0" w:color="auto"/>
        <w:left w:val="none" w:sz="0" w:space="0" w:color="auto"/>
        <w:bottom w:val="none" w:sz="0" w:space="0" w:color="auto"/>
        <w:right w:val="none" w:sz="0" w:space="0" w:color="auto"/>
      </w:divBdr>
    </w:div>
    <w:div w:id="554045984">
      <w:bodyDiv w:val="1"/>
      <w:marLeft w:val="0"/>
      <w:marRight w:val="0"/>
      <w:marTop w:val="0"/>
      <w:marBottom w:val="0"/>
      <w:divBdr>
        <w:top w:val="none" w:sz="0" w:space="0" w:color="auto"/>
        <w:left w:val="none" w:sz="0" w:space="0" w:color="auto"/>
        <w:bottom w:val="none" w:sz="0" w:space="0" w:color="auto"/>
        <w:right w:val="none" w:sz="0" w:space="0" w:color="auto"/>
      </w:divBdr>
    </w:div>
    <w:div w:id="554396372">
      <w:bodyDiv w:val="1"/>
      <w:marLeft w:val="0"/>
      <w:marRight w:val="0"/>
      <w:marTop w:val="0"/>
      <w:marBottom w:val="0"/>
      <w:divBdr>
        <w:top w:val="none" w:sz="0" w:space="0" w:color="auto"/>
        <w:left w:val="none" w:sz="0" w:space="0" w:color="auto"/>
        <w:bottom w:val="none" w:sz="0" w:space="0" w:color="auto"/>
        <w:right w:val="none" w:sz="0" w:space="0" w:color="auto"/>
      </w:divBdr>
    </w:div>
    <w:div w:id="555120384">
      <w:bodyDiv w:val="1"/>
      <w:marLeft w:val="0"/>
      <w:marRight w:val="0"/>
      <w:marTop w:val="0"/>
      <w:marBottom w:val="0"/>
      <w:divBdr>
        <w:top w:val="none" w:sz="0" w:space="0" w:color="auto"/>
        <w:left w:val="none" w:sz="0" w:space="0" w:color="auto"/>
        <w:bottom w:val="none" w:sz="0" w:space="0" w:color="auto"/>
        <w:right w:val="none" w:sz="0" w:space="0" w:color="auto"/>
      </w:divBdr>
    </w:div>
    <w:div w:id="555431937">
      <w:bodyDiv w:val="1"/>
      <w:marLeft w:val="0"/>
      <w:marRight w:val="0"/>
      <w:marTop w:val="0"/>
      <w:marBottom w:val="0"/>
      <w:divBdr>
        <w:top w:val="none" w:sz="0" w:space="0" w:color="auto"/>
        <w:left w:val="none" w:sz="0" w:space="0" w:color="auto"/>
        <w:bottom w:val="none" w:sz="0" w:space="0" w:color="auto"/>
        <w:right w:val="none" w:sz="0" w:space="0" w:color="auto"/>
      </w:divBdr>
    </w:div>
    <w:div w:id="555438352">
      <w:bodyDiv w:val="1"/>
      <w:marLeft w:val="0"/>
      <w:marRight w:val="0"/>
      <w:marTop w:val="0"/>
      <w:marBottom w:val="0"/>
      <w:divBdr>
        <w:top w:val="none" w:sz="0" w:space="0" w:color="auto"/>
        <w:left w:val="none" w:sz="0" w:space="0" w:color="auto"/>
        <w:bottom w:val="none" w:sz="0" w:space="0" w:color="auto"/>
        <w:right w:val="none" w:sz="0" w:space="0" w:color="auto"/>
      </w:divBdr>
    </w:div>
    <w:div w:id="558517541">
      <w:bodyDiv w:val="1"/>
      <w:marLeft w:val="0"/>
      <w:marRight w:val="0"/>
      <w:marTop w:val="0"/>
      <w:marBottom w:val="0"/>
      <w:divBdr>
        <w:top w:val="none" w:sz="0" w:space="0" w:color="auto"/>
        <w:left w:val="none" w:sz="0" w:space="0" w:color="auto"/>
        <w:bottom w:val="none" w:sz="0" w:space="0" w:color="auto"/>
        <w:right w:val="none" w:sz="0" w:space="0" w:color="auto"/>
      </w:divBdr>
    </w:div>
    <w:div w:id="562257032">
      <w:bodyDiv w:val="1"/>
      <w:marLeft w:val="0"/>
      <w:marRight w:val="0"/>
      <w:marTop w:val="0"/>
      <w:marBottom w:val="0"/>
      <w:divBdr>
        <w:top w:val="none" w:sz="0" w:space="0" w:color="auto"/>
        <w:left w:val="none" w:sz="0" w:space="0" w:color="auto"/>
        <w:bottom w:val="none" w:sz="0" w:space="0" w:color="auto"/>
        <w:right w:val="none" w:sz="0" w:space="0" w:color="auto"/>
      </w:divBdr>
    </w:div>
    <w:div w:id="563100184">
      <w:bodyDiv w:val="1"/>
      <w:marLeft w:val="0"/>
      <w:marRight w:val="0"/>
      <w:marTop w:val="0"/>
      <w:marBottom w:val="0"/>
      <w:divBdr>
        <w:top w:val="none" w:sz="0" w:space="0" w:color="auto"/>
        <w:left w:val="none" w:sz="0" w:space="0" w:color="auto"/>
        <w:bottom w:val="none" w:sz="0" w:space="0" w:color="auto"/>
        <w:right w:val="none" w:sz="0" w:space="0" w:color="auto"/>
      </w:divBdr>
    </w:div>
    <w:div w:id="563948837">
      <w:bodyDiv w:val="1"/>
      <w:marLeft w:val="0"/>
      <w:marRight w:val="0"/>
      <w:marTop w:val="0"/>
      <w:marBottom w:val="0"/>
      <w:divBdr>
        <w:top w:val="none" w:sz="0" w:space="0" w:color="auto"/>
        <w:left w:val="none" w:sz="0" w:space="0" w:color="auto"/>
        <w:bottom w:val="none" w:sz="0" w:space="0" w:color="auto"/>
        <w:right w:val="none" w:sz="0" w:space="0" w:color="auto"/>
      </w:divBdr>
    </w:div>
    <w:div w:id="564216554">
      <w:bodyDiv w:val="1"/>
      <w:marLeft w:val="0"/>
      <w:marRight w:val="0"/>
      <w:marTop w:val="0"/>
      <w:marBottom w:val="0"/>
      <w:divBdr>
        <w:top w:val="none" w:sz="0" w:space="0" w:color="auto"/>
        <w:left w:val="none" w:sz="0" w:space="0" w:color="auto"/>
        <w:bottom w:val="none" w:sz="0" w:space="0" w:color="auto"/>
        <w:right w:val="none" w:sz="0" w:space="0" w:color="auto"/>
      </w:divBdr>
    </w:div>
    <w:div w:id="565453042">
      <w:bodyDiv w:val="1"/>
      <w:marLeft w:val="0"/>
      <w:marRight w:val="0"/>
      <w:marTop w:val="0"/>
      <w:marBottom w:val="0"/>
      <w:divBdr>
        <w:top w:val="none" w:sz="0" w:space="0" w:color="auto"/>
        <w:left w:val="none" w:sz="0" w:space="0" w:color="auto"/>
        <w:bottom w:val="none" w:sz="0" w:space="0" w:color="auto"/>
        <w:right w:val="none" w:sz="0" w:space="0" w:color="auto"/>
      </w:divBdr>
    </w:div>
    <w:div w:id="566503163">
      <w:bodyDiv w:val="1"/>
      <w:marLeft w:val="0"/>
      <w:marRight w:val="0"/>
      <w:marTop w:val="0"/>
      <w:marBottom w:val="0"/>
      <w:divBdr>
        <w:top w:val="none" w:sz="0" w:space="0" w:color="auto"/>
        <w:left w:val="none" w:sz="0" w:space="0" w:color="auto"/>
        <w:bottom w:val="none" w:sz="0" w:space="0" w:color="auto"/>
        <w:right w:val="none" w:sz="0" w:space="0" w:color="auto"/>
      </w:divBdr>
    </w:div>
    <w:div w:id="572158734">
      <w:bodyDiv w:val="1"/>
      <w:marLeft w:val="0"/>
      <w:marRight w:val="0"/>
      <w:marTop w:val="0"/>
      <w:marBottom w:val="0"/>
      <w:divBdr>
        <w:top w:val="none" w:sz="0" w:space="0" w:color="auto"/>
        <w:left w:val="none" w:sz="0" w:space="0" w:color="auto"/>
        <w:bottom w:val="none" w:sz="0" w:space="0" w:color="auto"/>
        <w:right w:val="none" w:sz="0" w:space="0" w:color="auto"/>
      </w:divBdr>
    </w:div>
    <w:div w:id="572350203">
      <w:bodyDiv w:val="1"/>
      <w:marLeft w:val="0"/>
      <w:marRight w:val="0"/>
      <w:marTop w:val="0"/>
      <w:marBottom w:val="0"/>
      <w:divBdr>
        <w:top w:val="none" w:sz="0" w:space="0" w:color="auto"/>
        <w:left w:val="none" w:sz="0" w:space="0" w:color="auto"/>
        <w:bottom w:val="none" w:sz="0" w:space="0" w:color="auto"/>
        <w:right w:val="none" w:sz="0" w:space="0" w:color="auto"/>
      </w:divBdr>
    </w:div>
    <w:div w:id="573315490">
      <w:bodyDiv w:val="1"/>
      <w:marLeft w:val="0"/>
      <w:marRight w:val="0"/>
      <w:marTop w:val="0"/>
      <w:marBottom w:val="0"/>
      <w:divBdr>
        <w:top w:val="none" w:sz="0" w:space="0" w:color="auto"/>
        <w:left w:val="none" w:sz="0" w:space="0" w:color="auto"/>
        <w:bottom w:val="none" w:sz="0" w:space="0" w:color="auto"/>
        <w:right w:val="none" w:sz="0" w:space="0" w:color="auto"/>
      </w:divBdr>
    </w:div>
    <w:div w:id="574708352">
      <w:bodyDiv w:val="1"/>
      <w:marLeft w:val="0"/>
      <w:marRight w:val="0"/>
      <w:marTop w:val="0"/>
      <w:marBottom w:val="0"/>
      <w:divBdr>
        <w:top w:val="none" w:sz="0" w:space="0" w:color="auto"/>
        <w:left w:val="none" w:sz="0" w:space="0" w:color="auto"/>
        <w:bottom w:val="none" w:sz="0" w:space="0" w:color="auto"/>
        <w:right w:val="none" w:sz="0" w:space="0" w:color="auto"/>
      </w:divBdr>
    </w:div>
    <w:div w:id="575282400">
      <w:bodyDiv w:val="1"/>
      <w:marLeft w:val="0"/>
      <w:marRight w:val="0"/>
      <w:marTop w:val="0"/>
      <w:marBottom w:val="0"/>
      <w:divBdr>
        <w:top w:val="none" w:sz="0" w:space="0" w:color="auto"/>
        <w:left w:val="none" w:sz="0" w:space="0" w:color="auto"/>
        <w:bottom w:val="none" w:sz="0" w:space="0" w:color="auto"/>
        <w:right w:val="none" w:sz="0" w:space="0" w:color="auto"/>
      </w:divBdr>
    </w:div>
    <w:div w:id="575629475">
      <w:bodyDiv w:val="1"/>
      <w:marLeft w:val="0"/>
      <w:marRight w:val="0"/>
      <w:marTop w:val="0"/>
      <w:marBottom w:val="0"/>
      <w:divBdr>
        <w:top w:val="none" w:sz="0" w:space="0" w:color="auto"/>
        <w:left w:val="none" w:sz="0" w:space="0" w:color="auto"/>
        <w:bottom w:val="none" w:sz="0" w:space="0" w:color="auto"/>
        <w:right w:val="none" w:sz="0" w:space="0" w:color="auto"/>
      </w:divBdr>
    </w:div>
    <w:div w:id="575669494">
      <w:bodyDiv w:val="1"/>
      <w:marLeft w:val="0"/>
      <w:marRight w:val="0"/>
      <w:marTop w:val="0"/>
      <w:marBottom w:val="0"/>
      <w:divBdr>
        <w:top w:val="none" w:sz="0" w:space="0" w:color="auto"/>
        <w:left w:val="none" w:sz="0" w:space="0" w:color="auto"/>
        <w:bottom w:val="none" w:sz="0" w:space="0" w:color="auto"/>
        <w:right w:val="none" w:sz="0" w:space="0" w:color="auto"/>
      </w:divBdr>
    </w:div>
    <w:div w:id="577373701">
      <w:bodyDiv w:val="1"/>
      <w:marLeft w:val="0"/>
      <w:marRight w:val="0"/>
      <w:marTop w:val="0"/>
      <w:marBottom w:val="0"/>
      <w:divBdr>
        <w:top w:val="none" w:sz="0" w:space="0" w:color="auto"/>
        <w:left w:val="none" w:sz="0" w:space="0" w:color="auto"/>
        <w:bottom w:val="none" w:sz="0" w:space="0" w:color="auto"/>
        <w:right w:val="none" w:sz="0" w:space="0" w:color="auto"/>
      </w:divBdr>
    </w:div>
    <w:div w:id="577518121">
      <w:bodyDiv w:val="1"/>
      <w:marLeft w:val="0"/>
      <w:marRight w:val="0"/>
      <w:marTop w:val="0"/>
      <w:marBottom w:val="0"/>
      <w:divBdr>
        <w:top w:val="none" w:sz="0" w:space="0" w:color="auto"/>
        <w:left w:val="none" w:sz="0" w:space="0" w:color="auto"/>
        <w:bottom w:val="none" w:sz="0" w:space="0" w:color="auto"/>
        <w:right w:val="none" w:sz="0" w:space="0" w:color="auto"/>
      </w:divBdr>
    </w:div>
    <w:div w:id="581063507">
      <w:bodyDiv w:val="1"/>
      <w:marLeft w:val="0"/>
      <w:marRight w:val="0"/>
      <w:marTop w:val="0"/>
      <w:marBottom w:val="0"/>
      <w:divBdr>
        <w:top w:val="none" w:sz="0" w:space="0" w:color="auto"/>
        <w:left w:val="none" w:sz="0" w:space="0" w:color="auto"/>
        <w:bottom w:val="none" w:sz="0" w:space="0" w:color="auto"/>
        <w:right w:val="none" w:sz="0" w:space="0" w:color="auto"/>
      </w:divBdr>
    </w:div>
    <w:div w:id="587884678">
      <w:bodyDiv w:val="1"/>
      <w:marLeft w:val="0"/>
      <w:marRight w:val="0"/>
      <w:marTop w:val="0"/>
      <w:marBottom w:val="0"/>
      <w:divBdr>
        <w:top w:val="none" w:sz="0" w:space="0" w:color="auto"/>
        <w:left w:val="none" w:sz="0" w:space="0" w:color="auto"/>
        <w:bottom w:val="none" w:sz="0" w:space="0" w:color="auto"/>
        <w:right w:val="none" w:sz="0" w:space="0" w:color="auto"/>
      </w:divBdr>
    </w:div>
    <w:div w:id="590047483">
      <w:bodyDiv w:val="1"/>
      <w:marLeft w:val="0"/>
      <w:marRight w:val="0"/>
      <w:marTop w:val="0"/>
      <w:marBottom w:val="0"/>
      <w:divBdr>
        <w:top w:val="none" w:sz="0" w:space="0" w:color="auto"/>
        <w:left w:val="none" w:sz="0" w:space="0" w:color="auto"/>
        <w:bottom w:val="none" w:sz="0" w:space="0" w:color="auto"/>
        <w:right w:val="none" w:sz="0" w:space="0" w:color="auto"/>
      </w:divBdr>
    </w:div>
    <w:div w:id="592130558">
      <w:bodyDiv w:val="1"/>
      <w:marLeft w:val="0"/>
      <w:marRight w:val="0"/>
      <w:marTop w:val="0"/>
      <w:marBottom w:val="0"/>
      <w:divBdr>
        <w:top w:val="none" w:sz="0" w:space="0" w:color="auto"/>
        <w:left w:val="none" w:sz="0" w:space="0" w:color="auto"/>
        <w:bottom w:val="none" w:sz="0" w:space="0" w:color="auto"/>
        <w:right w:val="none" w:sz="0" w:space="0" w:color="auto"/>
      </w:divBdr>
    </w:div>
    <w:div w:id="593243743">
      <w:bodyDiv w:val="1"/>
      <w:marLeft w:val="0"/>
      <w:marRight w:val="0"/>
      <w:marTop w:val="0"/>
      <w:marBottom w:val="0"/>
      <w:divBdr>
        <w:top w:val="none" w:sz="0" w:space="0" w:color="auto"/>
        <w:left w:val="none" w:sz="0" w:space="0" w:color="auto"/>
        <w:bottom w:val="none" w:sz="0" w:space="0" w:color="auto"/>
        <w:right w:val="none" w:sz="0" w:space="0" w:color="auto"/>
      </w:divBdr>
    </w:div>
    <w:div w:id="593829022">
      <w:bodyDiv w:val="1"/>
      <w:marLeft w:val="0"/>
      <w:marRight w:val="0"/>
      <w:marTop w:val="0"/>
      <w:marBottom w:val="0"/>
      <w:divBdr>
        <w:top w:val="none" w:sz="0" w:space="0" w:color="auto"/>
        <w:left w:val="none" w:sz="0" w:space="0" w:color="auto"/>
        <w:bottom w:val="none" w:sz="0" w:space="0" w:color="auto"/>
        <w:right w:val="none" w:sz="0" w:space="0" w:color="auto"/>
      </w:divBdr>
    </w:div>
    <w:div w:id="596716008">
      <w:bodyDiv w:val="1"/>
      <w:marLeft w:val="0"/>
      <w:marRight w:val="0"/>
      <w:marTop w:val="0"/>
      <w:marBottom w:val="0"/>
      <w:divBdr>
        <w:top w:val="none" w:sz="0" w:space="0" w:color="auto"/>
        <w:left w:val="none" w:sz="0" w:space="0" w:color="auto"/>
        <w:bottom w:val="none" w:sz="0" w:space="0" w:color="auto"/>
        <w:right w:val="none" w:sz="0" w:space="0" w:color="auto"/>
      </w:divBdr>
    </w:div>
    <w:div w:id="597979859">
      <w:bodyDiv w:val="1"/>
      <w:marLeft w:val="0"/>
      <w:marRight w:val="0"/>
      <w:marTop w:val="0"/>
      <w:marBottom w:val="0"/>
      <w:divBdr>
        <w:top w:val="none" w:sz="0" w:space="0" w:color="auto"/>
        <w:left w:val="none" w:sz="0" w:space="0" w:color="auto"/>
        <w:bottom w:val="none" w:sz="0" w:space="0" w:color="auto"/>
        <w:right w:val="none" w:sz="0" w:space="0" w:color="auto"/>
      </w:divBdr>
    </w:div>
    <w:div w:id="598100103">
      <w:bodyDiv w:val="1"/>
      <w:marLeft w:val="0"/>
      <w:marRight w:val="0"/>
      <w:marTop w:val="0"/>
      <w:marBottom w:val="0"/>
      <w:divBdr>
        <w:top w:val="none" w:sz="0" w:space="0" w:color="auto"/>
        <w:left w:val="none" w:sz="0" w:space="0" w:color="auto"/>
        <w:bottom w:val="none" w:sz="0" w:space="0" w:color="auto"/>
        <w:right w:val="none" w:sz="0" w:space="0" w:color="auto"/>
      </w:divBdr>
    </w:div>
    <w:div w:id="599027508">
      <w:bodyDiv w:val="1"/>
      <w:marLeft w:val="0"/>
      <w:marRight w:val="0"/>
      <w:marTop w:val="0"/>
      <w:marBottom w:val="0"/>
      <w:divBdr>
        <w:top w:val="none" w:sz="0" w:space="0" w:color="auto"/>
        <w:left w:val="none" w:sz="0" w:space="0" w:color="auto"/>
        <w:bottom w:val="none" w:sz="0" w:space="0" w:color="auto"/>
        <w:right w:val="none" w:sz="0" w:space="0" w:color="auto"/>
      </w:divBdr>
    </w:div>
    <w:div w:id="600602701">
      <w:bodyDiv w:val="1"/>
      <w:marLeft w:val="0"/>
      <w:marRight w:val="0"/>
      <w:marTop w:val="0"/>
      <w:marBottom w:val="0"/>
      <w:divBdr>
        <w:top w:val="none" w:sz="0" w:space="0" w:color="auto"/>
        <w:left w:val="none" w:sz="0" w:space="0" w:color="auto"/>
        <w:bottom w:val="none" w:sz="0" w:space="0" w:color="auto"/>
        <w:right w:val="none" w:sz="0" w:space="0" w:color="auto"/>
      </w:divBdr>
    </w:div>
    <w:div w:id="600603518">
      <w:bodyDiv w:val="1"/>
      <w:marLeft w:val="0"/>
      <w:marRight w:val="0"/>
      <w:marTop w:val="0"/>
      <w:marBottom w:val="0"/>
      <w:divBdr>
        <w:top w:val="none" w:sz="0" w:space="0" w:color="auto"/>
        <w:left w:val="none" w:sz="0" w:space="0" w:color="auto"/>
        <w:bottom w:val="none" w:sz="0" w:space="0" w:color="auto"/>
        <w:right w:val="none" w:sz="0" w:space="0" w:color="auto"/>
      </w:divBdr>
    </w:div>
    <w:div w:id="602417334">
      <w:bodyDiv w:val="1"/>
      <w:marLeft w:val="0"/>
      <w:marRight w:val="0"/>
      <w:marTop w:val="0"/>
      <w:marBottom w:val="0"/>
      <w:divBdr>
        <w:top w:val="none" w:sz="0" w:space="0" w:color="auto"/>
        <w:left w:val="none" w:sz="0" w:space="0" w:color="auto"/>
        <w:bottom w:val="none" w:sz="0" w:space="0" w:color="auto"/>
        <w:right w:val="none" w:sz="0" w:space="0" w:color="auto"/>
      </w:divBdr>
    </w:div>
    <w:div w:id="603269911">
      <w:bodyDiv w:val="1"/>
      <w:marLeft w:val="0"/>
      <w:marRight w:val="0"/>
      <w:marTop w:val="0"/>
      <w:marBottom w:val="0"/>
      <w:divBdr>
        <w:top w:val="none" w:sz="0" w:space="0" w:color="auto"/>
        <w:left w:val="none" w:sz="0" w:space="0" w:color="auto"/>
        <w:bottom w:val="none" w:sz="0" w:space="0" w:color="auto"/>
        <w:right w:val="none" w:sz="0" w:space="0" w:color="auto"/>
      </w:divBdr>
    </w:div>
    <w:div w:id="604271865">
      <w:bodyDiv w:val="1"/>
      <w:marLeft w:val="0"/>
      <w:marRight w:val="0"/>
      <w:marTop w:val="0"/>
      <w:marBottom w:val="0"/>
      <w:divBdr>
        <w:top w:val="none" w:sz="0" w:space="0" w:color="auto"/>
        <w:left w:val="none" w:sz="0" w:space="0" w:color="auto"/>
        <w:bottom w:val="none" w:sz="0" w:space="0" w:color="auto"/>
        <w:right w:val="none" w:sz="0" w:space="0" w:color="auto"/>
      </w:divBdr>
    </w:div>
    <w:div w:id="604657179">
      <w:bodyDiv w:val="1"/>
      <w:marLeft w:val="0"/>
      <w:marRight w:val="0"/>
      <w:marTop w:val="0"/>
      <w:marBottom w:val="0"/>
      <w:divBdr>
        <w:top w:val="none" w:sz="0" w:space="0" w:color="auto"/>
        <w:left w:val="none" w:sz="0" w:space="0" w:color="auto"/>
        <w:bottom w:val="none" w:sz="0" w:space="0" w:color="auto"/>
        <w:right w:val="none" w:sz="0" w:space="0" w:color="auto"/>
      </w:divBdr>
    </w:div>
    <w:div w:id="604657964">
      <w:bodyDiv w:val="1"/>
      <w:marLeft w:val="0"/>
      <w:marRight w:val="0"/>
      <w:marTop w:val="0"/>
      <w:marBottom w:val="0"/>
      <w:divBdr>
        <w:top w:val="none" w:sz="0" w:space="0" w:color="auto"/>
        <w:left w:val="none" w:sz="0" w:space="0" w:color="auto"/>
        <w:bottom w:val="none" w:sz="0" w:space="0" w:color="auto"/>
        <w:right w:val="none" w:sz="0" w:space="0" w:color="auto"/>
      </w:divBdr>
    </w:div>
    <w:div w:id="608973710">
      <w:bodyDiv w:val="1"/>
      <w:marLeft w:val="0"/>
      <w:marRight w:val="0"/>
      <w:marTop w:val="0"/>
      <w:marBottom w:val="0"/>
      <w:divBdr>
        <w:top w:val="none" w:sz="0" w:space="0" w:color="auto"/>
        <w:left w:val="none" w:sz="0" w:space="0" w:color="auto"/>
        <w:bottom w:val="none" w:sz="0" w:space="0" w:color="auto"/>
        <w:right w:val="none" w:sz="0" w:space="0" w:color="auto"/>
      </w:divBdr>
    </w:div>
    <w:div w:id="609817193">
      <w:bodyDiv w:val="1"/>
      <w:marLeft w:val="0"/>
      <w:marRight w:val="0"/>
      <w:marTop w:val="0"/>
      <w:marBottom w:val="0"/>
      <w:divBdr>
        <w:top w:val="none" w:sz="0" w:space="0" w:color="auto"/>
        <w:left w:val="none" w:sz="0" w:space="0" w:color="auto"/>
        <w:bottom w:val="none" w:sz="0" w:space="0" w:color="auto"/>
        <w:right w:val="none" w:sz="0" w:space="0" w:color="auto"/>
      </w:divBdr>
    </w:div>
    <w:div w:id="610472777">
      <w:bodyDiv w:val="1"/>
      <w:marLeft w:val="0"/>
      <w:marRight w:val="0"/>
      <w:marTop w:val="0"/>
      <w:marBottom w:val="0"/>
      <w:divBdr>
        <w:top w:val="none" w:sz="0" w:space="0" w:color="auto"/>
        <w:left w:val="none" w:sz="0" w:space="0" w:color="auto"/>
        <w:bottom w:val="none" w:sz="0" w:space="0" w:color="auto"/>
        <w:right w:val="none" w:sz="0" w:space="0" w:color="auto"/>
      </w:divBdr>
    </w:div>
    <w:div w:id="611474174">
      <w:bodyDiv w:val="1"/>
      <w:marLeft w:val="0"/>
      <w:marRight w:val="0"/>
      <w:marTop w:val="0"/>
      <w:marBottom w:val="0"/>
      <w:divBdr>
        <w:top w:val="none" w:sz="0" w:space="0" w:color="auto"/>
        <w:left w:val="none" w:sz="0" w:space="0" w:color="auto"/>
        <w:bottom w:val="none" w:sz="0" w:space="0" w:color="auto"/>
        <w:right w:val="none" w:sz="0" w:space="0" w:color="auto"/>
      </w:divBdr>
    </w:div>
    <w:div w:id="612127092">
      <w:bodyDiv w:val="1"/>
      <w:marLeft w:val="0"/>
      <w:marRight w:val="0"/>
      <w:marTop w:val="0"/>
      <w:marBottom w:val="0"/>
      <w:divBdr>
        <w:top w:val="none" w:sz="0" w:space="0" w:color="auto"/>
        <w:left w:val="none" w:sz="0" w:space="0" w:color="auto"/>
        <w:bottom w:val="none" w:sz="0" w:space="0" w:color="auto"/>
        <w:right w:val="none" w:sz="0" w:space="0" w:color="auto"/>
      </w:divBdr>
    </w:div>
    <w:div w:id="613099473">
      <w:bodyDiv w:val="1"/>
      <w:marLeft w:val="0"/>
      <w:marRight w:val="0"/>
      <w:marTop w:val="0"/>
      <w:marBottom w:val="0"/>
      <w:divBdr>
        <w:top w:val="none" w:sz="0" w:space="0" w:color="auto"/>
        <w:left w:val="none" w:sz="0" w:space="0" w:color="auto"/>
        <w:bottom w:val="none" w:sz="0" w:space="0" w:color="auto"/>
        <w:right w:val="none" w:sz="0" w:space="0" w:color="auto"/>
      </w:divBdr>
    </w:div>
    <w:div w:id="614679895">
      <w:bodyDiv w:val="1"/>
      <w:marLeft w:val="0"/>
      <w:marRight w:val="0"/>
      <w:marTop w:val="0"/>
      <w:marBottom w:val="0"/>
      <w:divBdr>
        <w:top w:val="none" w:sz="0" w:space="0" w:color="auto"/>
        <w:left w:val="none" w:sz="0" w:space="0" w:color="auto"/>
        <w:bottom w:val="none" w:sz="0" w:space="0" w:color="auto"/>
        <w:right w:val="none" w:sz="0" w:space="0" w:color="auto"/>
      </w:divBdr>
    </w:div>
    <w:div w:id="615989885">
      <w:bodyDiv w:val="1"/>
      <w:marLeft w:val="0"/>
      <w:marRight w:val="0"/>
      <w:marTop w:val="0"/>
      <w:marBottom w:val="0"/>
      <w:divBdr>
        <w:top w:val="none" w:sz="0" w:space="0" w:color="auto"/>
        <w:left w:val="none" w:sz="0" w:space="0" w:color="auto"/>
        <w:bottom w:val="none" w:sz="0" w:space="0" w:color="auto"/>
        <w:right w:val="none" w:sz="0" w:space="0" w:color="auto"/>
      </w:divBdr>
    </w:div>
    <w:div w:id="618607848">
      <w:bodyDiv w:val="1"/>
      <w:marLeft w:val="0"/>
      <w:marRight w:val="0"/>
      <w:marTop w:val="0"/>
      <w:marBottom w:val="0"/>
      <w:divBdr>
        <w:top w:val="none" w:sz="0" w:space="0" w:color="auto"/>
        <w:left w:val="none" w:sz="0" w:space="0" w:color="auto"/>
        <w:bottom w:val="none" w:sz="0" w:space="0" w:color="auto"/>
        <w:right w:val="none" w:sz="0" w:space="0" w:color="auto"/>
      </w:divBdr>
    </w:div>
    <w:div w:id="618685162">
      <w:bodyDiv w:val="1"/>
      <w:marLeft w:val="0"/>
      <w:marRight w:val="0"/>
      <w:marTop w:val="0"/>
      <w:marBottom w:val="0"/>
      <w:divBdr>
        <w:top w:val="none" w:sz="0" w:space="0" w:color="auto"/>
        <w:left w:val="none" w:sz="0" w:space="0" w:color="auto"/>
        <w:bottom w:val="none" w:sz="0" w:space="0" w:color="auto"/>
        <w:right w:val="none" w:sz="0" w:space="0" w:color="auto"/>
      </w:divBdr>
    </w:div>
    <w:div w:id="620959493">
      <w:bodyDiv w:val="1"/>
      <w:marLeft w:val="0"/>
      <w:marRight w:val="0"/>
      <w:marTop w:val="0"/>
      <w:marBottom w:val="0"/>
      <w:divBdr>
        <w:top w:val="none" w:sz="0" w:space="0" w:color="auto"/>
        <w:left w:val="none" w:sz="0" w:space="0" w:color="auto"/>
        <w:bottom w:val="none" w:sz="0" w:space="0" w:color="auto"/>
        <w:right w:val="none" w:sz="0" w:space="0" w:color="auto"/>
      </w:divBdr>
    </w:div>
    <w:div w:id="621691898">
      <w:bodyDiv w:val="1"/>
      <w:marLeft w:val="0"/>
      <w:marRight w:val="0"/>
      <w:marTop w:val="0"/>
      <w:marBottom w:val="0"/>
      <w:divBdr>
        <w:top w:val="none" w:sz="0" w:space="0" w:color="auto"/>
        <w:left w:val="none" w:sz="0" w:space="0" w:color="auto"/>
        <w:bottom w:val="none" w:sz="0" w:space="0" w:color="auto"/>
        <w:right w:val="none" w:sz="0" w:space="0" w:color="auto"/>
      </w:divBdr>
    </w:div>
    <w:div w:id="622076424">
      <w:bodyDiv w:val="1"/>
      <w:marLeft w:val="0"/>
      <w:marRight w:val="0"/>
      <w:marTop w:val="0"/>
      <w:marBottom w:val="0"/>
      <w:divBdr>
        <w:top w:val="none" w:sz="0" w:space="0" w:color="auto"/>
        <w:left w:val="none" w:sz="0" w:space="0" w:color="auto"/>
        <w:bottom w:val="none" w:sz="0" w:space="0" w:color="auto"/>
        <w:right w:val="none" w:sz="0" w:space="0" w:color="auto"/>
      </w:divBdr>
    </w:div>
    <w:div w:id="622926850">
      <w:bodyDiv w:val="1"/>
      <w:marLeft w:val="0"/>
      <w:marRight w:val="0"/>
      <w:marTop w:val="0"/>
      <w:marBottom w:val="0"/>
      <w:divBdr>
        <w:top w:val="none" w:sz="0" w:space="0" w:color="auto"/>
        <w:left w:val="none" w:sz="0" w:space="0" w:color="auto"/>
        <w:bottom w:val="none" w:sz="0" w:space="0" w:color="auto"/>
        <w:right w:val="none" w:sz="0" w:space="0" w:color="auto"/>
      </w:divBdr>
    </w:div>
    <w:div w:id="625547476">
      <w:bodyDiv w:val="1"/>
      <w:marLeft w:val="0"/>
      <w:marRight w:val="0"/>
      <w:marTop w:val="0"/>
      <w:marBottom w:val="0"/>
      <w:divBdr>
        <w:top w:val="none" w:sz="0" w:space="0" w:color="auto"/>
        <w:left w:val="none" w:sz="0" w:space="0" w:color="auto"/>
        <w:bottom w:val="none" w:sz="0" w:space="0" w:color="auto"/>
        <w:right w:val="none" w:sz="0" w:space="0" w:color="auto"/>
      </w:divBdr>
    </w:div>
    <w:div w:id="626395707">
      <w:bodyDiv w:val="1"/>
      <w:marLeft w:val="0"/>
      <w:marRight w:val="0"/>
      <w:marTop w:val="0"/>
      <w:marBottom w:val="0"/>
      <w:divBdr>
        <w:top w:val="none" w:sz="0" w:space="0" w:color="auto"/>
        <w:left w:val="none" w:sz="0" w:space="0" w:color="auto"/>
        <w:bottom w:val="none" w:sz="0" w:space="0" w:color="auto"/>
        <w:right w:val="none" w:sz="0" w:space="0" w:color="auto"/>
      </w:divBdr>
    </w:div>
    <w:div w:id="627005790">
      <w:bodyDiv w:val="1"/>
      <w:marLeft w:val="0"/>
      <w:marRight w:val="0"/>
      <w:marTop w:val="0"/>
      <w:marBottom w:val="0"/>
      <w:divBdr>
        <w:top w:val="none" w:sz="0" w:space="0" w:color="auto"/>
        <w:left w:val="none" w:sz="0" w:space="0" w:color="auto"/>
        <w:bottom w:val="none" w:sz="0" w:space="0" w:color="auto"/>
        <w:right w:val="none" w:sz="0" w:space="0" w:color="auto"/>
      </w:divBdr>
    </w:div>
    <w:div w:id="628588310">
      <w:bodyDiv w:val="1"/>
      <w:marLeft w:val="0"/>
      <w:marRight w:val="0"/>
      <w:marTop w:val="0"/>
      <w:marBottom w:val="0"/>
      <w:divBdr>
        <w:top w:val="none" w:sz="0" w:space="0" w:color="auto"/>
        <w:left w:val="none" w:sz="0" w:space="0" w:color="auto"/>
        <w:bottom w:val="none" w:sz="0" w:space="0" w:color="auto"/>
        <w:right w:val="none" w:sz="0" w:space="0" w:color="auto"/>
      </w:divBdr>
    </w:div>
    <w:div w:id="629361358">
      <w:bodyDiv w:val="1"/>
      <w:marLeft w:val="0"/>
      <w:marRight w:val="0"/>
      <w:marTop w:val="0"/>
      <w:marBottom w:val="0"/>
      <w:divBdr>
        <w:top w:val="none" w:sz="0" w:space="0" w:color="auto"/>
        <w:left w:val="none" w:sz="0" w:space="0" w:color="auto"/>
        <w:bottom w:val="none" w:sz="0" w:space="0" w:color="auto"/>
        <w:right w:val="none" w:sz="0" w:space="0" w:color="auto"/>
      </w:divBdr>
    </w:div>
    <w:div w:id="629556504">
      <w:bodyDiv w:val="1"/>
      <w:marLeft w:val="0"/>
      <w:marRight w:val="0"/>
      <w:marTop w:val="0"/>
      <w:marBottom w:val="0"/>
      <w:divBdr>
        <w:top w:val="none" w:sz="0" w:space="0" w:color="auto"/>
        <w:left w:val="none" w:sz="0" w:space="0" w:color="auto"/>
        <w:bottom w:val="none" w:sz="0" w:space="0" w:color="auto"/>
        <w:right w:val="none" w:sz="0" w:space="0" w:color="auto"/>
      </w:divBdr>
    </w:div>
    <w:div w:id="630095661">
      <w:bodyDiv w:val="1"/>
      <w:marLeft w:val="0"/>
      <w:marRight w:val="0"/>
      <w:marTop w:val="0"/>
      <w:marBottom w:val="0"/>
      <w:divBdr>
        <w:top w:val="none" w:sz="0" w:space="0" w:color="auto"/>
        <w:left w:val="none" w:sz="0" w:space="0" w:color="auto"/>
        <w:bottom w:val="none" w:sz="0" w:space="0" w:color="auto"/>
        <w:right w:val="none" w:sz="0" w:space="0" w:color="auto"/>
      </w:divBdr>
    </w:div>
    <w:div w:id="630745433">
      <w:bodyDiv w:val="1"/>
      <w:marLeft w:val="0"/>
      <w:marRight w:val="0"/>
      <w:marTop w:val="0"/>
      <w:marBottom w:val="0"/>
      <w:divBdr>
        <w:top w:val="none" w:sz="0" w:space="0" w:color="auto"/>
        <w:left w:val="none" w:sz="0" w:space="0" w:color="auto"/>
        <w:bottom w:val="none" w:sz="0" w:space="0" w:color="auto"/>
        <w:right w:val="none" w:sz="0" w:space="0" w:color="auto"/>
      </w:divBdr>
    </w:div>
    <w:div w:id="632559159">
      <w:bodyDiv w:val="1"/>
      <w:marLeft w:val="0"/>
      <w:marRight w:val="0"/>
      <w:marTop w:val="0"/>
      <w:marBottom w:val="0"/>
      <w:divBdr>
        <w:top w:val="none" w:sz="0" w:space="0" w:color="auto"/>
        <w:left w:val="none" w:sz="0" w:space="0" w:color="auto"/>
        <w:bottom w:val="none" w:sz="0" w:space="0" w:color="auto"/>
        <w:right w:val="none" w:sz="0" w:space="0" w:color="auto"/>
      </w:divBdr>
    </w:div>
    <w:div w:id="632708498">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
    <w:div w:id="634065871">
      <w:bodyDiv w:val="1"/>
      <w:marLeft w:val="0"/>
      <w:marRight w:val="0"/>
      <w:marTop w:val="0"/>
      <w:marBottom w:val="0"/>
      <w:divBdr>
        <w:top w:val="none" w:sz="0" w:space="0" w:color="auto"/>
        <w:left w:val="none" w:sz="0" w:space="0" w:color="auto"/>
        <w:bottom w:val="none" w:sz="0" w:space="0" w:color="auto"/>
        <w:right w:val="none" w:sz="0" w:space="0" w:color="auto"/>
      </w:divBdr>
    </w:div>
    <w:div w:id="634218586">
      <w:bodyDiv w:val="1"/>
      <w:marLeft w:val="0"/>
      <w:marRight w:val="0"/>
      <w:marTop w:val="0"/>
      <w:marBottom w:val="0"/>
      <w:divBdr>
        <w:top w:val="none" w:sz="0" w:space="0" w:color="auto"/>
        <w:left w:val="none" w:sz="0" w:space="0" w:color="auto"/>
        <w:bottom w:val="none" w:sz="0" w:space="0" w:color="auto"/>
        <w:right w:val="none" w:sz="0" w:space="0" w:color="auto"/>
      </w:divBdr>
    </w:div>
    <w:div w:id="634262309">
      <w:bodyDiv w:val="1"/>
      <w:marLeft w:val="0"/>
      <w:marRight w:val="0"/>
      <w:marTop w:val="0"/>
      <w:marBottom w:val="0"/>
      <w:divBdr>
        <w:top w:val="none" w:sz="0" w:space="0" w:color="auto"/>
        <w:left w:val="none" w:sz="0" w:space="0" w:color="auto"/>
        <w:bottom w:val="none" w:sz="0" w:space="0" w:color="auto"/>
        <w:right w:val="none" w:sz="0" w:space="0" w:color="auto"/>
      </w:divBdr>
    </w:div>
    <w:div w:id="635985277">
      <w:bodyDiv w:val="1"/>
      <w:marLeft w:val="0"/>
      <w:marRight w:val="0"/>
      <w:marTop w:val="0"/>
      <w:marBottom w:val="0"/>
      <w:divBdr>
        <w:top w:val="none" w:sz="0" w:space="0" w:color="auto"/>
        <w:left w:val="none" w:sz="0" w:space="0" w:color="auto"/>
        <w:bottom w:val="none" w:sz="0" w:space="0" w:color="auto"/>
        <w:right w:val="none" w:sz="0" w:space="0" w:color="auto"/>
      </w:divBdr>
    </w:div>
    <w:div w:id="636763681">
      <w:bodyDiv w:val="1"/>
      <w:marLeft w:val="0"/>
      <w:marRight w:val="0"/>
      <w:marTop w:val="0"/>
      <w:marBottom w:val="0"/>
      <w:divBdr>
        <w:top w:val="none" w:sz="0" w:space="0" w:color="auto"/>
        <w:left w:val="none" w:sz="0" w:space="0" w:color="auto"/>
        <w:bottom w:val="none" w:sz="0" w:space="0" w:color="auto"/>
        <w:right w:val="none" w:sz="0" w:space="0" w:color="auto"/>
      </w:divBdr>
    </w:div>
    <w:div w:id="637804958">
      <w:bodyDiv w:val="1"/>
      <w:marLeft w:val="0"/>
      <w:marRight w:val="0"/>
      <w:marTop w:val="0"/>
      <w:marBottom w:val="0"/>
      <w:divBdr>
        <w:top w:val="none" w:sz="0" w:space="0" w:color="auto"/>
        <w:left w:val="none" w:sz="0" w:space="0" w:color="auto"/>
        <w:bottom w:val="none" w:sz="0" w:space="0" w:color="auto"/>
        <w:right w:val="none" w:sz="0" w:space="0" w:color="auto"/>
      </w:divBdr>
    </w:div>
    <w:div w:id="638456118">
      <w:bodyDiv w:val="1"/>
      <w:marLeft w:val="0"/>
      <w:marRight w:val="0"/>
      <w:marTop w:val="0"/>
      <w:marBottom w:val="0"/>
      <w:divBdr>
        <w:top w:val="none" w:sz="0" w:space="0" w:color="auto"/>
        <w:left w:val="none" w:sz="0" w:space="0" w:color="auto"/>
        <w:bottom w:val="none" w:sz="0" w:space="0" w:color="auto"/>
        <w:right w:val="none" w:sz="0" w:space="0" w:color="auto"/>
      </w:divBdr>
    </w:div>
    <w:div w:id="642582479">
      <w:bodyDiv w:val="1"/>
      <w:marLeft w:val="0"/>
      <w:marRight w:val="0"/>
      <w:marTop w:val="0"/>
      <w:marBottom w:val="0"/>
      <w:divBdr>
        <w:top w:val="none" w:sz="0" w:space="0" w:color="auto"/>
        <w:left w:val="none" w:sz="0" w:space="0" w:color="auto"/>
        <w:bottom w:val="none" w:sz="0" w:space="0" w:color="auto"/>
        <w:right w:val="none" w:sz="0" w:space="0" w:color="auto"/>
      </w:divBdr>
    </w:div>
    <w:div w:id="645862804">
      <w:bodyDiv w:val="1"/>
      <w:marLeft w:val="0"/>
      <w:marRight w:val="0"/>
      <w:marTop w:val="0"/>
      <w:marBottom w:val="0"/>
      <w:divBdr>
        <w:top w:val="none" w:sz="0" w:space="0" w:color="auto"/>
        <w:left w:val="none" w:sz="0" w:space="0" w:color="auto"/>
        <w:bottom w:val="none" w:sz="0" w:space="0" w:color="auto"/>
        <w:right w:val="none" w:sz="0" w:space="0" w:color="auto"/>
      </w:divBdr>
    </w:div>
    <w:div w:id="646975910">
      <w:bodyDiv w:val="1"/>
      <w:marLeft w:val="0"/>
      <w:marRight w:val="0"/>
      <w:marTop w:val="0"/>
      <w:marBottom w:val="0"/>
      <w:divBdr>
        <w:top w:val="none" w:sz="0" w:space="0" w:color="auto"/>
        <w:left w:val="none" w:sz="0" w:space="0" w:color="auto"/>
        <w:bottom w:val="none" w:sz="0" w:space="0" w:color="auto"/>
        <w:right w:val="none" w:sz="0" w:space="0" w:color="auto"/>
      </w:divBdr>
    </w:div>
    <w:div w:id="653292031">
      <w:bodyDiv w:val="1"/>
      <w:marLeft w:val="0"/>
      <w:marRight w:val="0"/>
      <w:marTop w:val="0"/>
      <w:marBottom w:val="0"/>
      <w:divBdr>
        <w:top w:val="none" w:sz="0" w:space="0" w:color="auto"/>
        <w:left w:val="none" w:sz="0" w:space="0" w:color="auto"/>
        <w:bottom w:val="none" w:sz="0" w:space="0" w:color="auto"/>
        <w:right w:val="none" w:sz="0" w:space="0" w:color="auto"/>
      </w:divBdr>
    </w:div>
    <w:div w:id="653485183">
      <w:bodyDiv w:val="1"/>
      <w:marLeft w:val="0"/>
      <w:marRight w:val="0"/>
      <w:marTop w:val="0"/>
      <w:marBottom w:val="0"/>
      <w:divBdr>
        <w:top w:val="none" w:sz="0" w:space="0" w:color="auto"/>
        <w:left w:val="none" w:sz="0" w:space="0" w:color="auto"/>
        <w:bottom w:val="none" w:sz="0" w:space="0" w:color="auto"/>
        <w:right w:val="none" w:sz="0" w:space="0" w:color="auto"/>
      </w:divBdr>
    </w:div>
    <w:div w:id="654377172">
      <w:bodyDiv w:val="1"/>
      <w:marLeft w:val="0"/>
      <w:marRight w:val="0"/>
      <w:marTop w:val="0"/>
      <w:marBottom w:val="0"/>
      <w:divBdr>
        <w:top w:val="none" w:sz="0" w:space="0" w:color="auto"/>
        <w:left w:val="none" w:sz="0" w:space="0" w:color="auto"/>
        <w:bottom w:val="none" w:sz="0" w:space="0" w:color="auto"/>
        <w:right w:val="none" w:sz="0" w:space="0" w:color="auto"/>
      </w:divBdr>
    </w:div>
    <w:div w:id="654843520">
      <w:bodyDiv w:val="1"/>
      <w:marLeft w:val="0"/>
      <w:marRight w:val="0"/>
      <w:marTop w:val="0"/>
      <w:marBottom w:val="0"/>
      <w:divBdr>
        <w:top w:val="none" w:sz="0" w:space="0" w:color="auto"/>
        <w:left w:val="none" w:sz="0" w:space="0" w:color="auto"/>
        <w:bottom w:val="none" w:sz="0" w:space="0" w:color="auto"/>
        <w:right w:val="none" w:sz="0" w:space="0" w:color="auto"/>
      </w:divBdr>
    </w:div>
    <w:div w:id="654846042">
      <w:bodyDiv w:val="1"/>
      <w:marLeft w:val="0"/>
      <w:marRight w:val="0"/>
      <w:marTop w:val="0"/>
      <w:marBottom w:val="0"/>
      <w:divBdr>
        <w:top w:val="none" w:sz="0" w:space="0" w:color="auto"/>
        <w:left w:val="none" w:sz="0" w:space="0" w:color="auto"/>
        <w:bottom w:val="none" w:sz="0" w:space="0" w:color="auto"/>
        <w:right w:val="none" w:sz="0" w:space="0" w:color="auto"/>
      </w:divBdr>
    </w:div>
    <w:div w:id="655383937">
      <w:bodyDiv w:val="1"/>
      <w:marLeft w:val="0"/>
      <w:marRight w:val="0"/>
      <w:marTop w:val="0"/>
      <w:marBottom w:val="0"/>
      <w:divBdr>
        <w:top w:val="none" w:sz="0" w:space="0" w:color="auto"/>
        <w:left w:val="none" w:sz="0" w:space="0" w:color="auto"/>
        <w:bottom w:val="none" w:sz="0" w:space="0" w:color="auto"/>
        <w:right w:val="none" w:sz="0" w:space="0" w:color="auto"/>
      </w:divBdr>
    </w:div>
    <w:div w:id="656419918">
      <w:bodyDiv w:val="1"/>
      <w:marLeft w:val="0"/>
      <w:marRight w:val="0"/>
      <w:marTop w:val="0"/>
      <w:marBottom w:val="0"/>
      <w:divBdr>
        <w:top w:val="none" w:sz="0" w:space="0" w:color="auto"/>
        <w:left w:val="none" w:sz="0" w:space="0" w:color="auto"/>
        <w:bottom w:val="none" w:sz="0" w:space="0" w:color="auto"/>
        <w:right w:val="none" w:sz="0" w:space="0" w:color="auto"/>
      </w:divBdr>
    </w:div>
    <w:div w:id="660499585">
      <w:bodyDiv w:val="1"/>
      <w:marLeft w:val="0"/>
      <w:marRight w:val="0"/>
      <w:marTop w:val="0"/>
      <w:marBottom w:val="0"/>
      <w:divBdr>
        <w:top w:val="none" w:sz="0" w:space="0" w:color="auto"/>
        <w:left w:val="none" w:sz="0" w:space="0" w:color="auto"/>
        <w:bottom w:val="none" w:sz="0" w:space="0" w:color="auto"/>
        <w:right w:val="none" w:sz="0" w:space="0" w:color="auto"/>
      </w:divBdr>
    </w:div>
    <w:div w:id="662318831">
      <w:bodyDiv w:val="1"/>
      <w:marLeft w:val="0"/>
      <w:marRight w:val="0"/>
      <w:marTop w:val="0"/>
      <w:marBottom w:val="0"/>
      <w:divBdr>
        <w:top w:val="none" w:sz="0" w:space="0" w:color="auto"/>
        <w:left w:val="none" w:sz="0" w:space="0" w:color="auto"/>
        <w:bottom w:val="none" w:sz="0" w:space="0" w:color="auto"/>
        <w:right w:val="none" w:sz="0" w:space="0" w:color="auto"/>
      </w:divBdr>
    </w:div>
    <w:div w:id="666902162">
      <w:bodyDiv w:val="1"/>
      <w:marLeft w:val="0"/>
      <w:marRight w:val="0"/>
      <w:marTop w:val="0"/>
      <w:marBottom w:val="0"/>
      <w:divBdr>
        <w:top w:val="none" w:sz="0" w:space="0" w:color="auto"/>
        <w:left w:val="none" w:sz="0" w:space="0" w:color="auto"/>
        <w:bottom w:val="none" w:sz="0" w:space="0" w:color="auto"/>
        <w:right w:val="none" w:sz="0" w:space="0" w:color="auto"/>
      </w:divBdr>
    </w:div>
    <w:div w:id="670181767">
      <w:bodyDiv w:val="1"/>
      <w:marLeft w:val="0"/>
      <w:marRight w:val="0"/>
      <w:marTop w:val="0"/>
      <w:marBottom w:val="0"/>
      <w:divBdr>
        <w:top w:val="none" w:sz="0" w:space="0" w:color="auto"/>
        <w:left w:val="none" w:sz="0" w:space="0" w:color="auto"/>
        <w:bottom w:val="none" w:sz="0" w:space="0" w:color="auto"/>
        <w:right w:val="none" w:sz="0" w:space="0" w:color="auto"/>
      </w:divBdr>
    </w:div>
    <w:div w:id="671417401">
      <w:bodyDiv w:val="1"/>
      <w:marLeft w:val="0"/>
      <w:marRight w:val="0"/>
      <w:marTop w:val="0"/>
      <w:marBottom w:val="0"/>
      <w:divBdr>
        <w:top w:val="none" w:sz="0" w:space="0" w:color="auto"/>
        <w:left w:val="none" w:sz="0" w:space="0" w:color="auto"/>
        <w:bottom w:val="none" w:sz="0" w:space="0" w:color="auto"/>
        <w:right w:val="none" w:sz="0" w:space="0" w:color="auto"/>
      </w:divBdr>
    </w:div>
    <w:div w:id="673413955">
      <w:bodyDiv w:val="1"/>
      <w:marLeft w:val="0"/>
      <w:marRight w:val="0"/>
      <w:marTop w:val="0"/>
      <w:marBottom w:val="0"/>
      <w:divBdr>
        <w:top w:val="none" w:sz="0" w:space="0" w:color="auto"/>
        <w:left w:val="none" w:sz="0" w:space="0" w:color="auto"/>
        <w:bottom w:val="none" w:sz="0" w:space="0" w:color="auto"/>
        <w:right w:val="none" w:sz="0" w:space="0" w:color="auto"/>
      </w:divBdr>
    </w:div>
    <w:div w:id="673535450">
      <w:bodyDiv w:val="1"/>
      <w:marLeft w:val="0"/>
      <w:marRight w:val="0"/>
      <w:marTop w:val="0"/>
      <w:marBottom w:val="0"/>
      <w:divBdr>
        <w:top w:val="none" w:sz="0" w:space="0" w:color="auto"/>
        <w:left w:val="none" w:sz="0" w:space="0" w:color="auto"/>
        <w:bottom w:val="none" w:sz="0" w:space="0" w:color="auto"/>
        <w:right w:val="none" w:sz="0" w:space="0" w:color="auto"/>
      </w:divBdr>
    </w:div>
    <w:div w:id="674457466">
      <w:bodyDiv w:val="1"/>
      <w:marLeft w:val="0"/>
      <w:marRight w:val="0"/>
      <w:marTop w:val="0"/>
      <w:marBottom w:val="0"/>
      <w:divBdr>
        <w:top w:val="none" w:sz="0" w:space="0" w:color="auto"/>
        <w:left w:val="none" w:sz="0" w:space="0" w:color="auto"/>
        <w:bottom w:val="none" w:sz="0" w:space="0" w:color="auto"/>
        <w:right w:val="none" w:sz="0" w:space="0" w:color="auto"/>
      </w:divBdr>
    </w:div>
    <w:div w:id="678848997">
      <w:bodyDiv w:val="1"/>
      <w:marLeft w:val="0"/>
      <w:marRight w:val="0"/>
      <w:marTop w:val="0"/>
      <w:marBottom w:val="0"/>
      <w:divBdr>
        <w:top w:val="none" w:sz="0" w:space="0" w:color="auto"/>
        <w:left w:val="none" w:sz="0" w:space="0" w:color="auto"/>
        <w:bottom w:val="none" w:sz="0" w:space="0" w:color="auto"/>
        <w:right w:val="none" w:sz="0" w:space="0" w:color="auto"/>
      </w:divBdr>
    </w:div>
    <w:div w:id="679162081">
      <w:bodyDiv w:val="1"/>
      <w:marLeft w:val="0"/>
      <w:marRight w:val="0"/>
      <w:marTop w:val="0"/>
      <w:marBottom w:val="0"/>
      <w:divBdr>
        <w:top w:val="none" w:sz="0" w:space="0" w:color="auto"/>
        <w:left w:val="none" w:sz="0" w:space="0" w:color="auto"/>
        <w:bottom w:val="none" w:sz="0" w:space="0" w:color="auto"/>
        <w:right w:val="none" w:sz="0" w:space="0" w:color="auto"/>
      </w:divBdr>
    </w:div>
    <w:div w:id="679434826">
      <w:bodyDiv w:val="1"/>
      <w:marLeft w:val="0"/>
      <w:marRight w:val="0"/>
      <w:marTop w:val="0"/>
      <w:marBottom w:val="0"/>
      <w:divBdr>
        <w:top w:val="none" w:sz="0" w:space="0" w:color="auto"/>
        <w:left w:val="none" w:sz="0" w:space="0" w:color="auto"/>
        <w:bottom w:val="none" w:sz="0" w:space="0" w:color="auto"/>
        <w:right w:val="none" w:sz="0" w:space="0" w:color="auto"/>
      </w:divBdr>
    </w:div>
    <w:div w:id="680205484">
      <w:bodyDiv w:val="1"/>
      <w:marLeft w:val="0"/>
      <w:marRight w:val="0"/>
      <w:marTop w:val="0"/>
      <w:marBottom w:val="0"/>
      <w:divBdr>
        <w:top w:val="none" w:sz="0" w:space="0" w:color="auto"/>
        <w:left w:val="none" w:sz="0" w:space="0" w:color="auto"/>
        <w:bottom w:val="none" w:sz="0" w:space="0" w:color="auto"/>
        <w:right w:val="none" w:sz="0" w:space="0" w:color="auto"/>
      </w:divBdr>
    </w:div>
    <w:div w:id="683630036">
      <w:bodyDiv w:val="1"/>
      <w:marLeft w:val="0"/>
      <w:marRight w:val="0"/>
      <w:marTop w:val="0"/>
      <w:marBottom w:val="0"/>
      <w:divBdr>
        <w:top w:val="none" w:sz="0" w:space="0" w:color="auto"/>
        <w:left w:val="none" w:sz="0" w:space="0" w:color="auto"/>
        <w:bottom w:val="none" w:sz="0" w:space="0" w:color="auto"/>
        <w:right w:val="none" w:sz="0" w:space="0" w:color="auto"/>
      </w:divBdr>
    </w:div>
    <w:div w:id="683635057">
      <w:bodyDiv w:val="1"/>
      <w:marLeft w:val="0"/>
      <w:marRight w:val="0"/>
      <w:marTop w:val="0"/>
      <w:marBottom w:val="0"/>
      <w:divBdr>
        <w:top w:val="none" w:sz="0" w:space="0" w:color="auto"/>
        <w:left w:val="none" w:sz="0" w:space="0" w:color="auto"/>
        <w:bottom w:val="none" w:sz="0" w:space="0" w:color="auto"/>
        <w:right w:val="none" w:sz="0" w:space="0" w:color="auto"/>
      </w:divBdr>
    </w:div>
    <w:div w:id="683703691">
      <w:bodyDiv w:val="1"/>
      <w:marLeft w:val="0"/>
      <w:marRight w:val="0"/>
      <w:marTop w:val="0"/>
      <w:marBottom w:val="0"/>
      <w:divBdr>
        <w:top w:val="none" w:sz="0" w:space="0" w:color="auto"/>
        <w:left w:val="none" w:sz="0" w:space="0" w:color="auto"/>
        <w:bottom w:val="none" w:sz="0" w:space="0" w:color="auto"/>
        <w:right w:val="none" w:sz="0" w:space="0" w:color="auto"/>
      </w:divBdr>
    </w:div>
    <w:div w:id="683941612">
      <w:bodyDiv w:val="1"/>
      <w:marLeft w:val="0"/>
      <w:marRight w:val="0"/>
      <w:marTop w:val="0"/>
      <w:marBottom w:val="0"/>
      <w:divBdr>
        <w:top w:val="none" w:sz="0" w:space="0" w:color="auto"/>
        <w:left w:val="none" w:sz="0" w:space="0" w:color="auto"/>
        <w:bottom w:val="none" w:sz="0" w:space="0" w:color="auto"/>
        <w:right w:val="none" w:sz="0" w:space="0" w:color="auto"/>
      </w:divBdr>
    </w:div>
    <w:div w:id="686057381">
      <w:bodyDiv w:val="1"/>
      <w:marLeft w:val="0"/>
      <w:marRight w:val="0"/>
      <w:marTop w:val="0"/>
      <w:marBottom w:val="0"/>
      <w:divBdr>
        <w:top w:val="none" w:sz="0" w:space="0" w:color="auto"/>
        <w:left w:val="none" w:sz="0" w:space="0" w:color="auto"/>
        <w:bottom w:val="none" w:sz="0" w:space="0" w:color="auto"/>
        <w:right w:val="none" w:sz="0" w:space="0" w:color="auto"/>
      </w:divBdr>
    </w:div>
    <w:div w:id="687095975">
      <w:bodyDiv w:val="1"/>
      <w:marLeft w:val="0"/>
      <w:marRight w:val="0"/>
      <w:marTop w:val="0"/>
      <w:marBottom w:val="0"/>
      <w:divBdr>
        <w:top w:val="none" w:sz="0" w:space="0" w:color="auto"/>
        <w:left w:val="none" w:sz="0" w:space="0" w:color="auto"/>
        <w:bottom w:val="none" w:sz="0" w:space="0" w:color="auto"/>
        <w:right w:val="none" w:sz="0" w:space="0" w:color="auto"/>
      </w:divBdr>
    </w:div>
    <w:div w:id="687757936">
      <w:bodyDiv w:val="1"/>
      <w:marLeft w:val="0"/>
      <w:marRight w:val="0"/>
      <w:marTop w:val="0"/>
      <w:marBottom w:val="0"/>
      <w:divBdr>
        <w:top w:val="none" w:sz="0" w:space="0" w:color="auto"/>
        <w:left w:val="none" w:sz="0" w:space="0" w:color="auto"/>
        <w:bottom w:val="none" w:sz="0" w:space="0" w:color="auto"/>
        <w:right w:val="none" w:sz="0" w:space="0" w:color="auto"/>
      </w:divBdr>
    </w:div>
    <w:div w:id="688222751">
      <w:bodyDiv w:val="1"/>
      <w:marLeft w:val="0"/>
      <w:marRight w:val="0"/>
      <w:marTop w:val="0"/>
      <w:marBottom w:val="0"/>
      <w:divBdr>
        <w:top w:val="none" w:sz="0" w:space="0" w:color="auto"/>
        <w:left w:val="none" w:sz="0" w:space="0" w:color="auto"/>
        <w:bottom w:val="none" w:sz="0" w:space="0" w:color="auto"/>
        <w:right w:val="none" w:sz="0" w:space="0" w:color="auto"/>
      </w:divBdr>
    </w:div>
    <w:div w:id="689918946">
      <w:bodyDiv w:val="1"/>
      <w:marLeft w:val="0"/>
      <w:marRight w:val="0"/>
      <w:marTop w:val="0"/>
      <w:marBottom w:val="0"/>
      <w:divBdr>
        <w:top w:val="none" w:sz="0" w:space="0" w:color="auto"/>
        <w:left w:val="none" w:sz="0" w:space="0" w:color="auto"/>
        <w:bottom w:val="none" w:sz="0" w:space="0" w:color="auto"/>
        <w:right w:val="none" w:sz="0" w:space="0" w:color="auto"/>
      </w:divBdr>
    </w:div>
    <w:div w:id="691105703">
      <w:bodyDiv w:val="1"/>
      <w:marLeft w:val="0"/>
      <w:marRight w:val="0"/>
      <w:marTop w:val="0"/>
      <w:marBottom w:val="0"/>
      <w:divBdr>
        <w:top w:val="none" w:sz="0" w:space="0" w:color="auto"/>
        <w:left w:val="none" w:sz="0" w:space="0" w:color="auto"/>
        <w:bottom w:val="none" w:sz="0" w:space="0" w:color="auto"/>
        <w:right w:val="none" w:sz="0" w:space="0" w:color="auto"/>
      </w:divBdr>
    </w:div>
    <w:div w:id="692390351">
      <w:bodyDiv w:val="1"/>
      <w:marLeft w:val="0"/>
      <w:marRight w:val="0"/>
      <w:marTop w:val="0"/>
      <w:marBottom w:val="0"/>
      <w:divBdr>
        <w:top w:val="none" w:sz="0" w:space="0" w:color="auto"/>
        <w:left w:val="none" w:sz="0" w:space="0" w:color="auto"/>
        <w:bottom w:val="none" w:sz="0" w:space="0" w:color="auto"/>
        <w:right w:val="none" w:sz="0" w:space="0" w:color="auto"/>
      </w:divBdr>
    </w:div>
    <w:div w:id="692734066">
      <w:bodyDiv w:val="1"/>
      <w:marLeft w:val="0"/>
      <w:marRight w:val="0"/>
      <w:marTop w:val="0"/>
      <w:marBottom w:val="0"/>
      <w:divBdr>
        <w:top w:val="none" w:sz="0" w:space="0" w:color="auto"/>
        <w:left w:val="none" w:sz="0" w:space="0" w:color="auto"/>
        <w:bottom w:val="none" w:sz="0" w:space="0" w:color="auto"/>
        <w:right w:val="none" w:sz="0" w:space="0" w:color="auto"/>
      </w:divBdr>
    </w:div>
    <w:div w:id="694160793">
      <w:bodyDiv w:val="1"/>
      <w:marLeft w:val="0"/>
      <w:marRight w:val="0"/>
      <w:marTop w:val="0"/>
      <w:marBottom w:val="0"/>
      <w:divBdr>
        <w:top w:val="none" w:sz="0" w:space="0" w:color="auto"/>
        <w:left w:val="none" w:sz="0" w:space="0" w:color="auto"/>
        <w:bottom w:val="none" w:sz="0" w:space="0" w:color="auto"/>
        <w:right w:val="none" w:sz="0" w:space="0" w:color="auto"/>
      </w:divBdr>
    </w:div>
    <w:div w:id="694237913">
      <w:bodyDiv w:val="1"/>
      <w:marLeft w:val="0"/>
      <w:marRight w:val="0"/>
      <w:marTop w:val="0"/>
      <w:marBottom w:val="0"/>
      <w:divBdr>
        <w:top w:val="none" w:sz="0" w:space="0" w:color="auto"/>
        <w:left w:val="none" w:sz="0" w:space="0" w:color="auto"/>
        <w:bottom w:val="none" w:sz="0" w:space="0" w:color="auto"/>
        <w:right w:val="none" w:sz="0" w:space="0" w:color="auto"/>
      </w:divBdr>
    </w:div>
    <w:div w:id="696273082">
      <w:bodyDiv w:val="1"/>
      <w:marLeft w:val="0"/>
      <w:marRight w:val="0"/>
      <w:marTop w:val="0"/>
      <w:marBottom w:val="0"/>
      <w:divBdr>
        <w:top w:val="none" w:sz="0" w:space="0" w:color="auto"/>
        <w:left w:val="none" w:sz="0" w:space="0" w:color="auto"/>
        <w:bottom w:val="none" w:sz="0" w:space="0" w:color="auto"/>
        <w:right w:val="none" w:sz="0" w:space="0" w:color="auto"/>
      </w:divBdr>
    </w:div>
    <w:div w:id="696856906">
      <w:bodyDiv w:val="1"/>
      <w:marLeft w:val="0"/>
      <w:marRight w:val="0"/>
      <w:marTop w:val="0"/>
      <w:marBottom w:val="0"/>
      <w:divBdr>
        <w:top w:val="none" w:sz="0" w:space="0" w:color="auto"/>
        <w:left w:val="none" w:sz="0" w:space="0" w:color="auto"/>
        <w:bottom w:val="none" w:sz="0" w:space="0" w:color="auto"/>
        <w:right w:val="none" w:sz="0" w:space="0" w:color="auto"/>
      </w:divBdr>
    </w:div>
    <w:div w:id="699817417">
      <w:bodyDiv w:val="1"/>
      <w:marLeft w:val="0"/>
      <w:marRight w:val="0"/>
      <w:marTop w:val="0"/>
      <w:marBottom w:val="0"/>
      <w:divBdr>
        <w:top w:val="none" w:sz="0" w:space="0" w:color="auto"/>
        <w:left w:val="none" w:sz="0" w:space="0" w:color="auto"/>
        <w:bottom w:val="none" w:sz="0" w:space="0" w:color="auto"/>
        <w:right w:val="none" w:sz="0" w:space="0" w:color="auto"/>
      </w:divBdr>
    </w:div>
    <w:div w:id="700788415">
      <w:bodyDiv w:val="1"/>
      <w:marLeft w:val="0"/>
      <w:marRight w:val="0"/>
      <w:marTop w:val="0"/>
      <w:marBottom w:val="0"/>
      <w:divBdr>
        <w:top w:val="none" w:sz="0" w:space="0" w:color="auto"/>
        <w:left w:val="none" w:sz="0" w:space="0" w:color="auto"/>
        <w:bottom w:val="none" w:sz="0" w:space="0" w:color="auto"/>
        <w:right w:val="none" w:sz="0" w:space="0" w:color="auto"/>
      </w:divBdr>
    </w:div>
    <w:div w:id="703334687">
      <w:bodyDiv w:val="1"/>
      <w:marLeft w:val="0"/>
      <w:marRight w:val="0"/>
      <w:marTop w:val="0"/>
      <w:marBottom w:val="0"/>
      <w:divBdr>
        <w:top w:val="none" w:sz="0" w:space="0" w:color="auto"/>
        <w:left w:val="none" w:sz="0" w:space="0" w:color="auto"/>
        <w:bottom w:val="none" w:sz="0" w:space="0" w:color="auto"/>
        <w:right w:val="none" w:sz="0" w:space="0" w:color="auto"/>
      </w:divBdr>
    </w:div>
    <w:div w:id="703873396">
      <w:bodyDiv w:val="1"/>
      <w:marLeft w:val="0"/>
      <w:marRight w:val="0"/>
      <w:marTop w:val="0"/>
      <w:marBottom w:val="0"/>
      <w:divBdr>
        <w:top w:val="none" w:sz="0" w:space="0" w:color="auto"/>
        <w:left w:val="none" w:sz="0" w:space="0" w:color="auto"/>
        <w:bottom w:val="none" w:sz="0" w:space="0" w:color="auto"/>
        <w:right w:val="none" w:sz="0" w:space="0" w:color="auto"/>
      </w:divBdr>
    </w:div>
    <w:div w:id="707491919">
      <w:bodyDiv w:val="1"/>
      <w:marLeft w:val="0"/>
      <w:marRight w:val="0"/>
      <w:marTop w:val="0"/>
      <w:marBottom w:val="0"/>
      <w:divBdr>
        <w:top w:val="none" w:sz="0" w:space="0" w:color="auto"/>
        <w:left w:val="none" w:sz="0" w:space="0" w:color="auto"/>
        <w:bottom w:val="none" w:sz="0" w:space="0" w:color="auto"/>
        <w:right w:val="none" w:sz="0" w:space="0" w:color="auto"/>
      </w:divBdr>
    </w:div>
    <w:div w:id="707605594">
      <w:bodyDiv w:val="1"/>
      <w:marLeft w:val="0"/>
      <w:marRight w:val="0"/>
      <w:marTop w:val="0"/>
      <w:marBottom w:val="0"/>
      <w:divBdr>
        <w:top w:val="none" w:sz="0" w:space="0" w:color="auto"/>
        <w:left w:val="none" w:sz="0" w:space="0" w:color="auto"/>
        <w:bottom w:val="none" w:sz="0" w:space="0" w:color="auto"/>
        <w:right w:val="none" w:sz="0" w:space="0" w:color="auto"/>
      </w:divBdr>
      <w:divsChild>
        <w:div w:id="475336098">
          <w:marLeft w:val="0"/>
          <w:marRight w:val="0"/>
          <w:marTop w:val="0"/>
          <w:marBottom w:val="0"/>
          <w:divBdr>
            <w:top w:val="none" w:sz="0" w:space="0" w:color="auto"/>
            <w:left w:val="none" w:sz="0" w:space="0" w:color="auto"/>
            <w:bottom w:val="none" w:sz="0" w:space="0" w:color="auto"/>
            <w:right w:val="none" w:sz="0" w:space="0" w:color="auto"/>
          </w:divBdr>
          <w:divsChild>
            <w:div w:id="1640652584">
              <w:marLeft w:val="0"/>
              <w:marRight w:val="0"/>
              <w:marTop w:val="0"/>
              <w:marBottom w:val="0"/>
              <w:divBdr>
                <w:top w:val="none" w:sz="0" w:space="0" w:color="auto"/>
                <w:left w:val="none" w:sz="0" w:space="0" w:color="auto"/>
                <w:bottom w:val="none" w:sz="0" w:space="0" w:color="auto"/>
                <w:right w:val="none" w:sz="0" w:space="0" w:color="auto"/>
              </w:divBdr>
            </w:div>
          </w:divsChild>
        </w:div>
        <w:div w:id="487593564">
          <w:marLeft w:val="0"/>
          <w:marRight w:val="0"/>
          <w:marTop w:val="0"/>
          <w:marBottom w:val="0"/>
          <w:divBdr>
            <w:top w:val="none" w:sz="0" w:space="0" w:color="auto"/>
            <w:left w:val="none" w:sz="0" w:space="0" w:color="auto"/>
            <w:bottom w:val="none" w:sz="0" w:space="0" w:color="auto"/>
            <w:right w:val="none" w:sz="0" w:space="0" w:color="auto"/>
          </w:divBdr>
          <w:divsChild>
            <w:div w:id="674067975">
              <w:marLeft w:val="0"/>
              <w:marRight w:val="0"/>
              <w:marTop w:val="0"/>
              <w:marBottom w:val="0"/>
              <w:divBdr>
                <w:top w:val="none" w:sz="0" w:space="0" w:color="auto"/>
                <w:left w:val="none" w:sz="0" w:space="0" w:color="auto"/>
                <w:bottom w:val="none" w:sz="0" w:space="0" w:color="auto"/>
                <w:right w:val="none" w:sz="0" w:space="0" w:color="auto"/>
              </w:divBdr>
            </w:div>
          </w:divsChild>
        </w:div>
        <w:div w:id="953437904">
          <w:marLeft w:val="0"/>
          <w:marRight w:val="0"/>
          <w:marTop w:val="0"/>
          <w:marBottom w:val="0"/>
          <w:divBdr>
            <w:top w:val="none" w:sz="0" w:space="0" w:color="auto"/>
            <w:left w:val="none" w:sz="0" w:space="0" w:color="auto"/>
            <w:bottom w:val="none" w:sz="0" w:space="0" w:color="auto"/>
            <w:right w:val="none" w:sz="0" w:space="0" w:color="auto"/>
          </w:divBdr>
          <w:divsChild>
            <w:div w:id="1424108975">
              <w:marLeft w:val="0"/>
              <w:marRight w:val="0"/>
              <w:marTop w:val="0"/>
              <w:marBottom w:val="0"/>
              <w:divBdr>
                <w:top w:val="none" w:sz="0" w:space="0" w:color="auto"/>
                <w:left w:val="none" w:sz="0" w:space="0" w:color="auto"/>
                <w:bottom w:val="none" w:sz="0" w:space="0" w:color="auto"/>
                <w:right w:val="none" w:sz="0" w:space="0" w:color="auto"/>
              </w:divBdr>
            </w:div>
          </w:divsChild>
        </w:div>
        <w:div w:id="1226258700">
          <w:marLeft w:val="0"/>
          <w:marRight w:val="0"/>
          <w:marTop w:val="0"/>
          <w:marBottom w:val="0"/>
          <w:divBdr>
            <w:top w:val="none" w:sz="0" w:space="0" w:color="auto"/>
            <w:left w:val="none" w:sz="0" w:space="0" w:color="auto"/>
            <w:bottom w:val="none" w:sz="0" w:space="0" w:color="auto"/>
            <w:right w:val="none" w:sz="0" w:space="0" w:color="auto"/>
          </w:divBdr>
          <w:divsChild>
            <w:div w:id="1756589469">
              <w:marLeft w:val="0"/>
              <w:marRight w:val="0"/>
              <w:marTop w:val="0"/>
              <w:marBottom w:val="0"/>
              <w:divBdr>
                <w:top w:val="none" w:sz="0" w:space="0" w:color="auto"/>
                <w:left w:val="none" w:sz="0" w:space="0" w:color="auto"/>
                <w:bottom w:val="none" w:sz="0" w:space="0" w:color="auto"/>
                <w:right w:val="none" w:sz="0" w:space="0" w:color="auto"/>
              </w:divBdr>
            </w:div>
          </w:divsChild>
        </w:div>
        <w:div w:id="1380285187">
          <w:marLeft w:val="0"/>
          <w:marRight w:val="0"/>
          <w:marTop w:val="0"/>
          <w:marBottom w:val="0"/>
          <w:divBdr>
            <w:top w:val="none" w:sz="0" w:space="0" w:color="auto"/>
            <w:left w:val="none" w:sz="0" w:space="0" w:color="auto"/>
            <w:bottom w:val="none" w:sz="0" w:space="0" w:color="auto"/>
            <w:right w:val="none" w:sz="0" w:space="0" w:color="auto"/>
          </w:divBdr>
          <w:divsChild>
            <w:div w:id="1630433570">
              <w:marLeft w:val="0"/>
              <w:marRight w:val="0"/>
              <w:marTop w:val="0"/>
              <w:marBottom w:val="0"/>
              <w:divBdr>
                <w:top w:val="none" w:sz="0" w:space="0" w:color="auto"/>
                <w:left w:val="none" w:sz="0" w:space="0" w:color="auto"/>
                <w:bottom w:val="none" w:sz="0" w:space="0" w:color="auto"/>
                <w:right w:val="none" w:sz="0" w:space="0" w:color="auto"/>
              </w:divBdr>
            </w:div>
          </w:divsChild>
        </w:div>
        <w:div w:id="1733774120">
          <w:marLeft w:val="0"/>
          <w:marRight w:val="0"/>
          <w:marTop w:val="0"/>
          <w:marBottom w:val="0"/>
          <w:divBdr>
            <w:top w:val="none" w:sz="0" w:space="0" w:color="auto"/>
            <w:left w:val="none" w:sz="0" w:space="0" w:color="auto"/>
            <w:bottom w:val="none" w:sz="0" w:space="0" w:color="auto"/>
            <w:right w:val="none" w:sz="0" w:space="0" w:color="auto"/>
          </w:divBdr>
          <w:divsChild>
            <w:div w:id="67950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20227">
      <w:bodyDiv w:val="1"/>
      <w:marLeft w:val="0"/>
      <w:marRight w:val="0"/>
      <w:marTop w:val="0"/>
      <w:marBottom w:val="0"/>
      <w:divBdr>
        <w:top w:val="none" w:sz="0" w:space="0" w:color="auto"/>
        <w:left w:val="none" w:sz="0" w:space="0" w:color="auto"/>
        <w:bottom w:val="none" w:sz="0" w:space="0" w:color="auto"/>
        <w:right w:val="none" w:sz="0" w:space="0" w:color="auto"/>
      </w:divBdr>
    </w:div>
    <w:div w:id="709107044">
      <w:bodyDiv w:val="1"/>
      <w:marLeft w:val="0"/>
      <w:marRight w:val="0"/>
      <w:marTop w:val="0"/>
      <w:marBottom w:val="0"/>
      <w:divBdr>
        <w:top w:val="none" w:sz="0" w:space="0" w:color="auto"/>
        <w:left w:val="none" w:sz="0" w:space="0" w:color="auto"/>
        <w:bottom w:val="none" w:sz="0" w:space="0" w:color="auto"/>
        <w:right w:val="none" w:sz="0" w:space="0" w:color="auto"/>
      </w:divBdr>
    </w:div>
    <w:div w:id="711809180">
      <w:bodyDiv w:val="1"/>
      <w:marLeft w:val="0"/>
      <w:marRight w:val="0"/>
      <w:marTop w:val="0"/>
      <w:marBottom w:val="0"/>
      <w:divBdr>
        <w:top w:val="none" w:sz="0" w:space="0" w:color="auto"/>
        <w:left w:val="none" w:sz="0" w:space="0" w:color="auto"/>
        <w:bottom w:val="none" w:sz="0" w:space="0" w:color="auto"/>
        <w:right w:val="none" w:sz="0" w:space="0" w:color="auto"/>
      </w:divBdr>
    </w:div>
    <w:div w:id="712460715">
      <w:bodyDiv w:val="1"/>
      <w:marLeft w:val="0"/>
      <w:marRight w:val="0"/>
      <w:marTop w:val="0"/>
      <w:marBottom w:val="0"/>
      <w:divBdr>
        <w:top w:val="none" w:sz="0" w:space="0" w:color="auto"/>
        <w:left w:val="none" w:sz="0" w:space="0" w:color="auto"/>
        <w:bottom w:val="none" w:sz="0" w:space="0" w:color="auto"/>
        <w:right w:val="none" w:sz="0" w:space="0" w:color="auto"/>
      </w:divBdr>
    </w:div>
    <w:div w:id="713194033">
      <w:bodyDiv w:val="1"/>
      <w:marLeft w:val="0"/>
      <w:marRight w:val="0"/>
      <w:marTop w:val="0"/>
      <w:marBottom w:val="0"/>
      <w:divBdr>
        <w:top w:val="none" w:sz="0" w:space="0" w:color="auto"/>
        <w:left w:val="none" w:sz="0" w:space="0" w:color="auto"/>
        <w:bottom w:val="none" w:sz="0" w:space="0" w:color="auto"/>
        <w:right w:val="none" w:sz="0" w:space="0" w:color="auto"/>
      </w:divBdr>
    </w:div>
    <w:div w:id="716317220">
      <w:bodyDiv w:val="1"/>
      <w:marLeft w:val="0"/>
      <w:marRight w:val="0"/>
      <w:marTop w:val="0"/>
      <w:marBottom w:val="0"/>
      <w:divBdr>
        <w:top w:val="none" w:sz="0" w:space="0" w:color="auto"/>
        <w:left w:val="none" w:sz="0" w:space="0" w:color="auto"/>
        <w:bottom w:val="none" w:sz="0" w:space="0" w:color="auto"/>
        <w:right w:val="none" w:sz="0" w:space="0" w:color="auto"/>
      </w:divBdr>
    </w:div>
    <w:div w:id="716854142">
      <w:bodyDiv w:val="1"/>
      <w:marLeft w:val="0"/>
      <w:marRight w:val="0"/>
      <w:marTop w:val="0"/>
      <w:marBottom w:val="0"/>
      <w:divBdr>
        <w:top w:val="none" w:sz="0" w:space="0" w:color="auto"/>
        <w:left w:val="none" w:sz="0" w:space="0" w:color="auto"/>
        <w:bottom w:val="none" w:sz="0" w:space="0" w:color="auto"/>
        <w:right w:val="none" w:sz="0" w:space="0" w:color="auto"/>
      </w:divBdr>
    </w:div>
    <w:div w:id="717045212">
      <w:bodyDiv w:val="1"/>
      <w:marLeft w:val="0"/>
      <w:marRight w:val="0"/>
      <w:marTop w:val="0"/>
      <w:marBottom w:val="0"/>
      <w:divBdr>
        <w:top w:val="none" w:sz="0" w:space="0" w:color="auto"/>
        <w:left w:val="none" w:sz="0" w:space="0" w:color="auto"/>
        <w:bottom w:val="none" w:sz="0" w:space="0" w:color="auto"/>
        <w:right w:val="none" w:sz="0" w:space="0" w:color="auto"/>
      </w:divBdr>
    </w:div>
    <w:div w:id="717583447">
      <w:bodyDiv w:val="1"/>
      <w:marLeft w:val="0"/>
      <w:marRight w:val="0"/>
      <w:marTop w:val="0"/>
      <w:marBottom w:val="0"/>
      <w:divBdr>
        <w:top w:val="none" w:sz="0" w:space="0" w:color="auto"/>
        <w:left w:val="none" w:sz="0" w:space="0" w:color="auto"/>
        <w:bottom w:val="none" w:sz="0" w:space="0" w:color="auto"/>
        <w:right w:val="none" w:sz="0" w:space="0" w:color="auto"/>
      </w:divBdr>
    </w:div>
    <w:div w:id="717976458">
      <w:bodyDiv w:val="1"/>
      <w:marLeft w:val="0"/>
      <w:marRight w:val="0"/>
      <w:marTop w:val="0"/>
      <w:marBottom w:val="0"/>
      <w:divBdr>
        <w:top w:val="none" w:sz="0" w:space="0" w:color="auto"/>
        <w:left w:val="none" w:sz="0" w:space="0" w:color="auto"/>
        <w:bottom w:val="none" w:sz="0" w:space="0" w:color="auto"/>
        <w:right w:val="none" w:sz="0" w:space="0" w:color="auto"/>
      </w:divBdr>
    </w:div>
    <w:div w:id="719549009">
      <w:bodyDiv w:val="1"/>
      <w:marLeft w:val="0"/>
      <w:marRight w:val="0"/>
      <w:marTop w:val="0"/>
      <w:marBottom w:val="0"/>
      <w:divBdr>
        <w:top w:val="none" w:sz="0" w:space="0" w:color="auto"/>
        <w:left w:val="none" w:sz="0" w:space="0" w:color="auto"/>
        <w:bottom w:val="none" w:sz="0" w:space="0" w:color="auto"/>
        <w:right w:val="none" w:sz="0" w:space="0" w:color="auto"/>
      </w:divBdr>
    </w:div>
    <w:div w:id="720440927">
      <w:bodyDiv w:val="1"/>
      <w:marLeft w:val="0"/>
      <w:marRight w:val="0"/>
      <w:marTop w:val="0"/>
      <w:marBottom w:val="0"/>
      <w:divBdr>
        <w:top w:val="none" w:sz="0" w:space="0" w:color="auto"/>
        <w:left w:val="none" w:sz="0" w:space="0" w:color="auto"/>
        <w:bottom w:val="none" w:sz="0" w:space="0" w:color="auto"/>
        <w:right w:val="none" w:sz="0" w:space="0" w:color="auto"/>
      </w:divBdr>
    </w:div>
    <w:div w:id="724988124">
      <w:bodyDiv w:val="1"/>
      <w:marLeft w:val="0"/>
      <w:marRight w:val="0"/>
      <w:marTop w:val="0"/>
      <w:marBottom w:val="0"/>
      <w:divBdr>
        <w:top w:val="none" w:sz="0" w:space="0" w:color="auto"/>
        <w:left w:val="none" w:sz="0" w:space="0" w:color="auto"/>
        <w:bottom w:val="none" w:sz="0" w:space="0" w:color="auto"/>
        <w:right w:val="none" w:sz="0" w:space="0" w:color="auto"/>
      </w:divBdr>
    </w:div>
    <w:div w:id="731541843">
      <w:bodyDiv w:val="1"/>
      <w:marLeft w:val="0"/>
      <w:marRight w:val="0"/>
      <w:marTop w:val="0"/>
      <w:marBottom w:val="0"/>
      <w:divBdr>
        <w:top w:val="none" w:sz="0" w:space="0" w:color="auto"/>
        <w:left w:val="none" w:sz="0" w:space="0" w:color="auto"/>
        <w:bottom w:val="none" w:sz="0" w:space="0" w:color="auto"/>
        <w:right w:val="none" w:sz="0" w:space="0" w:color="auto"/>
      </w:divBdr>
    </w:div>
    <w:div w:id="731660800">
      <w:bodyDiv w:val="1"/>
      <w:marLeft w:val="0"/>
      <w:marRight w:val="0"/>
      <w:marTop w:val="0"/>
      <w:marBottom w:val="0"/>
      <w:divBdr>
        <w:top w:val="none" w:sz="0" w:space="0" w:color="auto"/>
        <w:left w:val="none" w:sz="0" w:space="0" w:color="auto"/>
        <w:bottom w:val="none" w:sz="0" w:space="0" w:color="auto"/>
        <w:right w:val="none" w:sz="0" w:space="0" w:color="auto"/>
      </w:divBdr>
    </w:div>
    <w:div w:id="733240530">
      <w:bodyDiv w:val="1"/>
      <w:marLeft w:val="0"/>
      <w:marRight w:val="0"/>
      <w:marTop w:val="0"/>
      <w:marBottom w:val="0"/>
      <w:divBdr>
        <w:top w:val="none" w:sz="0" w:space="0" w:color="auto"/>
        <w:left w:val="none" w:sz="0" w:space="0" w:color="auto"/>
        <w:bottom w:val="none" w:sz="0" w:space="0" w:color="auto"/>
        <w:right w:val="none" w:sz="0" w:space="0" w:color="auto"/>
      </w:divBdr>
    </w:div>
    <w:div w:id="733773298">
      <w:bodyDiv w:val="1"/>
      <w:marLeft w:val="0"/>
      <w:marRight w:val="0"/>
      <w:marTop w:val="0"/>
      <w:marBottom w:val="0"/>
      <w:divBdr>
        <w:top w:val="none" w:sz="0" w:space="0" w:color="auto"/>
        <w:left w:val="none" w:sz="0" w:space="0" w:color="auto"/>
        <w:bottom w:val="none" w:sz="0" w:space="0" w:color="auto"/>
        <w:right w:val="none" w:sz="0" w:space="0" w:color="auto"/>
      </w:divBdr>
    </w:div>
    <w:div w:id="734740943">
      <w:bodyDiv w:val="1"/>
      <w:marLeft w:val="0"/>
      <w:marRight w:val="0"/>
      <w:marTop w:val="0"/>
      <w:marBottom w:val="0"/>
      <w:divBdr>
        <w:top w:val="none" w:sz="0" w:space="0" w:color="auto"/>
        <w:left w:val="none" w:sz="0" w:space="0" w:color="auto"/>
        <w:bottom w:val="none" w:sz="0" w:space="0" w:color="auto"/>
        <w:right w:val="none" w:sz="0" w:space="0" w:color="auto"/>
      </w:divBdr>
    </w:div>
    <w:div w:id="735202611">
      <w:bodyDiv w:val="1"/>
      <w:marLeft w:val="0"/>
      <w:marRight w:val="0"/>
      <w:marTop w:val="0"/>
      <w:marBottom w:val="0"/>
      <w:divBdr>
        <w:top w:val="none" w:sz="0" w:space="0" w:color="auto"/>
        <w:left w:val="none" w:sz="0" w:space="0" w:color="auto"/>
        <w:bottom w:val="none" w:sz="0" w:space="0" w:color="auto"/>
        <w:right w:val="none" w:sz="0" w:space="0" w:color="auto"/>
      </w:divBdr>
    </w:div>
    <w:div w:id="735586311">
      <w:bodyDiv w:val="1"/>
      <w:marLeft w:val="0"/>
      <w:marRight w:val="0"/>
      <w:marTop w:val="0"/>
      <w:marBottom w:val="0"/>
      <w:divBdr>
        <w:top w:val="none" w:sz="0" w:space="0" w:color="auto"/>
        <w:left w:val="none" w:sz="0" w:space="0" w:color="auto"/>
        <w:bottom w:val="none" w:sz="0" w:space="0" w:color="auto"/>
        <w:right w:val="none" w:sz="0" w:space="0" w:color="auto"/>
      </w:divBdr>
    </w:div>
    <w:div w:id="737289118">
      <w:bodyDiv w:val="1"/>
      <w:marLeft w:val="0"/>
      <w:marRight w:val="0"/>
      <w:marTop w:val="0"/>
      <w:marBottom w:val="0"/>
      <w:divBdr>
        <w:top w:val="none" w:sz="0" w:space="0" w:color="auto"/>
        <w:left w:val="none" w:sz="0" w:space="0" w:color="auto"/>
        <w:bottom w:val="none" w:sz="0" w:space="0" w:color="auto"/>
        <w:right w:val="none" w:sz="0" w:space="0" w:color="auto"/>
      </w:divBdr>
    </w:div>
    <w:div w:id="738819986">
      <w:bodyDiv w:val="1"/>
      <w:marLeft w:val="0"/>
      <w:marRight w:val="0"/>
      <w:marTop w:val="0"/>
      <w:marBottom w:val="0"/>
      <w:divBdr>
        <w:top w:val="none" w:sz="0" w:space="0" w:color="auto"/>
        <w:left w:val="none" w:sz="0" w:space="0" w:color="auto"/>
        <w:bottom w:val="none" w:sz="0" w:space="0" w:color="auto"/>
        <w:right w:val="none" w:sz="0" w:space="0" w:color="auto"/>
      </w:divBdr>
    </w:div>
    <w:div w:id="741830537">
      <w:bodyDiv w:val="1"/>
      <w:marLeft w:val="0"/>
      <w:marRight w:val="0"/>
      <w:marTop w:val="0"/>
      <w:marBottom w:val="0"/>
      <w:divBdr>
        <w:top w:val="none" w:sz="0" w:space="0" w:color="auto"/>
        <w:left w:val="none" w:sz="0" w:space="0" w:color="auto"/>
        <w:bottom w:val="none" w:sz="0" w:space="0" w:color="auto"/>
        <w:right w:val="none" w:sz="0" w:space="0" w:color="auto"/>
      </w:divBdr>
    </w:div>
    <w:div w:id="746029019">
      <w:bodyDiv w:val="1"/>
      <w:marLeft w:val="0"/>
      <w:marRight w:val="0"/>
      <w:marTop w:val="0"/>
      <w:marBottom w:val="0"/>
      <w:divBdr>
        <w:top w:val="none" w:sz="0" w:space="0" w:color="auto"/>
        <w:left w:val="none" w:sz="0" w:space="0" w:color="auto"/>
        <w:bottom w:val="none" w:sz="0" w:space="0" w:color="auto"/>
        <w:right w:val="none" w:sz="0" w:space="0" w:color="auto"/>
      </w:divBdr>
    </w:div>
    <w:div w:id="746848378">
      <w:bodyDiv w:val="1"/>
      <w:marLeft w:val="0"/>
      <w:marRight w:val="0"/>
      <w:marTop w:val="0"/>
      <w:marBottom w:val="0"/>
      <w:divBdr>
        <w:top w:val="none" w:sz="0" w:space="0" w:color="auto"/>
        <w:left w:val="none" w:sz="0" w:space="0" w:color="auto"/>
        <w:bottom w:val="none" w:sz="0" w:space="0" w:color="auto"/>
        <w:right w:val="none" w:sz="0" w:space="0" w:color="auto"/>
      </w:divBdr>
    </w:div>
    <w:div w:id="747390314">
      <w:bodyDiv w:val="1"/>
      <w:marLeft w:val="0"/>
      <w:marRight w:val="0"/>
      <w:marTop w:val="0"/>
      <w:marBottom w:val="0"/>
      <w:divBdr>
        <w:top w:val="none" w:sz="0" w:space="0" w:color="auto"/>
        <w:left w:val="none" w:sz="0" w:space="0" w:color="auto"/>
        <w:bottom w:val="none" w:sz="0" w:space="0" w:color="auto"/>
        <w:right w:val="none" w:sz="0" w:space="0" w:color="auto"/>
      </w:divBdr>
    </w:div>
    <w:div w:id="750783125">
      <w:bodyDiv w:val="1"/>
      <w:marLeft w:val="0"/>
      <w:marRight w:val="0"/>
      <w:marTop w:val="0"/>
      <w:marBottom w:val="0"/>
      <w:divBdr>
        <w:top w:val="none" w:sz="0" w:space="0" w:color="auto"/>
        <w:left w:val="none" w:sz="0" w:space="0" w:color="auto"/>
        <w:bottom w:val="none" w:sz="0" w:space="0" w:color="auto"/>
        <w:right w:val="none" w:sz="0" w:space="0" w:color="auto"/>
      </w:divBdr>
    </w:div>
    <w:div w:id="751389844">
      <w:bodyDiv w:val="1"/>
      <w:marLeft w:val="0"/>
      <w:marRight w:val="0"/>
      <w:marTop w:val="0"/>
      <w:marBottom w:val="0"/>
      <w:divBdr>
        <w:top w:val="none" w:sz="0" w:space="0" w:color="auto"/>
        <w:left w:val="none" w:sz="0" w:space="0" w:color="auto"/>
        <w:bottom w:val="none" w:sz="0" w:space="0" w:color="auto"/>
        <w:right w:val="none" w:sz="0" w:space="0" w:color="auto"/>
      </w:divBdr>
    </w:div>
    <w:div w:id="753939636">
      <w:bodyDiv w:val="1"/>
      <w:marLeft w:val="0"/>
      <w:marRight w:val="0"/>
      <w:marTop w:val="0"/>
      <w:marBottom w:val="0"/>
      <w:divBdr>
        <w:top w:val="none" w:sz="0" w:space="0" w:color="auto"/>
        <w:left w:val="none" w:sz="0" w:space="0" w:color="auto"/>
        <w:bottom w:val="none" w:sz="0" w:space="0" w:color="auto"/>
        <w:right w:val="none" w:sz="0" w:space="0" w:color="auto"/>
      </w:divBdr>
    </w:div>
    <w:div w:id="754740962">
      <w:bodyDiv w:val="1"/>
      <w:marLeft w:val="0"/>
      <w:marRight w:val="0"/>
      <w:marTop w:val="0"/>
      <w:marBottom w:val="0"/>
      <w:divBdr>
        <w:top w:val="none" w:sz="0" w:space="0" w:color="auto"/>
        <w:left w:val="none" w:sz="0" w:space="0" w:color="auto"/>
        <w:bottom w:val="none" w:sz="0" w:space="0" w:color="auto"/>
        <w:right w:val="none" w:sz="0" w:space="0" w:color="auto"/>
      </w:divBdr>
    </w:div>
    <w:div w:id="754741602">
      <w:bodyDiv w:val="1"/>
      <w:marLeft w:val="0"/>
      <w:marRight w:val="0"/>
      <w:marTop w:val="0"/>
      <w:marBottom w:val="0"/>
      <w:divBdr>
        <w:top w:val="none" w:sz="0" w:space="0" w:color="auto"/>
        <w:left w:val="none" w:sz="0" w:space="0" w:color="auto"/>
        <w:bottom w:val="none" w:sz="0" w:space="0" w:color="auto"/>
        <w:right w:val="none" w:sz="0" w:space="0" w:color="auto"/>
      </w:divBdr>
    </w:div>
    <w:div w:id="755394881">
      <w:bodyDiv w:val="1"/>
      <w:marLeft w:val="0"/>
      <w:marRight w:val="0"/>
      <w:marTop w:val="0"/>
      <w:marBottom w:val="0"/>
      <w:divBdr>
        <w:top w:val="none" w:sz="0" w:space="0" w:color="auto"/>
        <w:left w:val="none" w:sz="0" w:space="0" w:color="auto"/>
        <w:bottom w:val="none" w:sz="0" w:space="0" w:color="auto"/>
        <w:right w:val="none" w:sz="0" w:space="0" w:color="auto"/>
      </w:divBdr>
    </w:div>
    <w:div w:id="756025426">
      <w:bodyDiv w:val="1"/>
      <w:marLeft w:val="0"/>
      <w:marRight w:val="0"/>
      <w:marTop w:val="0"/>
      <w:marBottom w:val="0"/>
      <w:divBdr>
        <w:top w:val="none" w:sz="0" w:space="0" w:color="auto"/>
        <w:left w:val="none" w:sz="0" w:space="0" w:color="auto"/>
        <w:bottom w:val="none" w:sz="0" w:space="0" w:color="auto"/>
        <w:right w:val="none" w:sz="0" w:space="0" w:color="auto"/>
      </w:divBdr>
    </w:div>
    <w:div w:id="757753600">
      <w:bodyDiv w:val="1"/>
      <w:marLeft w:val="0"/>
      <w:marRight w:val="0"/>
      <w:marTop w:val="0"/>
      <w:marBottom w:val="0"/>
      <w:divBdr>
        <w:top w:val="none" w:sz="0" w:space="0" w:color="auto"/>
        <w:left w:val="none" w:sz="0" w:space="0" w:color="auto"/>
        <w:bottom w:val="none" w:sz="0" w:space="0" w:color="auto"/>
        <w:right w:val="none" w:sz="0" w:space="0" w:color="auto"/>
      </w:divBdr>
    </w:div>
    <w:div w:id="760835191">
      <w:bodyDiv w:val="1"/>
      <w:marLeft w:val="0"/>
      <w:marRight w:val="0"/>
      <w:marTop w:val="0"/>
      <w:marBottom w:val="0"/>
      <w:divBdr>
        <w:top w:val="none" w:sz="0" w:space="0" w:color="auto"/>
        <w:left w:val="none" w:sz="0" w:space="0" w:color="auto"/>
        <w:bottom w:val="none" w:sz="0" w:space="0" w:color="auto"/>
        <w:right w:val="none" w:sz="0" w:space="0" w:color="auto"/>
      </w:divBdr>
    </w:div>
    <w:div w:id="760952360">
      <w:bodyDiv w:val="1"/>
      <w:marLeft w:val="0"/>
      <w:marRight w:val="0"/>
      <w:marTop w:val="0"/>
      <w:marBottom w:val="0"/>
      <w:divBdr>
        <w:top w:val="none" w:sz="0" w:space="0" w:color="auto"/>
        <w:left w:val="none" w:sz="0" w:space="0" w:color="auto"/>
        <w:bottom w:val="none" w:sz="0" w:space="0" w:color="auto"/>
        <w:right w:val="none" w:sz="0" w:space="0" w:color="auto"/>
      </w:divBdr>
    </w:div>
    <w:div w:id="764498276">
      <w:bodyDiv w:val="1"/>
      <w:marLeft w:val="0"/>
      <w:marRight w:val="0"/>
      <w:marTop w:val="0"/>
      <w:marBottom w:val="0"/>
      <w:divBdr>
        <w:top w:val="none" w:sz="0" w:space="0" w:color="auto"/>
        <w:left w:val="none" w:sz="0" w:space="0" w:color="auto"/>
        <w:bottom w:val="none" w:sz="0" w:space="0" w:color="auto"/>
        <w:right w:val="none" w:sz="0" w:space="0" w:color="auto"/>
      </w:divBdr>
    </w:div>
    <w:div w:id="768742700">
      <w:bodyDiv w:val="1"/>
      <w:marLeft w:val="0"/>
      <w:marRight w:val="0"/>
      <w:marTop w:val="0"/>
      <w:marBottom w:val="0"/>
      <w:divBdr>
        <w:top w:val="none" w:sz="0" w:space="0" w:color="auto"/>
        <w:left w:val="none" w:sz="0" w:space="0" w:color="auto"/>
        <w:bottom w:val="none" w:sz="0" w:space="0" w:color="auto"/>
        <w:right w:val="none" w:sz="0" w:space="0" w:color="auto"/>
      </w:divBdr>
    </w:div>
    <w:div w:id="771166509">
      <w:bodyDiv w:val="1"/>
      <w:marLeft w:val="0"/>
      <w:marRight w:val="0"/>
      <w:marTop w:val="0"/>
      <w:marBottom w:val="0"/>
      <w:divBdr>
        <w:top w:val="none" w:sz="0" w:space="0" w:color="auto"/>
        <w:left w:val="none" w:sz="0" w:space="0" w:color="auto"/>
        <w:bottom w:val="none" w:sz="0" w:space="0" w:color="auto"/>
        <w:right w:val="none" w:sz="0" w:space="0" w:color="auto"/>
      </w:divBdr>
    </w:div>
    <w:div w:id="777480604">
      <w:bodyDiv w:val="1"/>
      <w:marLeft w:val="0"/>
      <w:marRight w:val="0"/>
      <w:marTop w:val="0"/>
      <w:marBottom w:val="0"/>
      <w:divBdr>
        <w:top w:val="none" w:sz="0" w:space="0" w:color="auto"/>
        <w:left w:val="none" w:sz="0" w:space="0" w:color="auto"/>
        <w:bottom w:val="none" w:sz="0" w:space="0" w:color="auto"/>
        <w:right w:val="none" w:sz="0" w:space="0" w:color="auto"/>
      </w:divBdr>
    </w:div>
    <w:div w:id="779565285">
      <w:bodyDiv w:val="1"/>
      <w:marLeft w:val="0"/>
      <w:marRight w:val="0"/>
      <w:marTop w:val="0"/>
      <w:marBottom w:val="0"/>
      <w:divBdr>
        <w:top w:val="none" w:sz="0" w:space="0" w:color="auto"/>
        <w:left w:val="none" w:sz="0" w:space="0" w:color="auto"/>
        <w:bottom w:val="none" w:sz="0" w:space="0" w:color="auto"/>
        <w:right w:val="none" w:sz="0" w:space="0" w:color="auto"/>
      </w:divBdr>
    </w:div>
    <w:div w:id="779763083">
      <w:bodyDiv w:val="1"/>
      <w:marLeft w:val="0"/>
      <w:marRight w:val="0"/>
      <w:marTop w:val="0"/>
      <w:marBottom w:val="0"/>
      <w:divBdr>
        <w:top w:val="none" w:sz="0" w:space="0" w:color="auto"/>
        <w:left w:val="none" w:sz="0" w:space="0" w:color="auto"/>
        <w:bottom w:val="none" w:sz="0" w:space="0" w:color="auto"/>
        <w:right w:val="none" w:sz="0" w:space="0" w:color="auto"/>
      </w:divBdr>
    </w:div>
    <w:div w:id="781539463">
      <w:bodyDiv w:val="1"/>
      <w:marLeft w:val="0"/>
      <w:marRight w:val="0"/>
      <w:marTop w:val="0"/>
      <w:marBottom w:val="0"/>
      <w:divBdr>
        <w:top w:val="none" w:sz="0" w:space="0" w:color="auto"/>
        <w:left w:val="none" w:sz="0" w:space="0" w:color="auto"/>
        <w:bottom w:val="none" w:sz="0" w:space="0" w:color="auto"/>
        <w:right w:val="none" w:sz="0" w:space="0" w:color="auto"/>
      </w:divBdr>
    </w:div>
    <w:div w:id="782110180">
      <w:bodyDiv w:val="1"/>
      <w:marLeft w:val="0"/>
      <w:marRight w:val="0"/>
      <w:marTop w:val="0"/>
      <w:marBottom w:val="0"/>
      <w:divBdr>
        <w:top w:val="none" w:sz="0" w:space="0" w:color="auto"/>
        <w:left w:val="none" w:sz="0" w:space="0" w:color="auto"/>
        <w:bottom w:val="none" w:sz="0" w:space="0" w:color="auto"/>
        <w:right w:val="none" w:sz="0" w:space="0" w:color="auto"/>
      </w:divBdr>
    </w:div>
    <w:div w:id="787428045">
      <w:bodyDiv w:val="1"/>
      <w:marLeft w:val="0"/>
      <w:marRight w:val="0"/>
      <w:marTop w:val="0"/>
      <w:marBottom w:val="0"/>
      <w:divBdr>
        <w:top w:val="none" w:sz="0" w:space="0" w:color="auto"/>
        <w:left w:val="none" w:sz="0" w:space="0" w:color="auto"/>
        <w:bottom w:val="none" w:sz="0" w:space="0" w:color="auto"/>
        <w:right w:val="none" w:sz="0" w:space="0" w:color="auto"/>
      </w:divBdr>
    </w:div>
    <w:div w:id="787891478">
      <w:bodyDiv w:val="1"/>
      <w:marLeft w:val="0"/>
      <w:marRight w:val="0"/>
      <w:marTop w:val="0"/>
      <w:marBottom w:val="0"/>
      <w:divBdr>
        <w:top w:val="none" w:sz="0" w:space="0" w:color="auto"/>
        <w:left w:val="none" w:sz="0" w:space="0" w:color="auto"/>
        <w:bottom w:val="none" w:sz="0" w:space="0" w:color="auto"/>
        <w:right w:val="none" w:sz="0" w:space="0" w:color="auto"/>
      </w:divBdr>
    </w:div>
    <w:div w:id="790785872">
      <w:bodyDiv w:val="1"/>
      <w:marLeft w:val="0"/>
      <w:marRight w:val="0"/>
      <w:marTop w:val="0"/>
      <w:marBottom w:val="0"/>
      <w:divBdr>
        <w:top w:val="none" w:sz="0" w:space="0" w:color="auto"/>
        <w:left w:val="none" w:sz="0" w:space="0" w:color="auto"/>
        <w:bottom w:val="none" w:sz="0" w:space="0" w:color="auto"/>
        <w:right w:val="none" w:sz="0" w:space="0" w:color="auto"/>
      </w:divBdr>
    </w:div>
    <w:div w:id="791171250">
      <w:bodyDiv w:val="1"/>
      <w:marLeft w:val="0"/>
      <w:marRight w:val="0"/>
      <w:marTop w:val="0"/>
      <w:marBottom w:val="0"/>
      <w:divBdr>
        <w:top w:val="none" w:sz="0" w:space="0" w:color="auto"/>
        <w:left w:val="none" w:sz="0" w:space="0" w:color="auto"/>
        <w:bottom w:val="none" w:sz="0" w:space="0" w:color="auto"/>
        <w:right w:val="none" w:sz="0" w:space="0" w:color="auto"/>
      </w:divBdr>
    </w:div>
    <w:div w:id="792021129">
      <w:bodyDiv w:val="1"/>
      <w:marLeft w:val="0"/>
      <w:marRight w:val="0"/>
      <w:marTop w:val="0"/>
      <w:marBottom w:val="0"/>
      <w:divBdr>
        <w:top w:val="none" w:sz="0" w:space="0" w:color="auto"/>
        <w:left w:val="none" w:sz="0" w:space="0" w:color="auto"/>
        <w:bottom w:val="none" w:sz="0" w:space="0" w:color="auto"/>
        <w:right w:val="none" w:sz="0" w:space="0" w:color="auto"/>
      </w:divBdr>
    </w:div>
    <w:div w:id="792410503">
      <w:bodyDiv w:val="1"/>
      <w:marLeft w:val="0"/>
      <w:marRight w:val="0"/>
      <w:marTop w:val="0"/>
      <w:marBottom w:val="0"/>
      <w:divBdr>
        <w:top w:val="none" w:sz="0" w:space="0" w:color="auto"/>
        <w:left w:val="none" w:sz="0" w:space="0" w:color="auto"/>
        <w:bottom w:val="none" w:sz="0" w:space="0" w:color="auto"/>
        <w:right w:val="none" w:sz="0" w:space="0" w:color="auto"/>
      </w:divBdr>
    </w:div>
    <w:div w:id="793064715">
      <w:bodyDiv w:val="1"/>
      <w:marLeft w:val="0"/>
      <w:marRight w:val="0"/>
      <w:marTop w:val="0"/>
      <w:marBottom w:val="0"/>
      <w:divBdr>
        <w:top w:val="none" w:sz="0" w:space="0" w:color="auto"/>
        <w:left w:val="none" w:sz="0" w:space="0" w:color="auto"/>
        <w:bottom w:val="none" w:sz="0" w:space="0" w:color="auto"/>
        <w:right w:val="none" w:sz="0" w:space="0" w:color="auto"/>
      </w:divBdr>
    </w:div>
    <w:div w:id="793641079">
      <w:bodyDiv w:val="1"/>
      <w:marLeft w:val="0"/>
      <w:marRight w:val="0"/>
      <w:marTop w:val="0"/>
      <w:marBottom w:val="0"/>
      <w:divBdr>
        <w:top w:val="none" w:sz="0" w:space="0" w:color="auto"/>
        <w:left w:val="none" w:sz="0" w:space="0" w:color="auto"/>
        <w:bottom w:val="none" w:sz="0" w:space="0" w:color="auto"/>
        <w:right w:val="none" w:sz="0" w:space="0" w:color="auto"/>
      </w:divBdr>
    </w:div>
    <w:div w:id="795372809">
      <w:bodyDiv w:val="1"/>
      <w:marLeft w:val="0"/>
      <w:marRight w:val="0"/>
      <w:marTop w:val="0"/>
      <w:marBottom w:val="0"/>
      <w:divBdr>
        <w:top w:val="none" w:sz="0" w:space="0" w:color="auto"/>
        <w:left w:val="none" w:sz="0" w:space="0" w:color="auto"/>
        <w:bottom w:val="none" w:sz="0" w:space="0" w:color="auto"/>
        <w:right w:val="none" w:sz="0" w:space="0" w:color="auto"/>
      </w:divBdr>
    </w:div>
    <w:div w:id="795442956">
      <w:bodyDiv w:val="1"/>
      <w:marLeft w:val="0"/>
      <w:marRight w:val="0"/>
      <w:marTop w:val="0"/>
      <w:marBottom w:val="0"/>
      <w:divBdr>
        <w:top w:val="none" w:sz="0" w:space="0" w:color="auto"/>
        <w:left w:val="none" w:sz="0" w:space="0" w:color="auto"/>
        <w:bottom w:val="none" w:sz="0" w:space="0" w:color="auto"/>
        <w:right w:val="none" w:sz="0" w:space="0" w:color="auto"/>
      </w:divBdr>
    </w:div>
    <w:div w:id="796333549">
      <w:bodyDiv w:val="1"/>
      <w:marLeft w:val="0"/>
      <w:marRight w:val="0"/>
      <w:marTop w:val="0"/>
      <w:marBottom w:val="0"/>
      <w:divBdr>
        <w:top w:val="none" w:sz="0" w:space="0" w:color="auto"/>
        <w:left w:val="none" w:sz="0" w:space="0" w:color="auto"/>
        <w:bottom w:val="none" w:sz="0" w:space="0" w:color="auto"/>
        <w:right w:val="none" w:sz="0" w:space="0" w:color="auto"/>
      </w:divBdr>
    </w:div>
    <w:div w:id="797115365">
      <w:bodyDiv w:val="1"/>
      <w:marLeft w:val="0"/>
      <w:marRight w:val="0"/>
      <w:marTop w:val="0"/>
      <w:marBottom w:val="0"/>
      <w:divBdr>
        <w:top w:val="none" w:sz="0" w:space="0" w:color="auto"/>
        <w:left w:val="none" w:sz="0" w:space="0" w:color="auto"/>
        <w:bottom w:val="none" w:sz="0" w:space="0" w:color="auto"/>
        <w:right w:val="none" w:sz="0" w:space="0" w:color="auto"/>
      </w:divBdr>
    </w:div>
    <w:div w:id="797257245">
      <w:bodyDiv w:val="1"/>
      <w:marLeft w:val="0"/>
      <w:marRight w:val="0"/>
      <w:marTop w:val="0"/>
      <w:marBottom w:val="0"/>
      <w:divBdr>
        <w:top w:val="none" w:sz="0" w:space="0" w:color="auto"/>
        <w:left w:val="none" w:sz="0" w:space="0" w:color="auto"/>
        <w:bottom w:val="none" w:sz="0" w:space="0" w:color="auto"/>
        <w:right w:val="none" w:sz="0" w:space="0" w:color="auto"/>
      </w:divBdr>
    </w:div>
    <w:div w:id="799885960">
      <w:bodyDiv w:val="1"/>
      <w:marLeft w:val="0"/>
      <w:marRight w:val="0"/>
      <w:marTop w:val="0"/>
      <w:marBottom w:val="0"/>
      <w:divBdr>
        <w:top w:val="none" w:sz="0" w:space="0" w:color="auto"/>
        <w:left w:val="none" w:sz="0" w:space="0" w:color="auto"/>
        <w:bottom w:val="none" w:sz="0" w:space="0" w:color="auto"/>
        <w:right w:val="none" w:sz="0" w:space="0" w:color="auto"/>
      </w:divBdr>
    </w:div>
    <w:div w:id="801727061">
      <w:bodyDiv w:val="1"/>
      <w:marLeft w:val="0"/>
      <w:marRight w:val="0"/>
      <w:marTop w:val="0"/>
      <w:marBottom w:val="0"/>
      <w:divBdr>
        <w:top w:val="none" w:sz="0" w:space="0" w:color="auto"/>
        <w:left w:val="none" w:sz="0" w:space="0" w:color="auto"/>
        <w:bottom w:val="none" w:sz="0" w:space="0" w:color="auto"/>
        <w:right w:val="none" w:sz="0" w:space="0" w:color="auto"/>
      </w:divBdr>
    </w:div>
    <w:div w:id="803038997">
      <w:bodyDiv w:val="1"/>
      <w:marLeft w:val="0"/>
      <w:marRight w:val="0"/>
      <w:marTop w:val="0"/>
      <w:marBottom w:val="0"/>
      <w:divBdr>
        <w:top w:val="none" w:sz="0" w:space="0" w:color="auto"/>
        <w:left w:val="none" w:sz="0" w:space="0" w:color="auto"/>
        <w:bottom w:val="none" w:sz="0" w:space="0" w:color="auto"/>
        <w:right w:val="none" w:sz="0" w:space="0" w:color="auto"/>
      </w:divBdr>
    </w:div>
    <w:div w:id="803425260">
      <w:bodyDiv w:val="1"/>
      <w:marLeft w:val="0"/>
      <w:marRight w:val="0"/>
      <w:marTop w:val="0"/>
      <w:marBottom w:val="0"/>
      <w:divBdr>
        <w:top w:val="none" w:sz="0" w:space="0" w:color="auto"/>
        <w:left w:val="none" w:sz="0" w:space="0" w:color="auto"/>
        <w:bottom w:val="none" w:sz="0" w:space="0" w:color="auto"/>
        <w:right w:val="none" w:sz="0" w:space="0" w:color="auto"/>
      </w:divBdr>
    </w:div>
    <w:div w:id="804396600">
      <w:bodyDiv w:val="1"/>
      <w:marLeft w:val="0"/>
      <w:marRight w:val="0"/>
      <w:marTop w:val="0"/>
      <w:marBottom w:val="0"/>
      <w:divBdr>
        <w:top w:val="none" w:sz="0" w:space="0" w:color="auto"/>
        <w:left w:val="none" w:sz="0" w:space="0" w:color="auto"/>
        <w:bottom w:val="none" w:sz="0" w:space="0" w:color="auto"/>
        <w:right w:val="none" w:sz="0" w:space="0" w:color="auto"/>
      </w:divBdr>
    </w:div>
    <w:div w:id="804927080">
      <w:bodyDiv w:val="1"/>
      <w:marLeft w:val="0"/>
      <w:marRight w:val="0"/>
      <w:marTop w:val="0"/>
      <w:marBottom w:val="0"/>
      <w:divBdr>
        <w:top w:val="none" w:sz="0" w:space="0" w:color="auto"/>
        <w:left w:val="none" w:sz="0" w:space="0" w:color="auto"/>
        <w:bottom w:val="none" w:sz="0" w:space="0" w:color="auto"/>
        <w:right w:val="none" w:sz="0" w:space="0" w:color="auto"/>
      </w:divBdr>
    </w:div>
    <w:div w:id="805662238">
      <w:bodyDiv w:val="1"/>
      <w:marLeft w:val="0"/>
      <w:marRight w:val="0"/>
      <w:marTop w:val="0"/>
      <w:marBottom w:val="0"/>
      <w:divBdr>
        <w:top w:val="none" w:sz="0" w:space="0" w:color="auto"/>
        <w:left w:val="none" w:sz="0" w:space="0" w:color="auto"/>
        <w:bottom w:val="none" w:sz="0" w:space="0" w:color="auto"/>
        <w:right w:val="none" w:sz="0" w:space="0" w:color="auto"/>
      </w:divBdr>
    </w:div>
    <w:div w:id="805666585">
      <w:bodyDiv w:val="1"/>
      <w:marLeft w:val="0"/>
      <w:marRight w:val="0"/>
      <w:marTop w:val="0"/>
      <w:marBottom w:val="0"/>
      <w:divBdr>
        <w:top w:val="none" w:sz="0" w:space="0" w:color="auto"/>
        <w:left w:val="none" w:sz="0" w:space="0" w:color="auto"/>
        <w:bottom w:val="none" w:sz="0" w:space="0" w:color="auto"/>
        <w:right w:val="none" w:sz="0" w:space="0" w:color="auto"/>
      </w:divBdr>
    </w:div>
    <w:div w:id="805896582">
      <w:bodyDiv w:val="1"/>
      <w:marLeft w:val="0"/>
      <w:marRight w:val="0"/>
      <w:marTop w:val="0"/>
      <w:marBottom w:val="0"/>
      <w:divBdr>
        <w:top w:val="none" w:sz="0" w:space="0" w:color="auto"/>
        <w:left w:val="none" w:sz="0" w:space="0" w:color="auto"/>
        <w:bottom w:val="none" w:sz="0" w:space="0" w:color="auto"/>
        <w:right w:val="none" w:sz="0" w:space="0" w:color="auto"/>
      </w:divBdr>
    </w:div>
    <w:div w:id="805974513">
      <w:bodyDiv w:val="1"/>
      <w:marLeft w:val="0"/>
      <w:marRight w:val="0"/>
      <w:marTop w:val="0"/>
      <w:marBottom w:val="0"/>
      <w:divBdr>
        <w:top w:val="none" w:sz="0" w:space="0" w:color="auto"/>
        <w:left w:val="none" w:sz="0" w:space="0" w:color="auto"/>
        <w:bottom w:val="none" w:sz="0" w:space="0" w:color="auto"/>
        <w:right w:val="none" w:sz="0" w:space="0" w:color="auto"/>
      </w:divBdr>
    </w:div>
    <w:div w:id="807866653">
      <w:bodyDiv w:val="1"/>
      <w:marLeft w:val="0"/>
      <w:marRight w:val="0"/>
      <w:marTop w:val="0"/>
      <w:marBottom w:val="0"/>
      <w:divBdr>
        <w:top w:val="none" w:sz="0" w:space="0" w:color="auto"/>
        <w:left w:val="none" w:sz="0" w:space="0" w:color="auto"/>
        <w:bottom w:val="none" w:sz="0" w:space="0" w:color="auto"/>
        <w:right w:val="none" w:sz="0" w:space="0" w:color="auto"/>
      </w:divBdr>
    </w:div>
    <w:div w:id="809401296">
      <w:bodyDiv w:val="1"/>
      <w:marLeft w:val="0"/>
      <w:marRight w:val="0"/>
      <w:marTop w:val="0"/>
      <w:marBottom w:val="0"/>
      <w:divBdr>
        <w:top w:val="none" w:sz="0" w:space="0" w:color="auto"/>
        <w:left w:val="none" w:sz="0" w:space="0" w:color="auto"/>
        <w:bottom w:val="none" w:sz="0" w:space="0" w:color="auto"/>
        <w:right w:val="none" w:sz="0" w:space="0" w:color="auto"/>
      </w:divBdr>
    </w:div>
    <w:div w:id="810247474">
      <w:bodyDiv w:val="1"/>
      <w:marLeft w:val="0"/>
      <w:marRight w:val="0"/>
      <w:marTop w:val="0"/>
      <w:marBottom w:val="0"/>
      <w:divBdr>
        <w:top w:val="none" w:sz="0" w:space="0" w:color="auto"/>
        <w:left w:val="none" w:sz="0" w:space="0" w:color="auto"/>
        <w:bottom w:val="none" w:sz="0" w:space="0" w:color="auto"/>
        <w:right w:val="none" w:sz="0" w:space="0" w:color="auto"/>
      </w:divBdr>
    </w:div>
    <w:div w:id="810367176">
      <w:bodyDiv w:val="1"/>
      <w:marLeft w:val="0"/>
      <w:marRight w:val="0"/>
      <w:marTop w:val="0"/>
      <w:marBottom w:val="0"/>
      <w:divBdr>
        <w:top w:val="none" w:sz="0" w:space="0" w:color="auto"/>
        <w:left w:val="none" w:sz="0" w:space="0" w:color="auto"/>
        <w:bottom w:val="none" w:sz="0" w:space="0" w:color="auto"/>
        <w:right w:val="none" w:sz="0" w:space="0" w:color="auto"/>
      </w:divBdr>
    </w:div>
    <w:div w:id="815489285">
      <w:bodyDiv w:val="1"/>
      <w:marLeft w:val="0"/>
      <w:marRight w:val="0"/>
      <w:marTop w:val="0"/>
      <w:marBottom w:val="0"/>
      <w:divBdr>
        <w:top w:val="none" w:sz="0" w:space="0" w:color="auto"/>
        <w:left w:val="none" w:sz="0" w:space="0" w:color="auto"/>
        <w:bottom w:val="none" w:sz="0" w:space="0" w:color="auto"/>
        <w:right w:val="none" w:sz="0" w:space="0" w:color="auto"/>
      </w:divBdr>
    </w:div>
    <w:div w:id="815757013">
      <w:bodyDiv w:val="1"/>
      <w:marLeft w:val="0"/>
      <w:marRight w:val="0"/>
      <w:marTop w:val="0"/>
      <w:marBottom w:val="0"/>
      <w:divBdr>
        <w:top w:val="none" w:sz="0" w:space="0" w:color="auto"/>
        <w:left w:val="none" w:sz="0" w:space="0" w:color="auto"/>
        <w:bottom w:val="none" w:sz="0" w:space="0" w:color="auto"/>
        <w:right w:val="none" w:sz="0" w:space="0" w:color="auto"/>
      </w:divBdr>
    </w:div>
    <w:div w:id="816461122">
      <w:bodyDiv w:val="1"/>
      <w:marLeft w:val="0"/>
      <w:marRight w:val="0"/>
      <w:marTop w:val="0"/>
      <w:marBottom w:val="0"/>
      <w:divBdr>
        <w:top w:val="none" w:sz="0" w:space="0" w:color="auto"/>
        <w:left w:val="none" w:sz="0" w:space="0" w:color="auto"/>
        <w:bottom w:val="none" w:sz="0" w:space="0" w:color="auto"/>
        <w:right w:val="none" w:sz="0" w:space="0" w:color="auto"/>
      </w:divBdr>
    </w:div>
    <w:div w:id="816532164">
      <w:bodyDiv w:val="1"/>
      <w:marLeft w:val="0"/>
      <w:marRight w:val="0"/>
      <w:marTop w:val="0"/>
      <w:marBottom w:val="0"/>
      <w:divBdr>
        <w:top w:val="none" w:sz="0" w:space="0" w:color="auto"/>
        <w:left w:val="none" w:sz="0" w:space="0" w:color="auto"/>
        <w:bottom w:val="none" w:sz="0" w:space="0" w:color="auto"/>
        <w:right w:val="none" w:sz="0" w:space="0" w:color="auto"/>
      </w:divBdr>
    </w:div>
    <w:div w:id="818032197">
      <w:bodyDiv w:val="1"/>
      <w:marLeft w:val="0"/>
      <w:marRight w:val="0"/>
      <w:marTop w:val="0"/>
      <w:marBottom w:val="0"/>
      <w:divBdr>
        <w:top w:val="none" w:sz="0" w:space="0" w:color="auto"/>
        <w:left w:val="none" w:sz="0" w:space="0" w:color="auto"/>
        <w:bottom w:val="none" w:sz="0" w:space="0" w:color="auto"/>
        <w:right w:val="none" w:sz="0" w:space="0" w:color="auto"/>
      </w:divBdr>
    </w:div>
    <w:div w:id="824783590">
      <w:bodyDiv w:val="1"/>
      <w:marLeft w:val="0"/>
      <w:marRight w:val="0"/>
      <w:marTop w:val="0"/>
      <w:marBottom w:val="0"/>
      <w:divBdr>
        <w:top w:val="none" w:sz="0" w:space="0" w:color="auto"/>
        <w:left w:val="none" w:sz="0" w:space="0" w:color="auto"/>
        <w:bottom w:val="none" w:sz="0" w:space="0" w:color="auto"/>
        <w:right w:val="none" w:sz="0" w:space="0" w:color="auto"/>
      </w:divBdr>
    </w:div>
    <w:div w:id="829293115">
      <w:bodyDiv w:val="1"/>
      <w:marLeft w:val="0"/>
      <w:marRight w:val="0"/>
      <w:marTop w:val="0"/>
      <w:marBottom w:val="0"/>
      <w:divBdr>
        <w:top w:val="none" w:sz="0" w:space="0" w:color="auto"/>
        <w:left w:val="none" w:sz="0" w:space="0" w:color="auto"/>
        <w:bottom w:val="none" w:sz="0" w:space="0" w:color="auto"/>
        <w:right w:val="none" w:sz="0" w:space="0" w:color="auto"/>
      </w:divBdr>
    </w:div>
    <w:div w:id="829906601">
      <w:bodyDiv w:val="1"/>
      <w:marLeft w:val="0"/>
      <w:marRight w:val="0"/>
      <w:marTop w:val="0"/>
      <w:marBottom w:val="0"/>
      <w:divBdr>
        <w:top w:val="none" w:sz="0" w:space="0" w:color="auto"/>
        <w:left w:val="none" w:sz="0" w:space="0" w:color="auto"/>
        <w:bottom w:val="none" w:sz="0" w:space="0" w:color="auto"/>
        <w:right w:val="none" w:sz="0" w:space="0" w:color="auto"/>
      </w:divBdr>
    </w:div>
    <w:div w:id="830561657">
      <w:bodyDiv w:val="1"/>
      <w:marLeft w:val="0"/>
      <w:marRight w:val="0"/>
      <w:marTop w:val="0"/>
      <w:marBottom w:val="0"/>
      <w:divBdr>
        <w:top w:val="none" w:sz="0" w:space="0" w:color="auto"/>
        <w:left w:val="none" w:sz="0" w:space="0" w:color="auto"/>
        <w:bottom w:val="none" w:sz="0" w:space="0" w:color="auto"/>
        <w:right w:val="none" w:sz="0" w:space="0" w:color="auto"/>
      </w:divBdr>
    </w:div>
    <w:div w:id="831138572">
      <w:bodyDiv w:val="1"/>
      <w:marLeft w:val="0"/>
      <w:marRight w:val="0"/>
      <w:marTop w:val="0"/>
      <w:marBottom w:val="0"/>
      <w:divBdr>
        <w:top w:val="none" w:sz="0" w:space="0" w:color="auto"/>
        <w:left w:val="none" w:sz="0" w:space="0" w:color="auto"/>
        <w:bottom w:val="none" w:sz="0" w:space="0" w:color="auto"/>
        <w:right w:val="none" w:sz="0" w:space="0" w:color="auto"/>
      </w:divBdr>
    </w:div>
    <w:div w:id="831481561">
      <w:bodyDiv w:val="1"/>
      <w:marLeft w:val="0"/>
      <w:marRight w:val="0"/>
      <w:marTop w:val="0"/>
      <w:marBottom w:val="0"/>
      <w:divBdr>
        <w:top w:val="none" w:sz="0" w:space="0" w:color="auto"/>
        <w:left w:val="none" w:sz="0" w:space="0" w:color="auto"/>
        <w:bottom w:val="none" w:sz="0" w:space="0" w:color="auto"/>
        <w:right w:val="none" w:sz="0" w:space="0" w:color="auto"/>
      </w:divBdr>
    </w:div>
    <w:div w:id="832257331">
      <w:bodyDiv w:val="1"/>
      <w:marLeft w:val="0"/>
      <w:marRight w:val="0"/>
      <w:marTop w:val="0"/>
      <w:marBottom w:val="0"/>
      <w:divBdr>
        <w:top w:val="none" w:sz="0" w:space="0" w:color="auto"/>
        <w:left w:val="none" w:sz="0" w:space="0" w:color="auto"/>
        <w:bottom w:val="none" w:sz="0" w:space="0" w:color="auto"/>
        <w:right w:val="none" w:sz="0" w:space="0" w:color="auto"/>
      </w:divBdr>
    </w:div>
    <w:div w:id="833036315">
      <w:bodyDiv w:val="1"/>
      <w:marLeft w:val="0"/>
      <w:marRight w:val="0"/>
      <w:marTop w:val="0"/>
      <w:marBottom w:val="0"/>
      <w:divBdr>
        <w:top w:val="none" w:sz="0" w:space="0" w:color="auto"/>
        <w:left w:val="none" w:sz="0" w:space="0" w:color="auto"/>
        <w:bottom w:val="none" w:sz="0" w:space="0" w:color="auto"/>
        <w:right w:val="none" w:sz="0" w:space="0" w:color="auto"/>
      </w:divBdr>
    </w:div>
    <w:div w:id="834417572">
      <w:bodyDiv w:val="1"/>
      <w:marLeft w:val="0"/>
      <w:marRight w:val="0"/>
      <w:marTop w:val="0"/>
      <w:marBottom w:val="0"/>
      <w:divBdr>
        <w:top w:val="none" w:sz="0" w:space="0" w:color="auto"/>
        <w:left w:val="none" w:sz="0" w:space="0" w:color="auto"/>
        <w:bottom w:val="none" w:sz="0" w:space="0" w:color="auto"/>
        <w:right w:val="none" w:sz="0" w:space="0" w:color="auto"/>
      </w:divBdr>
    </w:div>
    <w:div w:id="836118944">
      <w:bodyDiv w:val="1"/>
      <w:marLeft w:val="0"/>
      <w:marRight w:val="0"/>
      <w:marTop w:val="0"/>
      <w:marBottom w:val="0"/>
      <w:divBdr>
        <w:top w:val="none" w:sz="0" w:space="0" w:color="auto"/>
        <w:left w:val="none" w:sz="0" w:space="0" w:color="auto"/>
        <w:bottom w:val="none" w:sz="0" w:space="0" w:color="auto"/>
        <w:right w:val="none" w:sz="0" w:space="0" w:color="auto"/>
      </w:divBdr>
    </w:div>
    <w:div w:id="838887012">
      <w:bodyDiv w:val="1"/>
      <w:marLeft w:val="0"/>
      <w:marRight w:val="0"/>
      <w:marTop w:val="0"/>
      <w:marBottom w:val="0"/>
      <w:divBdr>
        <w:top w:val="none" w:sz="0" w:space="0" w:color="auto"/>
        <w:left w:val="none" w:sz="0" w:space="0" w:color="auto"/>
        <w:bottom w:val="none" w:sz="0" w:space="0" w:color="auto"/>
        <w:right w:val="none" w:sz="0" w:space="0" w:color="auto"/>
      </w:divBdr>
    </w:div>
    <w:div w:id="839933679">
      <w:bodyDiv w:val="1"/>
      <w:marLeft w:val="0"/>
      <w:marRight w:val="0"/>
      <w:marTop w:val="0"/>
      <w:marBottom w:val="0"/>
      <w:divBdr>
        <w:top w:val="none" w:sz="0" w:space="0" w:color="auto"/>
        <w:left w:val="none" w:sz="0" w:space="0" w:color="auto"/>
        <w:bottom w:val="none" w:sz="0" w:space="0" w:color="auto"/>
        <w:right w:val="none" w:sz="0" w:space="0" w:color="auto"/>
      </w:divBdr>
    </w:div>
    <w:div w:id="841579223">
      <w:bodyDiv w:val="1"/>
      <w:marLeft w:val="0"/>
      <w:marRight w:val="0"/>
      <w:marTop w:val="0"/>
      <w:marBottom w:val="0"/>
      <w:divBdr>
        <w:top w:val="none" w:sz="0" w:space="0" w:color="auto"/>
        <w:left w:val="none" w:sz="0" w:space="0" w:color="auto"/>
        <w:bottom w:val="none" w:sz="0" w:space="0" w:color="auto"/>
        <w:right w:val="none" w:sz="0" w:space="0" w:color="auto"/>
      </w:divBdr>
    </w:div>
    <w:div w:id="842859372">
      <w:bodyDiv w:val="1"/>
      <w:marLeft w:val="0"/>
      <w:marRight w:val="0"/>
      <w:marTop w:val="0"/>
      <w:marBottom w:val="0"/>
      <w:divBdr>
        <w:top w:val="none" w:sz="0" w:space="0" w:color="auto"/>
        <w:left w:val="none" w:sz="0" w:space="0" w:color="auto"/>
        <w:bottom w:val="none" w:sz="0" w:space="0" w:color="auto"/>
        <w:right w:val="none" w:sz="0" w:space="0" w:color="auto"/>
      </w:divBdr>
    </w:div>
    <w:div w:id="843133489">
      <w:bodyDiv w:val="1"/>
      <w:marLeft w:val="0"/>
      <w:marRight w:val="0"/>
      <w:marTop w:val="0"/>
      <w:marBottom w:val="0"/>
      <w:divBdr>
        <w:top w:val="none" w:sz="0" w:space="0" w:color="auto"/>
        <w:left w:val="none" w:sz="0" w:space="0" w:color="auto"/>
        <w:bottom w:val="none" w:sz="0" w:space="0" w:color="auto"/>
        <w:right w:val="none" w:sz="0" w:space="0" w:color="auto"/>
      </w:divBdr>
    </w:div>
    <w:div w:id="843251867">
      <w:bodyDiv w:val="1"/>
      <w:marLeft w:val="0"/>
      <w:marRight w:val="0"/>
      <w:marTop w:val="0"/>
      <w:marBottom w:val="0"/>
      <w:divBdr>
        <w:top w:val="none" w:sz="0" w:space="0" w:color="auto"/>
        <w:left w:val="none" w:sz="0" w:space="0" w:color="auto"/>
        <w:bottom w:val="none" w:sz="0" w:space="0" w:color="auto"/>
        <w:right w:val="none" w:sz="0" w:space="0" w:color="auto"/>
      </w:divBdr>
    </w:div>
    <w:div w:id="843473006">
      <w:bodyDiv w:val="1"/>
      <w:marLeft w:val="0"/>
      <w:marRight w:val="0"/>
      <w:marTop w:val="0"/>
      <w:marBottom w:val="0"/>
      <w:divBdr>
        <w:top w:val="none" w:sz="0" w:space="0" w:color="auto"/>
        <w:left w:val="none" w:sz="0" w:space="0" w:color="auto"/>
        <w:bottom w:val="none" w:sz="0" w:space="0" w:color="auto"/>
        <w:right w:val="none" w:sz="0" w:space="0" w:color="auto"/>
      </w:divBdr>
    </w:div>
    <w:div w:id="843713298">
      <w:bodyDiv w:val="1"/>
      <w:marLeft w:val="0"/>
      <w:marRight w:val="0"/>
      <w:marTop w:val="0"/>
      <w:marBottom w:val="0"/>
      <w:divBdr>
        <w:top w:val="none" w:sz="0" w:space="0" w:color="auto"/>
        <w:left w:val="none" w:sz="0" w:space="0" w:color="auto"/>
        <w:bottom w:val="none" w:sz="0" w:space="0" w:color="auto"/>
        <w:right w:val="none" w:sz="0" w:space="0" w:color="auto"/>
      </w:divBdr>
    </w:div>
    <w:div w:id="843784315">
      <w:bodyDiv w:val="1"/>
      <w:marLeft w:val="0"/>
      <w:marRight w:val="0"/>
      <w:marTop w:val="0"/>
      <w:marBottom w:val="0"/>
      <w:divBdr>
        <w:top w:val="none" w:sz="0" w:space="0" w:color="auto"/>
        <w:left w:val="none" w:sz="0" w:space="0" w:color="auto"/>
        <w:bottom w:val="none" w:sz="0" w:space="0" w:color="auto"/>
        <w:right w:val="none" w:sz="0" w:space="0" w:color="auto"/>
      </w:divBdr>
    </w:div>
    <w:div w:id="843862134">
      <w:bodyDiv w:val="1"/>
      <w:marLeft w:val="0"/>
      <w:marRight w:val="0"/>
      <w:marTop w:val="0"/>
      <w:marBottom w:val="0"/>
      <w:divBdr>
        <w:top w:val="none" w:sz="0" w:space="0" w:color="auto"/>
        <w:left w:val="none" w:sz="0" w:space="0" w:color="auto"/>
        <w:bottom w:val="none" w:sz="0" w:space="0" w:color="auto"/>
        <w:right w:val="none" w:sz="0" w:space="0" w:color="auto"/>
      </w:divBdr>
    </w:div>
    <w:div w:id="845823519">
      <w:bodyDiv w:val="1"/>
      <w:marLeft w:val="0"/>
      <w:marRight w:val="0"/>
      <w:marTop w:val="0"/>
      <w:marBottom w:val="0"/>
      <w:divBdr>
        <w:top w:val="none" w:sz="0" w:space="0" w:color="auto"/>
        <w:left w:val="none" w:sz="0" w:space="0" w:color="auto"/>
        <w:bottom w:val="none" w:sz="0" w:space="0" w:color="auto"/>
        <w:right w:val="none" w:sz="0" w:space="0" w:color="auto"/>
      </w:divBdr>
    </w:div>
    <w:div w:id="845823833">
      <w:bodyDiv w:val="1"/>
      <w:marLeft w:val="0"/>
      <w:marRight w:val="0"/>
      <w:marTop w:val="0"/>
      <w:marBottom w:val="0"/>
      <w:divBdr>
        <w:top w:val="none" w:sz="0" w:space="0" w:color="auto"/>
        <w:left w:val="none" w:sz="0" w:space="0" w:color="auto"/>
        <w:bottom w:val="none" w:sz="0" w:space="0" w:color="auto"/>
        <w:right w:val="none" w:sz="0" w:space="0" w:color="auto"/>
      </w:divBdr>
    </w:div>
    <w:div w:id="848451941">
      <w:bodyDiv w:val="1"/>
      <w:marLeft w:val="0"/>
      <w:marRight w:val="0"/>
      <w:marTop w:val="0"/>
      <w:marBottom w:val="0"/>
      <w:divBdr>
        <w:top w:val="none" w:sz="0" w:space="0" w:color="auto"/>
        <w:left w:val="none" w:sz="0" w:space="0" w:color="auto"/>
        <w:bottom w:val="none" w:sz="0" w:space="0" w:color="auto"/>
        <w:right w:val="none" w:sz="0" w:space="0" w:color="auto"/>
      </w:divBdr>
    </w:div>
    <w:div w:id="849566745">
      <w:bodyDiv w:val="1"/>
      <w:marLeft w:val="0"/>
      <w:marRight w:val="0"/>
      <w:marTop w:val="0"/>
      <w:marBottom w:val="0"/>
      <w:divBdr>
        <w:top w:val="none" w:sz="0" w:space="0" w:color="auto"/>
        <w:left w:val="none" w:sz="0" w:space="0" w:color="auto"/>
        <w:bottom w:val="none" w:sz="0" w:space="0" w:color="auto"/>
        <w:right w:val="none" w:sz="0" w:space="0" w:color="auto"/>
      </w:divBdr>
    </w:div>
    <w:div w:id="850723272">
      <w:bodyDiv w:val="1"/>
      <w:marLeft w:val="0"/>
      <w:marRight w:val="0"/>
      <w:marTop w:val="0"/>
      <w:marBottom w:val="0"/>
      <w:divBdr>
        <w:top w:val="none" w:sz="0" w:space="0" w:color="auto"/>
        <w:left w:val="none" w:sz="0" w:space="0" w:color="auto"/>
        <w:bottom w:val="none" w:sz="0" w:space="0" w:color="auto"/>
        <w:right w:val="none" w:sz="0" w:space="0" w:color="auto"/>
      </w:divBdr>
    </w:div>
    <w:div w:id="852954724">
      <w:bodyDiv w:val="1"/>
      <w:marLeft w:val="0"/>
      <w:marRight w:val="0"/>
      <w:marTop w:val="0"/>
      <w:marBottom w:val="0"/>
      <w:divBdr>
        <w:top w:val="none" w:sz="0" w:space="0" w:color="auto"/>
        <w:left w:val="none" w:sz="0" w:space="0" w:color="auto"/>
        <w:bottom w:val="none" w:sz="0" w:space="0" w:color="auto"/>
        <w:right w:val="none" w:sz="0" w:space="0" w:color="auto"/>
      </w:divBdr>
    </w:div>
    <w:div w:id="854148526">
      <w:bodyDiv w:val="1"/>
      <w:marLeft w:val="0"/>
      <w:marRight w:val="0"/>
      <w:marTop w:val="0"/>
      <w:marBottom w:val="0"/>
      <w:divBdr>
        <w:top w:val="none" w:sz="0" w:space="0" w:color="auto"/>
        <w:left w:val="none" w:sz="0" w:space="0" w:color="auto"/>
        <w:bottom w:val="none" w:sz="0" w:space="0" w:color="auto"/>
        <w:right w:val="none" w:sz="0" w:space="0" w:color="auto"/>
      </w:divBdr>
      <w:divsChild>
        <w:div w:id="1203438076">
          <w:marLeft w:val="0"/>
          <w:marRight w:val="0"/>
          <w:marTop w:val="0"/>
          <w:marBottom w:val="0"/>
          <w:divBdr>
            <w:top w:val="none" w:sz="0" w:space="0" w:color="auto"/>
            <w:left w:val="none" w:sz="0" w:space="0" w:color="auto"/>
            <w:bottom w:val="none" w:sz="0" w:space="0" w:color="auto"/>
            <w:right w:val="none" w:sz="0" w:space="0" w:color="auto"/>
          </w:divBdr>
        </w:div>
        <w:div w:id="2040161846">
          <w:marLeft w:val="0"/>
          <w:marRight w:val="0"/>
          <w:marTop w:val="0"/>
          <w:marBottom w:val="0"/>
          <w:divBdr>
            <w:top w:val="none" w:sz="0" w:space="0" w:color="auto"/>
            <w:left w:val="none" w:sz="0" w:space="0" w:color="auto"/>
            <w:bottom w:val="none" w:sz="0" w:space="0" w:color="auto"/>
            <w:right w:val="none" w:sz="0" w:space="0" w:color="auto"/>
          </w:divBdr>
        </w:div>
      </w:divsChild>
    </w:div>
    <w:div w:id="856044841">
      <w:bodyDiv w:val="1"/>
      <w:marLeft w:val="0"/>
      <w:marRight w:val="0"/>
      <w:marTop w:val="0"/>
      <w:marBottom w:val="0"/>
      <w:divBdr>
        <w:top w:val="none" w:sz="0" w:space="0" w:color="auto"/>
        <w:left w:val="none" w:sz="0" w:space="0" w:color="auto"/>
        <w:bottom w:val="none" w:sz="0" w:space="0" w:color="auto"/>
        <w:right w:val="none" w:sz="0" w:space="0" w:color="auto"/>
      </w:divBdr>
    </w:div>
    <w:div w:id="857306852">
      <w:bodyDiv w:val="1"/>
      <w:marLeft w:val="0"/>
      <w:marRight w:val="0"/>
      <w:marTop w:val="0"/>
      <w:marBottom w:val="0"/>
      <w:divBdr>
        <w:top w:val="none" w:sz="0" w:space="0" w:color="auto"/>
        <w:left w:val="none" w:sz="0" w:space="0" w:color="auto"/>
        <w:bottom w:val="none" w:sz="0" w:space="0" w:color="auto"/>
        <w:right w:val="none" w:sz="0" w:space="0" w:color="auto"/>
      </w:divBdr>
    </w:div>
    <w:div w:id="859392352">
      <w:bodyDiv w:val="1"/>
      <w:marLeft w:val="0"/>
      <w:marRight w:val="0"/>
      <w:marTop w:val="0"/>
      <w:marBottom w:val="0"/>
      <w:divBdr>
        <w:top w:val="none" w:sz="0" w:space="0" w:color="auto"/>
        <w:left w:val="none" w:sz="0" w:space="0" w:color="auto"/>
        <w:bottom w:val="none" w:sz="0" w:space="0" w:color="auto"/>
        <w:right w:val="none" w:sz="0" w:space="0" w:color="auto"/>
      </w:divBdr>
    </w:div>
    <w:div w:id="863128431">
      <w:bodyDiv w:val="1"/>
      <w:marLeft w:val="0"/>
      <w:marRight w:val="0"/>
      <w:marTop w:val="0"/>
      <w:marBottom w:val="0"/>
      <w:divBdr>
        <w:top w:val="none" w:sz="0" w:space="0" w:color="auto"/>
        <w:left w:val="none" w:sz="0" w:space="0" w:color="auto"/>
        <w:bottom w:val="none" w:sz="0" w:space="0" w:color="auto"/>
        <w:right w:val="none" w:sz="0" w:space="0" w:color="auto"/>
      </w:divBdr>
    </w:div>
    <w:div w:id="863323238">
      <w:bodyDiv w:val="1"/>
      <w:marLeft w:val="0"/>
      <w:marRight w:val="0"/>
      <w:marTop w:val="0"/>
      <w:marBottom w:val="0"/>
      <w:divBdr>
        <w:top w:val="none" w:sz="0" w:space="0" w:color="auto"/>
        <w:left w:val="none" w:sz="0" w:space="0" w:color="auto"/>
        <w:bottom w:val="none" w:sz="0" w:space="0" w:color="auto"/>
        <w:right w:val="none" w:sz="0" w:space="0" w:color="auto"/>
      </w:divBdr>
    </w:div>
    <w:div w:id="865019926">
      <w:bodyDiv w:val="1"/>
      <w:marLeft w:val="0"/>
      <w:marRight w:val="0"/>
      <w:marTop w:val="0"/>
      <w:marBottom w:val="0"/>
      <w:divBdr>
        <w:top w:val="none" w:sz="0" w:space="0" w:color="auto"/>
        <w:left w:val="none" w:sz="0" w:space="0" w:color="auto"/>
        <w:bottom w:val="none" w:sz="0" w:space="0" w:color="auto"/>
        <w:right w:val="none" w:sz="0" w:space="0" w:color="auto"/>
      </w:divBdr>
    </w:div>
    <w:div w:id="867912997">
      <w:bodyDiv w:val="1"/>
      <w:marLeft w:val="0"/>
      <w:marRight w:val="0"/>
      <w:marTop w:val="0"/>
      <w:marBottom w:val="0"/>
      <w:divBdr>
        <w:top w:val="none" w:sz="0" w:space="0" w:color="auto"/>
        <w:left w:val="none" w:sz="0" w:space="0" w:color="auto"/>
        <w:bottom w:val="none" w:sz="0" w:space="0" w:color="auto"/>
        <w:right w:val="none" w:sz="0" w:space="0" w:color="auto"/>
      </w:divBdr>
    </w:div>
    <w:div w:id="868489853">
      <w:bodyDiv w:val="1"/>
      <w:marLeft w:val="0"/>
      <w:marRight w:val="0"/>
      <w:marTop w:val="0"/>
      <w:marBottom w:val="0"/>
      <w:divBdr>
        <w:top w:val="none" w:sz="0" w:space="0" w:color="auto"/>
        <w:left w:val="none" w:sz="0" w:space="0" w:color="auto"/>
        <w:bottom w:val="none" w:sz="0" w:space="0" w:color="auto"/>
        <w:right w:val="none" w:sz="0" w:space="0" w:color="auto"/>
      </w:divBdr>
    </w:div>
    <w:div w:id="870412773">
      <w:bodyDiv w:val="1"/>
      <w:marLeft w:val="0"/>
      <w:marRight w:val="0"/>
      <w:marTop w:val="0"/>
      <w:marBottom w:val="0"/>
      <w:divBdr>
        <w:top w:val="none" w:sz="0" w:space="0" w:color="auto"/>
        <w:left w:val="none" w:sz="0" w:space="0" w:color="auto"/>
        <w:bottom w:val="none" w:sz="0" w:space="0" w:color="auto"/>
        <w:right w:val="none" w:sz="0" w:space="0" w:color="auto"/>
      </w:divBdr>
    </w:div>
    <w:div w:id="872691727">
      <w:bodyDiv w:val="1"/>
      <w:marLeft w:val="0"/>
      <w:marRight w:val="0"/>
      <w:marTop w:val="0"/>
      <w:marBottom w:val="0"/>
      <w:divBdr>
        <w:top w:val="none" w:sz="0" w:space="0" w:color="auto"/>
        <w:left w:val="none" w:sz="0" w:space="0" w:color="auto"/>
        <w:bottom w:val="none" w:sz="0" w:space="0" w:color="auto"/>
        <w:right w:val="none" w:sz="0" w:space="0" w:color="auto"/>
      </w:divBdr>
    </w:div>
    <w:div w:id="872696555">
      <w:bodyDiv w:val="1"/>
      <w:marLeft w:val="0"/>
      <w:marRight w:val="0"/>
      <w:marTop w:val="0"/>
      <w:marBottom w:val="0"/>
      <w:divBdr>
        <w:top w:val="none" w:sz="0" w:space="0" w:color="auto"/>
        <w:left w:val="none" w:sz="0" w:space="0" w:color="auto"/>
        <w:bottom w:val="none" w:sz="0" w:space="0" w:color="auto"/>
        <w:right w:val="none" w:sz="0" w:space="0" w:color="auto"/>
      </w:divBdr>
    </w:div>
    <w:div w:id="873495410">
      <w:bodyDiv w:val="1"/>
      <w:marLeft w:val="0"/>
      <w:marRight w:val="0"/>
      <w:marTop w:val="0"/>
      <w:marBottom w:val="0"/>
      <w:divBdr>
        <w:top w:val="none" w:sz="0" w:space="0" w:color="auto"/>
        <w:left w:val="none" w:sz="0" w:space="0" w:color="auto"/>
        <w:bottom w:val="none" w:sz="0" w:space="0" w:color="auto"/>
        <w:right w:val="none" w:sz="0" w:space="0" w:color="auto"/>
      </w:divBdr>
    </w:div>
    <w:div w:id="876434027">
      <w:bodyDiv w:val="1"/>
      <w:marLeft w:val="0"/>
      <w:marRight w:val="0"/>
      <w:marTop w:val="0"/>
      <w:marBottom w:val="0"/>
      <w:divBdr>
        <w:top w:val="none" w:sz="0" w:space="0" w:color="auto"/>
        <w:left w:val="none" w:sz="0" w:space="0" w:color="auto"/>
        <w:bottom w:val="none" w:sz="0" w:space="0" w:color="auto"/>
        <w:right w:val="none" w:sz="0" w:space="0" w:color="auto"/>
      </w:divBdr>
    </w:div>
    <w:div w:id="880749119">
      <w:bodyDiv w:val="1"/>
      <w:marLeft w:val="0"/>
      <w:marRight w:val="0"/>
      <w:marTop w:val="0"/>
      <w:marBottom w:val="0"/>
      <w:divBdr>
        <w:top w:val="none" w:sz="0" w:space="0" w:color="auto"/>
        <w:left w:val="none" w:sz="0" w:space="0" w:color="auto"/>
        <w:bottom w:val="none" w:sz="0" w:space="0" w:color="auto"/>
        <w:right w:val="none" w:sz="0" w:space="0" w:color="auto"/>
      </w:divBdr>
    </w:div>
    <w:div w:id="881937606">
      <w:bodyDiv w:val="1"/>
      <w:marLeft w:val="0"/>
      <w:marRight w:val="0"/>
      <w:marTop w:val="0"/>
      <w:marBottom w:val="0"/>
      <w:divBdr>
        <w:top w:val="none" w:sz="0" w:space="0" w:color="auto"/>
        <w:left w:val="none" w:sz="0" w:space="0" w:color="auto"/>
        <w:bottom w:val="none" w:sz="0" w:space="0" w:color="auto"/>
        <w:right w:val="none" w:sz="0" w:space="0" w:color="auto"/>
      </w:divBdr>
    </w:div>
    <w:div w:id="890850433">
      <w:bodyDiv w:val="1"/>
      <w:marLeft w:val="0"/>
      <w:marRight w:val="0"/>
      <w:marTop w:val="0"/>
      <w:marBottom w:val="0"/>
      <w:divBdr>
        <w:top w:val="none" w:sz="0" w:space="0" w:color="auto"/>
        <w:left w:val="none" w:sz="0" w:space="0" w:color="auto"/>
        <w:bottom w:val="none" w:sz="0" w:space="0" w:color="auto"/>
        <w:right w:val="none" w:sz="0" w:space="0" w:color="auto"/>
      </w:divBdr>
    </w:div>
    <w:div w:id="893350078">
      <w:bodyDiv w:val="1"/>
      <w:marLeft w:val="0"/>
      <w:marRight w:val="0"/>
      <w:marTop w:val="0"/>
      <w:marBottom w:val="0"/>
      <w:divBdr>
        <w:top w:val="none" w:sz="0" w:space="0" w:color="auto"/>
        <w:left w:val="none" w:sz="0" w:space="0" w:color="auto"/>
        <w:bottom w:val="none" w:sz="0" w:space="0" w:color="auto"/>
        <w:right w:val="none" w:sz="0" w:space="0" w:color="auto"/>
      </w:divBdr>
    </w:div>
    <w:div w:id="893463297">
      <w:bodyDiv w:val="1"/>
      <w:marLeft w:val="0"/>
      <w:marRight w:val="0"/>
      <w:marTop w:val="0"/>
      <w:marBottom w:val="0"/>
      <w:divBdr>
        <w:top w:val="none" w:sz="0" w:space="0" w:color="auto"/>
        <w:left w:val="none" w:sz="0" w:space="0" w:color="auto"/>
        <w:bottom w:val="none" w:sz="0" w:space="0" w:color="auto"/>
        <w:right w:val="none" w:sz="0" w:space="0" w:color="auto"/>
      </w:divBdr>
    </w:div>
    <w:div w:id="893739407">
      <w:bodyDiv w:val="1"/>
      <w:marLeft w:val="0"/>
      <w:marRight w:val="0"/>
      <w:marTop w:val="0"/>
      <w:marBottom w:val="0"/>
      <w:divBdr>
        <w:top w:val="none" w:sz="0" w:space="0" w:color="auto"/>
        <w:left w:val="none" w:sz="0" w:space="0" w:color="auto"/>
        <w:bottom w:val="none" w:sz="0" w:space="0" w:color="auto"/>
        <w:right w:val="none" w:sz="0" w:space="0" w:color="auto"/>
      </w:divBdr>
    </w:div>
    <w:div w:id="896860708">
      <w:bodyDiv w:val="1"/>
      <w:marLeft w:val="0"/>
      <w:marRight w:val="0"/>
      <w:marTop w:val="0"/>
      <w:marBottom w:val="0"/>
      <w:divBdr>
        <w:top w:val="none" w:sz="0" w:space="0" w:color="auto"/>
        <w:left w:val="none" w:sz="0" w:space="0" w:color="auto"/>
        <w:bottom w:val="none" w:sz="0" w:space="0" w:color="auto"/>
        <w:right w:val="none" w:sz="0" w:space="0" w:color="auto"/>
      </w:divBdr>
    </w:div>
    <w:div w:id="897285763">
      <w:bodyDiv w:val="1"/>
      <w:marLeft w:val="0"/>
      <w:marRight w:val="0"/>
      <w:marTop w:val="0"/>
      <w:marBottom w:val="0"/>
      <w:divBdr>
        <w:top w:val="none" w:sz="0" w:space="0" w:color="auto"/>
        <w:left w:val="none" w:sz="0" w:space="0" w:color="auto"/>
        <w:bottom w:val="none" w:sz="0" w:space="0" w:color="auto"/>
        <w:right w:val="none" w:sz="0" w:space="0" w:color="auto"/>
      </w:divBdr>
    </w:div>
    <w:div w:id="900402759">
      <w:bodyDiv w:val="1"/>
      <w:marLeft w:val="0"/>
      <w:marRight w:val="0"/>
      <w:marTop w:val="0"/>
      <w:marBottom w:val="0"/>
      <w:divBdr>
        <w:top w:val="none" w:sz="0" w:space="0" w:color="auto"/>
        <w:left w:val="none" w:sz="0" w:space="0" w:color="auto"/>
        <w:bottom w:val="none" w:sz="0" w:space="0" w:color="auto"/>
        <w:right w:val="none" w:sz="0" w:space="0" w:color="auto"/>
      </w:divBdr>
    </w:div>
    <w:div w:id="901523228">
      <w:bodyDiv w:val="1"/>
      <w:marLeft w:val="0"/>
      <w:marRight w:val="0"/>
      <w:marTop w:val="0"/>
      <w:marBottom w:val="0"/>
      <w:divBdr>
        <w:top w:val="none" w:sz="0" w:space="0" w:color="auto"/>
        <w:left w:val="none" w:sz="0" w:space="0" w:color="auto"/>
        <w:bottom w:val="none" w:sz="0" w:space="0" w:color="auto"/>
        <w:right w:val="none" w:sz="0" w:space="0" w:color="auto"/>
      </w:divBdr>
    </w:div>
    <w:div w:id="902714000">
      <w:bodyDiv w:val="1"/>
      <w:marLeft w:val="0"/>
      <w:marRight w:val="0"/>
      <w:marTop w:val="0"/>
      <w:marBottom w:val="0"/>
      <w:divBdr>
        <w:top w:val="none" w:sz="0" w:space="0" w:color="auto"/>
        <w:left w:val="none" w:sz="0" w:space="0" w:color="auto"/>
        <w:bottom w:val="none" w:sz="0" w:space="0" w:color="auto"/>
        <w:right w:val="none" w:sz="0" w:space="0" w:color="auto"/>
      </w:divBdr>
    </w:div>
    <w:div w:id="904293658">
      <w:bodyDiv w:val="1"/>
      <w:marLeft w:val="0"/>
      <w:marRight w:val="0"/>
      <w:marTop w:val="0"/>
      <w:marBottom w:val="0"/>
      <w:divBdr>
        <w:top w:val="none" w:sz="0" w:space="0" w:color="auto"/>
        <w:left w:val="none" w:sz="0" w:space="0" w:color="auto"/>
        <w:bottom w:val="none" w:sz="0" w:space="0" w:color="auto"/>
        <w:right w:val="none" w:sz="0" w:space="0" w:color="auto"/>
      </w:divBdr>
    </w:div>
    <w:div w:id="905533138">
      <w:bodyDiv w:val="1"/>
      <w:marLeft w:val="0"/>
      <w:marRight w:val="0"/>
      <w:marTop w:val="0"/>
      <w:marBottom w:val="0"/>
      <w:divBdr>
        <w:top w:val="none" w:sz="0" w:space="0" w:color="auto"/>
        <w:left w:val="none" w:sz="0" w:space="0" w:color="auto"/>
        <w:bottom w:val="none" w:sz="0" w:space="0" w:color="auto"/>
        <w:right w:val="none" w:sz="0" w:space="0" w:color="auto"/>
      </w:divBdr>
    </w:div>
    <w:div w:id="905727968">
      <w:bodyDiv w:val="1"/>
      <w:marLeft w:val="0"/>
      <w:marRight w:val="0"/>
      <w:marTop w:val="0"/>
      <w:marBottom w:val="0"/>
      <w:divBdr>
        <w:top w:val="none" w:sz="0" w:space="0" w:color="auto"/>
        <w:left w:val="none" w:sz="0" w:space="0" w:color="auto"/>
        <w:bottom w:val="none" w:sz="0" w:space="0" w:color="auto"/>
        <w:right w:val="none" w:sz="0" w:space="0" w:color="auto"/>
      </w:divBdr>
    </w:div>
    <w:div w:id="906305554">
      <w:bodyDiv w:val="1"/>
      <w:marLeft w:val="0"/>
      <w:marRight w:val="0"/>
      <w:marTop w:val="0"/>
      <w:marBottom w:val="0"/>
      <w:divBdr>
        <w:top w:val="none" w:sz="0" w:space="0" w:color="auto"/>
        <w:left w:val="none" w:sz="0" w:space="0" w:color="auto"/>
        <w:bottom w:val="none" w:sz="0" w:space="0" w:color="auto"/>
        <w:right w:val="none" w:sz="0" w:space="0" w:color="auto"/>
      </w:divBdr>
    </w:div>
    <w:div w:id="907420447">
      <w:bodyDiv w:val="1"/>
      <w:marLeft w:val="0"/>
      <w:marRight w:val="0"/>
      <w:marTop w:val="0"/>
      <w:marBottom w:val="0"/>
      <w:divBdr>
        <w:top w:val="none" w:sz="0" w:space="0" w:color="auto"/>
        <w:left w:val="none" w:sz="0" w:space="0" w:color="auto"/>
        <w:bottom w:val="none" w:sz="0" w:space="0" w:color="auto"/>
        <w:right w:val="none" w:sz="0" w:space="0" w:color="auto"/>
      </w:divBdr>
    </w:div>
    <w:div w:id="907424119">
      <w:bodyDiv w:val="1"/>
      <w:marLeft w:val="0"/>
      <w:marRight w:val="0"/>
      <w:marTop w:val="0"/>
      <w:marBottom w:val="0"/>
      <w:divBdr>
        <w:top w:val="none" w:sz="0" w:space="0" w:color="auto"/>
        <w:left w:val="none" w:sz="0" w:space="0" w:color="auto"/>
        <w:bottom w:val="none" w:sz="0" w:space="0" w:color="auto"/>
        <w:right w:val="none" w:sz="0" w:space="0" w:color="auto"/>
      </w:divBdr>
    </w:div>
    <w:div w:id="910189694">
      <w:bodyDiv w:val="1"/>
      <w:marLeft w:val="0"/>
      <w:marRight w:val="0"/>
      <w:marTop w:val="0"/>
      <w:marBottom w:val="0"/>
      <w:divBdr>
        <w:top w:val="none" w:sz="0" w:space="0" w:color="auto"/>
        <w:left w:val="none" w:sz="0" w:space="0" w:color="auto"/>
        <w:bottom w:val="none" w:sz="0" w:space="0" w:color="auto"/>
        <w:right w:val="none" w:sz="0" w:space="0" w:color="auto"/>
      </w:divBdr>
    </w:div>
    <w:div w:id="910652242">
      <w:bodyDiv w:val="1"/>
      <w:marLeft w:val="0"/>
      <w:marRight w:val="0"/>
      <w:marTop w:val="0"/>
      <w:marBottom w:val="0"/>
      <w:divBdr>
        <w:top w:val="none" w:sz="0" w:space="0" w:color="auto"/>
        <w:left w:val="none" w:sz="0" w:space="0" w:color="auto"/>
        <w:bottom w:val="none" w:sz="0" w:space="0" w:color="auto"/>
        <w:right w:val="none" w:sz="0" w:space="0" w:color="auto"/>
      </w:divBdr>
    </w:div>
    <w:div w:id="910966323">
      <w:bodyDiv w:val="1"/>
      <w:marLeft w:val="0"/>
      <w:marRight w:val="0"/>
      <w:marTop w:val="0"/>
      <w:marBottom w:val="0"/>
      <w:divBdr>
        <w:top w:val="none" w:sz="0" w:space="0" w:color="auto"/>
        <w:left w:val="none" w:sz="0" w:space="0" w:color="auto"/>
        <w:bottom w:val="none" w:sz="0" w:space="0" w:color="auto"/>
        <w:right w:val="none" w:sz="0" w:space="0" w:color="auto"/>
      </w:divBdr>
    </w:div>
    <w:div w:id="911160170">
      <w:bodyDiv w:val="1"/>
      <w:marLeft w:val="0"/>
      <w:marRight w:val="0"/>
      <w:marTop w:val="0"/>
      <w:marBottom w:val="0"/>
      <w:divBdr>
        <w:top w:val="none" w:sz="0" w:space="0" w:color="auto"/>
        <w:left w:val="none" w:sz="0" w:space="0" w:color="auto"/>
        <w:bottom w:val="none" w:sz="0" w:space="0" w:color="auto"/>
        <w:right w:val="none" w:sz="0" w:space="0" w:color="auto"/>
      </w:divBdr>
    </w:div>
    <w:div w:id="911234843">
      <w:bodyDiv w:val="1"/>
      <w:marLeft w:val="0"/>
      <w:marRight w:val="0"/>
      <w:marTop w:val="0"/>
      <w:marBottom w:val="0"/>
      <w:divBdr>
        <w:top w:val="none" w:sz="0" w:space="0" w:color="auto"/>
        <w:left w:val="none" w:sz="0" w:space="0" w:color="auto"/>
        <w:bottom w:val="none" w:sz="0" w:space="0" w:color="auto"/>
        <w:right w:val="none" w:sz="0" w:space="0" w:color="auto"/>
      </w:divBdr>
    </w:div>
    <w:div w:id="912860801">
      <w:bodyDiv w:val="1"/>
      <w:marLeft w:val="0"/>
      <w:marRight w:val="0"/>
      <w:marTop w:val="0"/>
      <w:marBottom w:val="0"/>
      <w:divBdr>
        <w:top w:val="none" w:sz="0" w:space="0" w:color="auto"/>
        <w:left w:val="none" w:sz="0" w:space="0" w:color="auto"/>
        <w:bottom w:val="none" w:sz="0" w:space="0" w:color="auto"/>
        <w:right w:val="none" w:sz="0" w:space="0" w:color="auto"/>
      </w:divBdr>
    </w:div>
    <w:div w:id="914777540">
      <w:bodyDiv w:val="1"/>
      <w:marLeft w:val="0"/>
      <w:marRight w:val="0"/>
      <w:marTop w:val="0"/>
      <w:marBottom w:val="0"/>
      <w:divBdr>
        <w:top w:val="none" w:sz="0" w:space="0" w:color="auto"/>
        <w:left w:val="none" w:sz="0" w:space="0" w:color="auto"/>
        <w:bottom w:val="none" w:sz="0" w:space="0" w:color="auto"/>
        <w:right w:val="none" w:sz="0" w:space="0" w:color="auto"/>
      </w:divBdr>
    </w:div>
    <w:div w:id="914779265">
      <w:bodyDiv w:val="1"/>
      <w:marLeft w:val="0"/>
      <w:marRight w:val="0"/>
      <w:marTop w:val="0"/>
      <w:marBottom w:val="0"/>
      <w:divBdr>
        <w:top w:val="none" w:sz="0" w:space="0" w:color="auto"/>
        <w:left w:val="none" w:sz="0" w:space="0" w:color="auto"/>
        <w:bottom w:val="none" w:sz="0" w:space="0" w:color="auto"/>
        <w:right w:val="none" w:sz="0" w:space="0" w:color="auto"/>
      </w:divBdr>
    </w:div>
    <w:div w:id="921061607">
      <w:bodyDiv w:val="1"/>
      <w:marLeft w:val="0"/>
      <w:marRight w:val="0"/>
      <w:marTop w:val="0"/>
      <w:marBottom w:val="0"/>
      <w:divBdr>
        <w:top w:val="none" w:sz="0" w:space="0" w:color="auto"/>
        <w:left w:val="none" w:sz="0" w:space="0" w:color="auto"/>
        <w:bottom w:val="none" w:sz="0" w:space="0" w:color="auto"/>
        <w:right w:val="none" w:sz="0" w:space="0" w:color="auto"/>
      </w:divBdr>
    </w:div>
    <w:div w:id="924067868">
      <w:bodyDiv w:val="1"/>
      <w:marLeft w:val="0"/>
      <w:marRight w:val="0"/>
      <w:marTop w:val="0"/>
      <w:marBottom w:val="0"/>
      <w:divBdr>
        <w:top w:val="none" w:sz="0" w:space="0" w:color="auto"/>
        <w:left w:val="none" w:sz="0" w:space="0" w:color="auto"/>
        <w:bottom w:val="none" w:sz="0" w:space="0" w:color="auto"/>
        <w:right w:val="none" w:sz="0" w:space="0" w:color="auto"/>
      </w:divBdr>
    </w:div>
    <w:div w:id="927468166">
      <w:bodyDiv w:val="1"/>
      <w:marLeft w:val="0"/>
      <w:marRight w:val="0"/>
      <w:marTop w:val="0"/>
      <w:marBottom w:val="0"/>
      <w:divBdr>
        <w:top w:val="none" w:sz="0" w:space="0" w:color="auto"/>
        <w:left w:val="none" w:sz="0" w:space="0" w:color="auto"/>
        <w:bottom w:val="none" w:sz="0" w:space="0" w:color="auto"/>
        <w:right w:val="none" w:sz="0" w:space="0" w:color="auto"/>
      </w:divBdr>
    </w:div>
    <w:div w:id="928347332">
      <w:bodyDiv w:val="1"/>
      <w:marLeft w:val="0"/>
      <w:marRight w:val="0"/>
      <w:marTop w:val="0"/>
      <w:marBottom w:val="0"/>
      <w:divBdr>
        <w:top w:val="none" w:sz="0" w:space="0" w:color="auto"/>
        <w:left w:val="none" w:sz="0" w:space="0" w:color="auto"/>
        <w:bottom w:val="none" w:sz="0" w:space="0" w:color="auto"/>
        <w:right w:val="none" w:sz="0" w:space="0" w:color="auto"/>
      </w:divBdr>
    </w:div>
    <w:div w:id="932592238">
      <w:bodyDiv w:val="1"/>
      <w:marLeft w:val="0"/>
      <w:marRight w:val="0"/>
      <w:marTop w:val="0"/>
      <w:marBottom w:val="0"/>
      <w:divBdr>
        <w:top w:val="none" w:sz="0" w:space="0" w:color="auto"/>
        <w:left w:val="none" w:sz="0" w:space="0" w:color="auto"/>
        <w:bottom w:val="none" w:sz="0" w:space="0" w:color="auto"/>
        <w:right w:val="none" w:sz="0" w:space="0" w:color="auto"/>
      </w:divBdr>
    </w:div>
    <w:div w:id="933712804">
      <w:bodyDiv w:val="1"/>
      <w:marLeft w:val="0"/>
      <w:marRight w:val="0"/>
      <w:marTop w:val="0"/>
      <w:marBottom w:val="0"/>
      <w:divBdr>
        <w:top w:val="none" w:sz="0" w:space="0" w:color="auto"/>
        <w:left w:val="none" w:sz="0" w:space="0" w:color="auto"/>
        <w:bottom w:val="none" w:sz="0" w:space="0" w:color="auto"/>
        <w:right w:val="none" w:sz="0" w:space="0" w:color="auto"/>
      </w:divBdr>
    </w:div>
    <w:div w:id="935670262">
      <w:bodyDiv w:val="1"/>
      <w:marLeft w:val="0"/>
      <w:marRight w:val="0"/>
      <w:marTop w:val="0"/>
      <w:marBottom w:val="0"/>
      <w:divBdr>
        <w:top w:val="none" w:sz="0" w:space="0" w:color="auto"/>
        <w:left w:val="none" w:sz="0" w:space="0" w:color="auto"/>
        <w:bottom w:val="none" w:sz="0" w:space="0" w:color="auto"/>
        <w:right w:val="none" w:sz="0" w:space="0" w:color="auto"/>
      </w:divBdr>
    </w:div>
    <w:div w:id="940913710">
      <w:bodyDiv w:val="1"/>
      <w:marLeft w:val="0"/>
      <w:marRight w:val="0"/>
      <w:marTop w:val="0"/>
      <w:marBottom w:val="0"/>
      <w:divBdr>
        <w:top w:val="none" w:sz="0" w:space="0" w:color="auto"/>
        <w:left w:val="none" w:sz="0" w:space="0" w:color="auto"/>
        <w:bottom w:val="none" w:sz="0" w:space="0" w:color="auto"/>
        <w:right w:val="none" w:sz="0" w:space="0" w:color="auto"/>
      </w:divBdr>
    </w:div>
    <w:div w:id="941491413">
      <w:bodyDiv w:val="1"/>
      <w:marLeft w:val="0"/>
      <w:marRight w:val="0"/>
      <w:marTop w:val="0"/>
      <w:marBottom w:val="0"/>
      <w:divBdr>
        <w:top w:val="none" w:sz="0" w:space="0" w:color="auto"/>
        <w:left w:val="none" w:sz="0" w:space="0" w:color="auto"/>
        <w:bottom w:val="none" w:sz="0" w:space="0" w:color="auto"/>
        <w:right w:val="none" w:sz="0" w:space="0" w:color="auto"/>
      </w:divBdr>
    </w:div>
    <w:div w:id="941839896">
      <w:bodyDiv w:val="1"/>
      <w:marLeft w:val="0"/>
      <w:marRight w:val="0"/>
      <w:marTop w:val="0"/>
      <w:marBottom w:val="0"/>
      <w:divBdr>
        <w:top w:val="none" w:sz="0" w:space="0" w:color="auto"/>
        <w:left w:val="none" w:sz="0" w:space="0" w:color="auto"/>
        <w:bottom w:val="none" w:sz="0" w:space="0" w:color="auto"/>
        <w:right w:val="none" w:sz="0" w:space="0" w:color="auto"/>
      </w:divBdr>
    </w:div>
    <w:div w:id="942080316">
      <w:bodyDiv w:val="1"/>
      <w:marLeft w:val="0"/>
      <w:marRight w:val="0"/>
      <w:marTop w:val="0"/>
      <w:marBottom w:val="0"/>
      <w:divBdr>
        <w:top w:val="none" w:sz="0" w:space="0" w:color="auto"/>
        <w:left w:val="none" w:sz="0" w:space="0" w:color="auto"/>
        <w:bottom w:val="none" w:sz="0" w:space="0" w:color="auto"/>
        <w:right w:val="none" w:sz="0" w:space="0" w:color="auto"/>
      </w:divBdr>
    </w:div>
    <w:div w:id="942224690">
      <w:bodyDiv w:val="1"/>
      <w:marLeft w:val="0"/>
      <w:marRight w:val="0"/>
      <w:marTop w:val="0"/>
      <w:marBottom w:val="0"/>
      <w:divBdr>
        <w:top w:val="none" w:sz="0" w:space="0" w:color="auto"/>
        <w:left w:val="none" w:sz="0" w:space="0" w:color="auto"/>
        <w:bottom w:val="none" w:sz="0" w:space="0" w:color="auto"/>
        <w:right w:val="none" w:sz="0" w:space="0" w:color="auto"/>
      </w:divBdr>
    </w:div>
    <w:div w:id="943268391">
      <w:bodyDiv w:val="1"/>
      <w:marLeft w:val="0"/>
      <w:marRight w:val="0"/>
      <w:marTop w:val="0"/>
      <w:marBottom w:val="0"/>
      <w:divBdr>
        <w:top w:val="none" w:sz="0" w:space="0" w:color="auto"/>
        <w:left w:val="none" w:sz="0" w:space="0" w:color="auto"/>
        <w:bottom w:val="none" w:sz="0" w:space="0" w:color="auto"/>
        <w:right w:val="none" w:sz="0" w:space="0" w:color="auto"/>
      </w:divBdr>
    </w:div>
    <w:div w:id="944187614">
      <w:bodyDiv w:val="1"/>
      <w:marLeft w:val="0"/>
      <w:marRight w:val="0"/>
      <w:marTop w:val="0"/>
      <w:marBottom w:val="0"/>
      <w:divBdr>
        <w:top w:val="none" w:sz="0" w:space="0" w:color="auto"/>
        <w:left w:val="none" w:sz="0" w:space="0" w:color="auto"/>
        <w:bottom w:val="none" w:sz="0" w:space="0" w:color="auto"/>
        <w:right w:val="none" w:sz="0" w:space="0" w:color="auto"/>
      </w:divBdr>
    </w:div>
    <w:div w:id="951403358">
      <w:bodyDiv w:val="1"/>
      <w:marLeft w:val="0"/>
      <w:marRight w:val="0"/>
      <w:marTop w:val="0"/>
      <w:marBottom w:val="0"/>
      <w:divBdr>
        <w:top w:val="none" w:sz="0" w:space="0" w:color="auto"/>
        <w:left w:val="none" w:sz="0" w:space="0" w:color="auto"/>
        <w:bottom w:val="none" w:sz="0" w:space="0" w:color="auto"/>
        <w:right w:val="none" w:sz="0" w:space="0" w:color="auto"/>
      </w:divBdr>
    </w:div>
    <w:div w:id="954944859">
      <w:bodyDiv w:val="1"/>
      <w:marLeft w:val="0"/>
      <w:marRight w:val="0"/>
      <w:marTop w:val="0"/>
      <w:marBottom w:val="0"/>
      <w:divBdr>
        <w:top w:val="none" w:sz="0" w:space="0" w:color="auto"/>
        <w:left w:val="none" w:sz="0" w:space="0" w:color="auto"/>
        <w:bottom w:val="none" w:sz="0" w:space="0" w:color="auto"/>
        <w:right w:val="none" w:sz="0" w:space="0" w:color="auto"/>
      </w:divBdr>
    </w:div>
    <w:div w:id="964193362">
      <w:bodyDiv w:val="1"/>
      <w:marLeft w:val="0"/>
      <w:marRight w:val="0"/>
      <w:marTop w:val="0"/>
      <w:marBottom w:val="0"/>
      <w:divBdr>
        <w:top w:val="none" w:sz="0" w:space="0" w:color="auto"/>
        <w:left w:val="none" w:sz="0" w:space="0" w:color="auto"/>
        <w:bottom w:val="none" w:sz="0" w:space="0" w:color="auto"/>
        <w:right w:val="none" w:sz="0" w:space="0" w:color="auto"/>
      </w:divBdr>
    </w:div>
    <w:div w:id="964578381">
      <w:bodyDiv w:val="1"/>
      <w:marLeft w:val="0"/>
      <w:marRight w:val="0"/>
      <w:marTop w:val="0"/>
      <w:marBottom w:val="0"/>
      <w:divBdr>
        <w:top w:val="none" w:sz="0" w:space="0" w:color="auto"/>
        <w:left w:val="none" w:sz="0" w:space="0" w:color="auto"/>
        <w:bottom w:val="none" w:sz="0" w:space="0" w:color="auto"/>
        <w:right w:val="none" w:sz="0" w:space="0" w:color="auto"/>
      </w:divBdr>
    </w:div>
    <w:div w:id="965161120">
      <w:bodyDiv w:val="1"/>
      <w:marLeft w:val="0"/>
      <w:marRight w:val="0"/>
      <w:marTop w:val="0"/>
      <w:marBottom w:val="0"/>
      <w:divBdr>
        <w:top w:val="none" w:sz="0" w:space="0" w:color="auto"/>
        <w:left w:val="none" w:sz="0" w:space="0" w:color="auto"/>
        <w:bottom w:val="none" w:sz="0" w:space="0" w:color="auto"/>
        <w:right w:val="none" w:sz="0" w:space="0" w:color="auto"/>
      </w:divBdr>
    </w:div>
    <w:div w:id="965820310">
      <w:bodyDiv w:val="1"/>
      <w:marLeft w:val="0"/>
      <w:marRight w:val="0"/>
      <w:marTop w:val="0"/>
      <w:marBottom w:val="0"/>
      <w:divBdr>
        <w:top w:val="none" w:sz="0" w:space="0" w:color="auto"/>
        <w:left w:val="none" w:sz="0" w:space="0" w:color="auto"/>
        <w:bottom w:val="none" w:sz="0" w:space="0" w:color="auto"/>
        <w:right w:val="none" w:sz="0" w:space="0" w:color="auto"/>
      </w:divBdr>
    </w:div>
    <w:div w:id="966084944">
      <w:bodyDiv w:val="1"/>
      <w:marLeft w:val="0"/>
      <w:marRight w:val="0"/>
      <w:marTop w:val="0"/>
      <w:marBottom w:val="0"/>
      <w:divBdr>
        <w:top w:val="none" w:sz="0" w:space="0" w:color="auto"/>
        <w:left w:val="none" w:sz="0" w:space="0" w:color="auto"/>
        <w:bottom w:val="none" w:sz="0" w:space="0" w:color="auto"/>
        <w:right w:val="none" w:sz="0" w:space="0" w:color="auto"/>
      </w:divBdr>
    </w:div>
    <w:div w:id="967978943">
      <w:bodyDiv w:val="1"/>
      <w:marLeft w:val="0"/>
      <w:marRight w:val="0"/>
      <w:marTop w:val="0"/>
      <w:marBottom w:val="0"/>
      <w:divBdr>
        <w:top w:val="none" w:sz="0" w:space="0" w:color="auto"/>
        <w:left w:val="none" w:sz="0" w:space="0" w:color="auto"/>
        <w:bottom w:val="none" w:sz="0" w:space="0" w:color="auto"/>
        <w:right w:val="none" w:sz="0" w:space="0" w:color="auto"/>
      </w:divBdr>
    </w:div>
    <w:div w:id="970986498">
      <w:bodyDiv w:val="1"/>
      <w:marLeft w:val="0"/>
      <w:marRight w:val="0"/>
      <w:marTop w:val="0"/>
      <w:marBottom w:val="0"/>
      <w:divBdr>
        <w:top w:val="none" w:sz="0" w:space="0" w:color="auto"/>
        <w:left w:val="none" w:sz="0" w:space="0" w:color="auto"/>
        <w:bottom w:val="none" w:sz="0" w:space="0" w:color="auto"/>
        <w:right w:val="none" w:sz="0" w:space="0" w:color="auto"/>
      </w:divBdr>
    </w:div>
    <w:div w:id="971404686">
      <w:bodyDiv w:val="1"/>
      <w:marLeft w:val="0"/>
      <w:marRight w:val="0"/>
      <w:marTop w:val="0"/>
      <w:marBottom w:val="0"/>
      <w:divBdr>
        <w:top w:val="none" w:sz="0" w:space="0" w:color="auto"/>
        <w:left w:val="none" w:sz="0" w:space="0" w:color="auto"/>
        <w:bottom w:val="none" w:sz="0" w:space="0" w:color="auto"/>
        <w:right w:val="none" w:sz="0" w:space="0" w:color="auto"/>
      </w:divBdr>
    </w:div>
    <w:div w:id="971984150">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73944185">
      <w:bodyDiv w:val="1"/>
      <w:marLeft w:val="0"/>
      <w:marRight w:val="0"/>
      <w:marTop w:val="0"/>
      <w:marBottom w:val="0"/>
      <w:divBdr>
        <w:top w:val="none" w:sz="0" w:space="0" w:color="auto"/>
        <w:left w:val="none" w:sz="0" w:space="0" w:color="auto"/>
        <w:bottom w:val="none" w:sz="0" w:space="0" w:color="auto"/>
        <w:right w:val="none" w:sz="0" w:space="0" w:color="auto"/>
      </w:divBdr>
    </w:div>
    <w:div w:id="974330379">
      <w:bodyDiv w:val="1"/>
      <w:marLeft w:val="0"/>
      <w:marRight w:val="0"/>
      <w:marTop w:val="0"/>
      <w:marBottom w:val="0"/>
      <w:divBdr>
        <w:top w:val="none" w:sz="0" w:space="0" w:color="auto"/>
        <w:left w:val="none" w:sz="0" w:space="0" w:color="auto"/>
        <w:bottom w:val="none" w:sz="0" w:space="0" w:color="auto"/>
        <w:right w:val="none" w:sz="0" w:space="0" w:color="auto"/>
      </w:divBdr>
    </w:div>
    <w:div w:id="977418875">
      <w:bodyDiv w:val="1"/>
      <w:marLeft w:val="0"/>
      <w:marRight w:val="0"/>
      <w:marTop w:val="0"/>
      <w:marBottom w:val="0"/>
      <w:divBdr>
        <w:top w:val="none" w:sz="0" w:space="0" w:color="auto"/>
        <w:left w:val="none" w:sz="0" w:space="0" w:color="auto"/>
        <w:bottom w:val="none" w:sz="0" w:space="0" w:color="auto"/>
        <w:right w:val="none" w:sz="0" w:space="0" w:color="auto"/>
      </w:divBdr>
    </w:div>
    <w:div w:id="978147826">
      <w:bodyDiv w:val="1"/>
      <w:marLeft w:val="0"/>
      <w:marRight w:val="0"/>
      <w:marTop w:val="0"/>
      <w:marBottom w:val="0"/>
      <w:divBdr>
        <w:top w:val="none" w:sz="0" w:space="0" w:color="auto"/>
        <w:left w:val="none" w:sz="0" w:space="0" w:color="auto"/>
        <w:bottom w:val="none" w:sz="0" w:space="0" w:color="auto"/>
        <w:right w:val="none" w:sz="0" w:space="0" w:color="auto"/>
      </w:divBdr>
    </w:div>
    <w:div w:id="979576629">
      <w:bodyDiv w:val="1"/>
      <w:marLeft w:val="0"/>
      <w:marRight w:val="0"/>
      <w:marTop w:val="0"/>
      <w:marBottom w:val="0"/>
      <w:divBdr>
        <w:top w:val="none" w:sz="0" w:space="0" w:color="auto"/>
        <w:left w:val="none" w:sz="0" w:space="0" w:color="auto"/>
        <w:bottom w:val="none" w:sz="0" w:space="0" w:color="auto"/>
        <w:right w:val="none" w:sz="0" w:space="0" w:color="auto"/>
      </w:divBdr>
    </w:div>
    <w:div w:id="981009474">
      <w:bodyDiv w:val="1"/>
      <w:marLeft w:val="0"/>
      <w:marRight w:val="0"/>
      <w:marTop w:val="0"/>
      <w:marBottom w:val="0"/>
      <w:divBdr>
        <w:top w:val="none" w:sz="0" w:space="0" w:color="auto"/>
        <w:left w:val="none" w:sz="0" w:space="0" w:color="auto"/>
        <w:bottom w:val="none" w:sz="0" w:space="0" w:color="auto"/>
        <w:right w:val="none" w:sz="0" w:space="0" w:color="auto"/>
      </w:divBdr>
    </w:div>
    <w:div w:id="981231759">
      <w:bodyDiv w:val="1"/>
      <w:marLeft w:val="0"/>
      <w:marRight w:val="0"/>
      <w:marTop w:val="0"/>
      <w:marBottom w:val="0"/>
      <w:divBdr>
        <w:top w:val="none" w:sz="0" w:space="0" w:color="auto"/>
        <w:left w:val="none" w:sz="0" w:space="0" w:color="auto"/>
        <w:bottom w:val="none" w:sz="0" w:space="0" w:color="auto"/>
        <w:right w:val="none" w:sz="0" w:space="0" w:color="auto"/>
      </w:divBdr>
    </w:div>
    <w:div w:id="983853175">
      <w:bodyDiv w:val="1"/>
      <w:marLeft w:val="0"/>
      <w:marRight w:val="0"/>
      <w:marTop w:val="0"/>
      <w:marBottom w:val="0"/>
      <w:divBdr>
        <w:top w:val="none" w:sz="0" w:space="0" w:color="auto"/>
        <w:left w:val="none" w:sz="0" w:space="0" w:color="auto"/>
        <w:bottom w:val="none" w:sz="0" w:space="0" w:color="auto"/>
        <w:right w:val="none" w:sz="0" w:space="0" w:color="auto"/>
      </w:divBdr>
    </w:div>
    <w:div w:id="984091906">
      <w:bodyDiv w:val="1"/>
      <w:marLeft w:val="0"/>
      <w:marRight w:val="0"/>
      <w:marTop w:val="0"/>
      <w:marBottom w:val="0"/>
      <w:divBdr>
        <w:top w:val="none" w:sz="0" w:space="0" w:color="auto"/>
        <w:left w:val="none" w:sz="0" w:space="0" w:color="auto"/>
        <w:bottom w:val="none" w:sz="0" w:space="0" w:color="auto"/>
        <w:right w:val="none" w:sz="0" w:space="0" w:color="auto"/>
      </w:divBdr>
    </w:div>
    <w:div w:id="985548817">
      <w:bodyDiv w:val="1"/>
      <w:marLeft w:val="0"/>
      <w:marRight w:val="0"/>
      <w:marTop w:val="0"/>
      <w:marBottom w:val="0"/>
      <w:divBdr>
        <w:top w:val="none" w:sz="0" w:space="0" w:color="auto"/>
        <w:left w:val="none" w:sz="0" w:space="0" w:color="auto"/>
        <w:bottom w:val="none" w:sz="0" w:space="0" w:color="auto"/>
        <w:right w:val="none" w:sz="0" w:space="0" w:color="auto"/>
      </w:divBdr>
    </w:div>
    <w:div w:id="986470908">
      <w:bodyDiv w:val="1"/>
      <w:marLeft w:val="0"/>
      <w:marRight w:val="0"/>
      <w:marTop w:val="0"/>
      <w:marBottom w:val="0"/>
      <w:divBdr>
        <w:top w:val="none" w:sz="0" w:space="0" w:color="auto"/>
        <w:left w:val="none" w:sz="0" w:space="0" w:color="auto"/>
        <w:bottom w:val="none" w:sz="0" w:space="0" w:color="auto"/>
        <w:right w:val="none" w:sz="0" w:space="0" w:color="auto"/>
      </w:divBdr>
    </w:div>
    <w:div w:id="986981645">
      <w:bodyDiv w:val="1"/>
      <w:marLeft w:val="0"/>
      <w:marRight w:val="0"/>
      <w:marTop w:val="0"/>
      <w:marBottom w:val="0"/>
      <w:divBdr>
        <w:top w:val="none" w:sz="0" w:space="0" w:color="auto"/>
        <w:left w:val="none" w:sz="0" w:space="0" w:color="auto"/>
        <w:bottom w:val="none" w:sz="0" w:space="0" w:color="auto"/>
        <w:right w:val="none" w:sz="0" w:space="0" w:color="auto"/>
      </w:divBdr>
    </w:div>
    <w:div w:id="987053347">
      <w:bodyDiv w:val="1"/>
      <w:marLeft w:val="0"/>
      <w:marRight w:val="0"/>
      <w:marTop w:val="0"/>
      <w:marBottom w:val="0"/>
      <w:divBdr>
        <w:top w:val="none" w:sz="0" w:space="0" w:color="auto"/>
        <w:left w:val="none" w:sz="0" w:space="0" w:color="auto"/>
        <w:bottom w:val="none" w:sz="0" w:space="0" w:color="auto"/>
        <w:right w:val="none" w:sz="0" w:space="0" w:color="auto"/>
      </w:divBdr>
    </w:div>
    <w:div w:id="992372457">
      <w:bodyDiv w:val="1"/>
      <w:marLeft w:val="0"/>
      <w:marRight w:val="0"/>
      <w:marTop w:val="0"/>
      <w:marBottom w:val="0"/>
      <w:divBdr>
        <w:top w:val="none" w:sz="0" w:space="0" w:color="auto"/>
        <w:left w:val="none" w:sz="0" w:space="0" w:color="auto"/>
        <w:bottom w:val="none" w:sz="0" w:space="0" w:color="auto"/>
        <w:right w:val="none" w:sz="0" w:space="0" w:color="auto"/>
      </w:divBdr>
    </w:div>
    <w:div w:id="993677351">
      <w:bodyDiv w:val="1"/>
      <w:marLeft w:val="0"/>
      <w:marRight w:val="0"/>
      <w:marTop w:val="0"/>
      <w:marBottom w:val="0"/>
      <w:divBdr>
        <w:top w:val="none" w:sz="0" w:space="0" w:color="auto"/>
        <w:left w:val="none" w:sz="0" w:space="0" w:color="auto"/>
        <w:bottom w:val="none" w:sz="0" w:space="0" w:color="auto"/>
        <w:right w:val="none" w:sz="0" w:space="0" w:color="auto"/>
      </w:divBdr>
    </w:div>
    <w:div w:id="998270447">
      <w:bodyDiv w:val="1"/>
      <w:marLeft w:val="0"/>
      <w:marRight w:val="0"/>
      <w:marTop w:val="0"/>
      <w:marBottom w:val="0"/>
      <w:divBdr>
        <w:top w:val="none" w:sz="0" w:space="0" w:color="auto"/>
        <w:left w:val="none" w:sz="0" w:space="0" w:color="auto"/>
        <w:bottom w:val="none" w:sz="0" w:space="0" w:color="auto"/>
        <w:right w:val="none" w:sz="0" w:space="0" w:color="auto"/>
      </w:divBdr>
    </w:div>
    <w:div w:id="998582986">
      <w:bodyDiv w:val="1"/>
      <w:marLeft w:val="0"/>
      <w:marRight w:val="0"/>
      <w:marTop w:val="0"/>
      <w:marBottom w:val="0"/>
      <w:divBdr>
        <w:top w:val="none" w:sz="0" w:space="0" w:color="auto"/>
        <w:left w:val="none" w:sz="0" w:space="0" w:color="auto"/>
        <w:bottom w:val="none" w:sz="0" w:space="0" w:color="auto"/>
        <w:right w:val="none" w:sz="0" w:space="0" w:color="auto"/>
      </w:divBdr>
    </w:div>
    <w:div w:id="999043261">
      <w:bodyDiv w:val="1"/>
      <w:marLeft w:val="0"/>
      <w:marRight w:val="0"/>
      <w:marTop w:val="0"/>
      <w:marBottom w:val="0"/>
      <w:divBdr>
        <w:top w:val="none" w:sz="0" w:space="0" w:color="auto"/>
        <w:left w:val="none" w:sz="0" w:space="0" w:color="auto"/>
        <w:bottom w:val="none" w:sz="0" w:space="0" w:color="auto"/>
        <w:right w:val="none" w:sz="0" w:space="0" w:color="auto"/>
      </w:divBdr>
    </w:div>
    <w:div w:id="1000238753">
      <w:bodyDiv w:val="1"/>
      <w:marLeft w:val="0"/>
      <w:marRight w:val="0"/>
      <w:marTop w:val="0"/>
      <w:marBottom w:val="0"/>
      <w:divBdr>
        <w:top w:val="none" w:sz="0" w:space="0" w:color="auto"/>
        <w:left w:val="none" w:sz="0" w:space="0" w:color="auto"/>
        <w:bottom w:val="none" w:sz="0" w:space="0" w:color="auto"/>
        <w:right w:val="none" w:sz="0" w:space="0" w:color="auto"/>
      </w:divBdr>
    </w:div>
    <w:div w:id="1002196889">
      <w:bodyDiv w:val="1"/>
      <w:marLeft w:val="0"/>
      <w:marRight w:val="0"/>
      <w:marTop w:val="0"/>
      <w:marBottom w:val="0"/>
      <w:divBdr>
        <w:top w:val="none" w:sz="0" w:space="0" w:color="auto"/>
        <w:left w:val="none" w:sz="0" w:space="0" w:color="auto"/>
        <w:bottom w:val="none" w:sz="0" w:space="0" w:color="auto"/>
        <w:right w:val="none" w:sz="0" w:space="0" w:color="auto"/>
      </w:divBdr>
    </w:div>
    <w:div w:id="1004473315">
      <w:bodyDiv w:val="1"/>
      <w:marLeft w:val="0"/>
      <w:marRight w:val="0"/>
      <w:marTop w:val="0"/>
      <w:marBottom w:val="0"/>
      <w:divBdr>
        <w:top w:val="none" w:sz="0" w:space="0" w:color="auto"/>
        <w:left w:val="none" w:sz="0" w:space="0" w:color="auto"/>
        <w:bottom w:val="none" w:sz="0" w:space="0" w:color="auto"/>
        <w:right w:val="none" w:sz="0" w:space="0" w:color="auto"/>
      </w:divBdr>
    </w:div>
    <w:div w:id="1005014424">
      <w:bodyDiv w:val="1"/>
      <w:marLeft w:val="0"/>
      <w:marRight w:val="0"/>
      <w:marTop w:val="0"/>
      <w:marBottom w:val="0"/>
      <w:divBdr>
        <w:top w:val="none" w:sz="0" w:space="0" w:color="auto"/>
        <w:left w:val="none" w:sz="0" w:space="0" w:color="auto"/>
        <w:bottom w:val="none" w:sz="0" w:space="0" w:color="auto"/>
        <w:right w:val="none" w:sz="0" w:space="0" w:color="auto"/>
      </w:divBdr>
    </w:div>
    <w:div w:id="1005934004">
      <w:bodyDiv w:val="1"/>
      <w:marLeft w:val="0"/>
      <w:marRight w:val="0"/>
      <w:marTop w:val="0"/>
      <w:marBottom w:val="0"/>
      <w:divBdr>
        <w:top w:val="none" w:sz="0" w:space="0" w:color="auto"/>
        <w:left w:val="none" w:sz="0" w:space="0" w:color="auto"/>
        <w:bottom w:val="none" w:sz="0" w:space="0" w:color="auto"/>
        <w:right w:val="none" w:sz="0" w:space="0" w:color="auto"/>
      </w:divBdr>
    </w:div>
    <w:div w:id="1009717120">
      <w:bodyDiv w:val="1"/>
      <w:marLeft w:val="0"/>
      <w:marRight w:val="0"/>
      <w:marTop w:val="0"/>
      <w:marBottom w:val="0"/>
      <w:divBdr>
        <w:top w:val="none" w:sz="0" w:space="0" w:color="auto"/>
        <w:left w:val="none" w:sz="0" w:space="0" w:color="auto"/>
        <w:bottom w:val="none" w:sz="0" w:space="0" w:color="auto"/>
        <w:right w:val="none" w:sz="0" w:space="0" w:color="auto"/>
      </w:divBdr>
    </w:div>
    <w:div w:id="1013337344">
      <w:bodyDiv w:val="1"/>
      <w:marLeft w:val="0"/>
      <w:marRight w:val="0"/>
      <w:marTop w:val="0"/>
      <w:marBottom w:val="0"/>
      <w:divBdr>
        <w:top w:val="none" w:sz="0" w:space="0" w:color="auto"/>
        <w:left w:val="none" w:sz="0" w:space="0" w:color="auto"/>
        <w:bottom w:val="none" w:sz="0" w:space="0" w:color="auto"/>
        <w:right w:val="none" w:sz="0" w:space="0" w:color="auto"/>
      </w:divBdr>
    </w:div>
    <w:div w:id="1017268740">
      <w:bodyDiv w:val="1"/>
      <w:marLeft w:val="0"/>
      <w:marRight w:val="0"/>
      <w:marTop w:val="0"/>
      <w:marBottom w:val="0"/>
      <w:divBdr>
        <w:top w:val="none" w:sz="0" w:space="0" w:color="auto"/>
        <w:left w:val="none" w:sz="0" w:space="0" w:color="auto"/>
        <w:bottom w:val="none" w:sz="0" w:space="0" w:color="auto"/>
        <w:right w:val="none" w:sz="0" w:space="0" w:color="auto"/>
      </w:divBdr>
    </w:div>
    <w:div w:id="1018315034">
      <w:bodyDiv w:val="1"/>
      <w:marLeft w:val="0"/>
      <w:marRight w:val="0"/>
      <w:marTop w:val="0"/>
      <w:marBottom w:val="0"/>
      <w:divBdr>
        <w:top w:val="none" w:sz="0" w:space="0" w:color="auto"/>
        <w:left w:val="none" w:sz="0" w:space="0" w:color="auto"/>
        <w:bottom w:val="none" w:sz="0" w:space="0" w:color="auto"/>
        <w:right w:val="none" w:sz="0" w:space="0" w:color="auto"/>
      </w:divBdr>
    </w:div>
    <w:div w:id="1019162903">
      <w:bodyDiv w:val="1"/>
      <w:marLeft w:val="0"/>
      <w:marRight w:val="0"/>
      <w:marTop w:val="0"/>
      <w:marBottom w:val="0"/>
      <w:divBdr>
        <w:top w:val="none" w:sz="0" w:space="0" w:color="auto"/>
        <w:left w:val="none" w:sz="0" w:space="0" w:color="auto"/>
        <w:bottom w:val="none" w:sz="0" w:space="0" w:color="auto"/>
        <w:right w:val="none" w:sz="0" w:space="0" w:color="auto"/>
      </w:divBdr>
    </w:div>
    <w:div w:id="1019428859">
      <w:bodyDiv w:val="1"/>
      <w:marLeft w:val="0"/>
      <w:marRight w:val="0"/>
      <w:marTop w:val="0"/>
      <w:marBottom w:val="0"/>
      <w:divBdr>
        <w:top w:val="none" w:sz="0" w:space="0" w:color="auto"/>
        <w:left w:val="none" w:sz="0" w:space="0" w:color="auto"/>
        <w:bottom w:val="none" w:sz="0" w:space="0" w:color="auto"/>
        <w:right w:val="none" w:sz="0" w:space="0" w:color="auto"/>
      </w:divBdr>
    </w:div>
    <w:div w:id="1020083958">
      <w:bodyDiv w:val="1"/>
      <w:marLeft w:val="0"/>
      <w:marRight w:val="0"/>
      <w:marTop w:val="0"/>
      <w:marBottom w:val="0"/>
      <w:divBdr>
        <w:top w:val="none" w:sz="0" w:space="0" w:color="auto"/>
        <w:left w:val="none" w:sz="0" w:space="0" w:color="auto"/>
        <w:bottom w:val="none" w:sz="0" w:space="0" w:color="auto"/>
        <w:right w:val="none" w:sz="0" w:space="0" w:color="auto"/>
      </w:divBdr>
    </w:div>
    <w:div w:id="1022126300">
      <w:bodyDiv w:val="1"/>
      <w:marLeft w:val="0"/>
      <w:marRight w:val="0"/>
      <w:marTop w:val="0"/>
      <w:marBottom w:val="0"/>
      <w:divBdr>
        <w:top w:val="none" w:sz="0" w:space="0" w:color="auto"/>
        <w:left w:val="none" w:sz="0" w:space="0" w:color="auto"/>
        <w:bottom w:val="none" w:sz="0" w:space="0" w:color="auto"/>
        <w:right w:val="none" w:sz="0" w:space="0" w:color="auto"/>
      </w:divBdr>
    </w:div>
    <w:div w:id="1022197129">
      <w:bodyDiv w:val="1"/>
      <w:marLeft w:val="0"/>
      <w:marRight w:val="0"/>
      <w:marTop w:val="0"/>
      <w:marBottom w:val="0"/>
      <w:divBdr>
        <w:top w:val="none" w:sz="0" w:space="0" w:color="auto"/>
        <w:left w:val="none" w:sz="0" w:space="0" w:color="auto"/>
        <w:bottom w:val="none" w:sz="0" w:space="0" w:color="auto"/>
        <w:right w:val="none" w:sz="0" w:space="0" w:color="auto"/>
      </w:divBdr>
    </w:div>
    <w:div w:id="1024289334">
      <w:bodyDiv w:val="1"/>
      <w:marLeft w:val="0"/>
      <w:marRight w:val="0"/>
      <w:marTop w:val="0"/>
      <w:marBottom w:val="0"/>
      <w:divBdr>
        <w:top w:val="none" w:sz="0" w:space="0" w:color="auto"/>
        <w:left w:val="none" w:sz="0" w:space="0" w:color="auto"/>
        <w:bottom w:val="none" w:sz="0" w:space="0" w:color="auto"/>
        <w:right w:val="none" w:sz="0" w:space="0" w:color="auto"/>
      </w:divBdr>
    </w:div>
    <w:div w:id="1025324931">
      <w:bodyDiv w:val="1"/>
      <w:marLeft w:val="0"/>
      <w:marRight w:val="0"/>
      <w:marTop w:val="0"/>
      <w:marBottom w:val="0"/>
      <w:divBdr>
        <w:top w:val="none" w:sz="0" w:space="0" w:color="auto"/>
        <w:left w:val="none" w:sz="0" w:space="0" w:color="auto"/>
        <w:bottom w:val="none" w:sz="0" w:space="0" w:color="auto"/>
        <w:right w:val="none" w:sz="0" w:space="0" w:color="auto"/>
      </w:divBdr>
    </w:div>
    <w:div w:id="1025643292">
      <w:bodyDiv w:val="1"/>
      <w:marLeft w:val="0"/>
      <w:marRight w:val="0"/>
      <w:marTop w:val="0"/>
      <w:marBottom w:val="0"/>
      <w:divBdr>
        <w:top w:val="none" w:sz="0" w:space="0" w:color="auto"/>
        <w:left w:val="none" w:sz="0" w:space="0" w:color="auto"/>
        <w:bottom w:val="none" w:sz="0" w:space="0" w:color="auto"/>
        <w:right w:val="none" w:sz="0" w:space="0" w:color="auto"/>
      </w:divBdr>
    </w:div>
    <w:div w:id="1028795294">
      <w:bodyDiv w:val="1"/>
      <w:marLeft w:val="0"/>
      <w:marRight w:val="0"/>
      <w:marTop w:val="0"/>
      <w:marBottom w:val="0"/>
      <w:divBdr>
        <w:top w:val="none" w:sz="0" w:space="0" w:color="auto"/>
        <w:left w:val="none" w:sz="0" w:space="0" w:color="auto"/>
        <w:bottom w:val="none" w:sz="0" w:space="0" w:color="auto"/>
        <w:right w:val="none" w:sz="0" w:space="0" w:color="auto"/>
      </w:divBdr>
    </w:div>
    <w:div w:id="1033573237">
      <w:bodyDiv w:val="1"/>
      <w:marLeft w:val="0"/>
      <w:marRight w:val="0"/>
      <w:marTop w:val="0"/>
      <w:marBottom w:val="0"/>
      <w:divBdr>
        <w:top w:val="none" w:sz="0" w:space="0" w:color="auto"/>
        <w:left w:val="none" w:sz="0" w:space="0" w:color="auto"/>
        <w:bottom w:val="none" w:sz="0" w:space="0" w:color="auto"/>
        <w:right w:val="none" w:sz="0" w:space="0" w:color="auto"/>
      </w:divBdr>
    </w:div>
    <w:div w:id="1033654311">
      <w:bodyDiv w:val="1"/>
      <w:marLeft w:val="0"/>
      <w:marRight w:val="0"/>
      <w:marTop w:val="0"/>
      <w:marBottom w:val="0"/>
      <w:divBdr>
        <w:top w:val="none" w:sz="0" w:space="0" w:color="auto"/>
        <w:left w:val="none" w:sz="0" w:space="0" w:color="auto"/>
        <w:bottom w:val="none" w:sz="0" w:space="0" w:color="auto"/>
        <w:right w:val="none" w:sz="0" w:space="0" w:color="auto"/>
      </w:divBdr>
    </w:div>
    <w:div w:id="1033845067">
      <w:bodyDiv w:val="1"/>
      <w:marLeft w:val="0"/>
      <w:marRight w:val="0"/>
      <w:marTop w:val="0"/>
      <w:marBottom w:val="0"/>
      <w:divBdr>
        <w:top w:val="none" w:sz="0" w:space="0" w:color="auto"/>
        <w:left w:val="none" w:sz="0" w:space="0" w:color="auto"/>
        <w:bottom w:val="none" w:sz="0" w:space="0" w:color="auto"/>
        <w:right w:val="none" w:sz="0" w:space="0" w:color="auto"/>
      </w:divBdr>
    </w:div>
    <w:div w:id="1036545054">
      <w:bodyDiv w:val="1"/>
      <w:marLeft w:val="0"/>
      <w:marRight w:val="0"/>
      <w:marTop w:val="0"/>
      <w:marBottom w:val="0"/>
      <w:divBdr>
        <w:top w:val="none" w:sz="0" w:space="0" w:color="auto"/>
        <w:left w:val="none" w:sz="0" w:space="0" w:color="auto"/>
        <w:bottom w:val="none" w:sz="0" w:space="0" w:color="auto"/>
        <w:right w:val="none" w:sz="0" w:space="0" w:color="auto"/>
      </w:divBdr>
    </w:div>
    <w:div w:id="1037435192">
      <w:bodyDiv w:val="1"/>
      <w:marLeft w:val="0"/>
      <w:marRight w:val="0"/>
      <w:marTop w:val="0"/>
      <w:marBottom w:val="0"/>
      <w:divBdr>
        <w:top w:val="none" w:sz="0" w:space="0" w:color="auto"/>
        <w:left w:val="none" w:sz="0" w:space="0" w:color="auto"/>
        <w:bottom w:val="none" w:sz="0" w:space="0" w:color="auto"/>
        <w:right w:val="none" w:sz="0" w:space="0" w:color="auto"/>
      </w:divBdr>
    </w:div>
    <w:div w:id="1038120922">
      <w:bodyDiv w:val="1"/>
      <w:marLeft w:val="0"/>
      <w:marRight w:val="0"/>
      <w:marTop w:val="0"/>
      <w:marBottom w:val="0"/>
      <w:divBdr>
        <w:top w:val="none" w:sz="0" w:space="0" w:color="auto"/>
        <w:left w:val="none" w:sz="0" w:space="0" w:color="auto"/>
        <w:bottom w:val="none" w:sz="0" w:space="0" w:color="auto"/>
        <w:right w:val="none" w:sz="0" w:space="0" w:color="auto"/>
      </w:divBdr>
    </w:div>
    <w:div w:id="1039209324">
      <w:bodyDiv w:val="1"/>
      <w:marLeft w:val="0"/>
      <w:marRight w:val="0"/>
      <w:marTop w:val="0"/>
      <w:marBottom w:val="0"/>
      <w:divBdr>
        <w:top w:val="none" w:sz="0" w:space="0" w:color="auto"/>
        <w:left w:val="none" w:sz="0" w:space="0" w:color="auto"/>
        <w:bottom w:val="none" w:sz="0" w:space="0" w:color="auto"/>
        <w:right w:val="none" w:sz="0" w:space="0" w:color="auto"/>
      </w:divBdr>
    </w:div>
    <w:div w:id="1042679042">
      <w:bodyDiv w:val="1"/>
      <w:marLeft w:val="0"/>
      <w:marRight w:val="0"/>
      <w:marTop w:val="0"/>
      <w:marBottom w:val="0"/>
      <w:divBdr>
        <w:top w:val="none" w:sz="0" w:space="0" w:color="auto"/>
        <w:left w:val="none" w:sz="0" w:space="0" w:color="auto"/>
        <w:bottom w:val="none" w:sz="0" w:space="0" w:color="auto"/>
        <w:right w:val="none" w:sz="0" w:space="0" w:color="auto"/>
      </w:divBdr>
    </w:div>
    <w:div w:id="1043334202">
      <w:bodyDiv w:val="1"/>
      <w:marLeft w:val="0"/>
      <w:marRight w:val="0"/>
      <w:marTop w:val="0"/>
      <w:marBottom w:val="0"/>
      <w:divBdr>
        <w:top w:val="none" w:sz="0" w:space="0" w:color="auto"/>
        <w:left w:val="none" w:sz="0" w:space="0" w:color="auto"/>
        <w:bottom w:val="none" w:sz="0" w:space="0" w:color="auto"/>
        <w:right w:val="none" w:sz="0" w:space="0" w:color="auto"/>
      </w:divBdr>
    </w:div>
    <w:div w:id="1046486523">
      <w:bodyDiv w:val="1"/>
      <w:marLeft w:val="0"/>
      <w:marRight w:val="0"/>
      <w:marTop w:val="0"/>
      <w:marBottom w:val="0"/>
      <w:divBdr>
        <w:top w:val="none" w:sz="0" w:space="0" w:color="auto"/>
        <w:left w:val="none" w:sz="0" w:space="0" w:color="auto"/>
        <w:bottom w:val="none" w:sz="0" w:space="0" w:color="auto"/>
        <w:right w:val="none" w:sz="0" w:space="0" w:color="auto"/>
      </w:divBdr>
    </w:div>
    <w:div w:id="1054424945">
      <w:bodyDiv w:val="1"/>
      <w:marLeft w:val="0"/>
      <w:marRight w:val="0"/>
      <w:marTop w:val="0"/>
      <w:marBottom w:val="0"/>
      <w:divBdr>
        <w:top w:val="none" w:sz="0" w:space="0" w:color="auto"/>
        <w:left w:val="none" w:sz="0" w:space="0" w:color="auto"/>
        <w:bottom w:val="none" w:sz="0" w:space="0" w:color="auto"/>
        <w:right w:val="none" w:sz="0" w:space="0" w:color="auto"/>
      </w:divBdr>
    </w:div>
    <w:div w:id="1056784010">
      <w:bodyDiv w:val="1"/>
      <w:marLeft w:val="0"/>
      <w:marRight w:val="0"/>
      <w:marTop w:val="0"/>
      <w:marBottom w:val="0"/>
      <w:divBdr>
        <w:top w:val="none" w:sz="0" w:space="0" w:color="auto"/>
        <w:left w:val="none" w:sz="0" w:space="0" w:color="auto"/>
        <w:bottom w:val="none" w:sz="0" w:space="0" w:color="auto"/>
        <w:right w:val="none" w:sz="0" w:space="0" w:color="auto"/>
      </w:divBdr>
    </w:div>
    <w:div w:id="1057312977">
      <w:bodyDiv w:val="1"/>
      <w:marLeft w:val="0"/>
      <w:marRight w:val="0"/>
      <w:marTop w:val="0"/>
      <w:marBottom w:val="0"/>
      <w:divBdr>
        <w:top w:val="none" w:sz="0" w:space="0" w:color="auto"/>
        <w:left w:val="none" w:sz="0" w:space="0" w:color="auto"/>
        <w:bottom w:val="none" w:sz="0" w:space="0" w:color="auto"/>
        <w:right w:val="none" w:sz="0" w:space="0" w:color="auto"/>
      </w:divBdr>
    </w:div>
    <w:div w:id="1061245213">
      <w:bodyDiv w:val="1"/>
      <w:marLeft w:val="0"/>
      <w:marRight w:val="0"/>
      <w:marTop w:val="0"/>
      <w:marBottom w:val="0"/>
      <w:divBdr>
        <w:top w:val="none" w:sz="0" w:space="0" w:color="auto"/>
        <w:left w:val="none" w:sz="0" w:space="0" w:color="auto"/>
        <w:bottom w:val="none" w:sz="0" w:space="0" w:color="auto"/>
        <w:right w:val="none" w:sz="0" w:space="0" w:color="auto"/>
      </w:divBdr>
    </w:div>
    <w:div w:id="1063598929">
      <w:bodyDiv w:val="1"/>
      <w:marLeft w:val="0"/>
      <w:marRight w:val="0"/>
      <w:marTop w:val="0"/>
      <w:marBottom w:val="0"/>
      <w:divBdr>
        <w:top w:val="none" w:sz="0" w:space="0" w:color="auto"/>
        <w:left w:val="none" w:sz="0" w:space="0" w:color="auto"/>
        <w:bottom w:val="none" w:sz="0" w:space="0" w:color="auto"/>
        <w:right w:val="none" w:sz="0" w:space="0" w:color="auto"/>
      </w:divBdr>
    </w:div>
    <w:div w:id="1063869467">
      <w:bodyDiv w:val="1"/>
      <w:marLeft w:val="0"/>
      <w:marRight w:val="0"/>
      <w:marTop w:val="0"/>
      <w:marBottom w:val="0"/>
      <w:divBdr>
        <w:top w:val="none" w:sz="0" w:space="0" w:color="auto"/>
        <w:left w:val="none" w:sz="0" w:space="0" w:color="auto"/>
        <w:bottom w:val="none" w:sz="0" w:space="0" w:color="auto"/>
        <w:right w:val="none" w:sz="0" w:space="0" w:color="auto"/>
      </w:divBdr>
    </w:div>
    <w:div w:id="1064641930">
      <w:bodyDiv w:val="1"/>
      <w:marLeft w:val="0"/>
      <w:marRight w:val="0"/>
      <w:marTop w:val="0"/>
      <w:marBottom w:val="0"/>
      <w:divBdr>
        <w:top w:val="none" w:sz="0" w:space="0" w:color="auto"/>
        <w:left w:val="none" w:sz="0" w:space="0" w:color="auto"/>
        <w:bottom w:val="none" w:sz="0" w:space="0" w:color="auto"/>
        <w:right w:val="none" w:sz="0" w:space="0" w:color="auto"/>
      </w:divBdr>
    </w:div>
    <w:div w:id="1064983318">
      <w:bodyDiv w:val="1"/>
      <w:marLeft w:val="0"/>
      <w:marRight w:val="0"/>
      <w:marTop w:val="0"/>
      <w:marBottom w:val="0"/>
      <w:divBdr>
        <w:top w:val="none" w:sz="0" w:space="0" w:color="auto"/>
        <w:left w:val="none" w:sz="0" w:space="0" w:color="auto"/>
        <w:bottom w:val="none" w:sz="0" w:space="0" w:color="auto"/>
        <w:right w:val="none" w:sz="0" w:space="0" w:color="auto"/>
      </w:divBdr>
    </w:div>
    <w:div w:id="1065639499">
      <w:bodyDiv w:val="1"/>
      <w:marLeft w:val="0"/>
      <w:marRight w:val="0"/>
      <w:marTop w:val="0"/>
      <w:marBottom w:val="0"/>
      <w:divBdr>
        <w:top w:val="none" w:sz="0" w:space="0" w:color="auto"/>
        <w:left w:val="none" w:sz="0" w:space="0" w:color="auto"/>
        <w:bottom w:val="none" w:sz="0" w:space="0" w:color="auto"/>
        <w:right w:val="none" w:sz="0" w:space="0" w:color="auto"/>
      </w:divBdr>
    </w:div>
    <w:div w:id="1065956786">
      <w:bodyDiv w:val="1"/>
      <w:marLeft w:val="0"/>
      <w:marRight w:val="0"/>
      <w:marTop w:val="0"/>
      <w:marBottom w:val="0"/>
      <w:divBdr>
        <w:top w:val="none" w:sz="0" w:space="0" w:color="auto"/>
        <w:left w:val="none" w:sz="0" w:space="0" w:color="auto"/>
        <w:bottom w:val="none" w:sz="0" w:space="0" w:color="auto"/>
        <w:right w:val="none" w:sz="0" w:space="0" w:color="auto"/>
      </w:divBdr>
    </w:div>
    <w:div w:id="1066681485">
      <w:bodyDiv w:val="1"/>
      <w:marLeft w:val="0"/>
      <w:marRight w:val="0"/>
      <w:marTop w:val="0"/>
      <w:marBottom w:val="0"/>
      <w:divBdr>
        <w:top w:val="none" w:sz="0" w:space="0" w:color="auto"/>
        <w:left w:val="none" w:sz="0" w:space="0" w:color="auto"/>
        <w:bottom w:val="none" w:sz="0" w:space="0" w:color="auto"/>
        <w:right w:val="none" w:sz="0" w:space="0" w:color="auto"/>
      </w:divBdr>
    </w:div>
    <w:div w:id="1069184614">
      <w:bodyDiv w:val="1"/>
      <w:marLeft w:val="0"/>
      <w:marRight w:val="0"/>
      <w:marTop w:val="0"/>
      <w:marBottom w:val="0"/>
      <w:divBdr>
        <w:top w:val="none" w:sz="0" w:space="0" w:color="auto"/>
        <w:left w:val="none" w:sz="0" w:space="0" w:color="auto"/>
        <w:bottom w:val="none" w:sz="0" w:space="0" w:color="auto"/>
        <w:right w:val="none" w:sz="0" w:space="0" w:color="auto"/>
      </w:divBdr>
    </w:div>
    <w:div w:id="1074400515">
      <w:bodyDiv w:val="1"/>
      <w:marLeft w:val="0"/>
      <w:marRight w:val="0"/>
      <w:marTop w:val="0"/>
      <w:marBottom w:val="0"/>
      <w:divBdr>
        <w:top w:val="none" w:sz="0" w:space="0" w:color="auto"/>
        <w:left w:val="none" w:sz="0" w:space="0" w:color="auto"/>
        <w:bottom w:val="none" w:sz="0" w:space="0" w:color="auto"/>
        <w:right w:val="none" w:sz="0" w:space="0" w:color="auto"/>
      </w:divBdr>
    </w:div>
    <w:div w:id="1076785912">
      <w:bodyDiv w:val="1"/>
      <w:marLeft w:val="0"/>
      <w:marRight w:val="0"/>
      <w:marTop w:val="0"/>
      <w:marBottom w:val="0"/>
      <w:divBdr>
        <w:top w:val="none" w:sz="0" w:space="0" w:color="auto"/>
        <w:left w:val="none" w:sz="0" w:space="0" w:color="auto"/>
        <w:bottom w:val="none" w:sz="0" w:space="0" w:color="auto"/>
        <w:right w:val="none" w:sz="0" w:space="0" w:color="auto"/>
      </w:divBdr>
    </w:div>
    <w:div w:id="1077895818">
      <w:bodyDiv w:val="1"/>
      <w:marLeft w:val="0"/>
      <w:marRight w:val="0"/>
      <w:marTop w:val="0"/>
      <w:marBottom w:val="0"/>
      <w:divBdr>
        <w:top w:val="none" w:sz="0" w:space="0" w:color="auto"/>
        <w:left w:val="none" w:sz="0" w:space="0" w:color="auto"/>
        <w:bottom w:val="none" w:sz="0" w:space="0" w:color="auto"/>
        <w:right w:val="none" w:sz="0" w:space="0" w:color="auto"/>
      </w:divBdr>
    </w:div>
    <w:div w:id="1078552683">
      <w:bodyDiv w:val="1"/>
      <w:marLeft w:val="0"/>
      <w:marRight w:val="0"/>
      <w:marTop w:val="0"/>
      <w:marBottom w:val="0"/>
      <w:divBdr>
        <w:top w:val="none" w:sz="0" w:space="0" w:color="auto"/>
        <w:left w:val="none" w:sz="0" w:space="0" w:color="auto"/>
        <w:bottom w:val="none" w:sz="0" w:space="0" w:color="auto"/>
        <w:right w:val="none" w:sz="0" w:space="0" w:color="auto"/>
      </w:divBdr>
    </w:div>
    <w:div w:id="1082025016">
      <w:bodyDiv w:val="1"/>
      <w:marLeft w:val="0"/>
      <w:marRight w:val="0"/>
      <w:marTop w:val="0"/>
      <w:marBottom w:val="0"/>
      <w:divBdr>
        <w:top w:val="none" w:sz="0" w:space="0" w:color="auto"/>
        <w:left w:val="none" w:sz="0" w:space="0" w:color="auto"/>
        <w:bottom w:val="none" w:sz="0" w:space="0" w:color="auto"/>
        <w:right w:val="none" w:sz="0" w:space="0" w:color="auto"/>
      </w:divBdr>
    </w:div>
    <w:div w:id="1082262800">
      <w:bodyDiv w:val="1"/>
      <w:marLeft w:val="0"/>
      <w:marRight w:val="0"/>
      <w:marTop w:val="0"/>
      <w:marBottom w:val="0"/>
      <w:divBdr>
        <w:top w:val="none" w:sz="0" w:space="0" w:color="auto"/>
        <w:left w:val="none" w:sz="0" w:space="0" w:color="auto"/>
        <w:bottom w:val="none" w:sz="0" w:space="0" w:color="auto"/>
        <w:right w:val="none" w:sz="0" w:space="0" w:color="auto"/>
      </w:divBdr>
    </w:div>
    <w:div w:id="1084186687">
      <w:bodyDiv w:val="1"/>
      <w:marLeft w:val="0"/>
      <w:marRight w:val="0"/>
      <w:marTop w:val="0"/>
      <w:marBottom w:val="0"/>
      <w:divBdr>
        <w:top w:val="none" w:sz="0" w:space="0" w:color="auto"/>
        <w:left w:val="none" w:sz="0" w:space="0" w:color="auto"/>
        <w:bottom w:val="none" w:sz="0" w:space="0" w:color="auto"/>
        <w:right w:val="none" w:sz="0" w:space="0" w:color="auto"/>
      </w:divBdr>
    </w:div>
    <w:div w:id="1085609096">
      <w:bodyDiv w:val="1"/>
      <w:marLeft w:val="0"/>
      <w:marRight w:val="0"/>
      <w:marTop w:val="0"/>
      <w:marBottom w:val="0"/>
      <w:divBdr>
        <w:top w:val="none" w:sz="0" w:space="0" w:color="auto"/>
        <w:left w:val="none" w:sz="0" w:space="0" w:color="auto"/>
        <w:bottom w:val="none" w:sz="0" w:space="0" w:color="auto"/>
        <w:right w:val="none" w:sz="0" w:space="0" w:color="auto"/>
      </w:divBdr>
    </w:div>
    <w:div w:id="1085800917">
      <w:bodyDiv w:val="1"/>
      <w:marLeft w:val="0"/>
      <w:marRight w:val="0"/>
      <w:marTop w:val="0"/>
      <w:marBottom w:val="0"/>
      <w:divBdr>
        <w:top w:val="none" w:sz="0" w:space="0" w:color="auto"/>
        <w:left w:val="none" w:sz="0" w:space="0" w:color="auto"/>
        <w:bottom w:val="none" w:sz="0" w:space="0" w:color="auto"/>
        <w:right w:val="none" w:sz="0" w:space="0" w:color="auto"/>
      </w:divBdr>
    </w:div>
    <w:div w:id="1089691955">
      <w:bodyDiv w:val="1"/>
      <w:marLeft w:val="0"/>
      <w:marRight w:val="0"/>
      <w:marTop w:val="0"/>
      <w:marBottom w:val="0"/>
      <w:divBdr>
        <w:top w:val="none" w:sz="0" w:space="0" w:color="auto"/>
        <w:left w:val="none" w:sz="0" w:space="0" w:color="auto"/>
        <w:bottom w:val="none" w:sz="0" w:space="0" w:color="auto"/>
        <w:right w:val="none" w:sz="0" w:space="0" w:color="auto"/>
      </w:divBdr>
    </w:div>
    <w:div w:id="1090542525">
      <w:bodyDiv w:val="1"/>
      <w:marLeft w:val="0"/>
      <w:marRight w:val="0"/>
      <w:marTop w:val="0"/>
      <w:marBottom w:val="0"/>
      <w:divBdr>
        <w:top w:val="none" w:sz="0" w:space="0" w:color="auto"/>
        <w:left w:val="none" w:sz="0" w:space="0" w:color="auto"/>
        <w:bottom w:val="none" w:sz="0" w:space="0" w:color="auto"/>
        <w:right w:val="none" w:sz="0" w:space="0" w:color="auto"/>
      </w:divBdr>
    </w:div>
    <w:div w:id="1090590276">
      <w:bodyDiv w:val="1"/>
      <w:marLeft w:val="0"/>
      <w:marRight w:val="0"/>
      <w:marTop w:val="0"/>
      <w:marBottom w:val="0"/>
      <w:divBdr>
        <w:top w:val="none" w:sz="0" w:space="0" w:color="auto"/>
        <w:left w:val="none" w:sz="0" w:space="0" w:color="auto"/>
        <w:bottom w:val="none" w:sz="0" w:space="0" w:color="auto"/>
        <w:right w:val="none" w:sz="0" w:space="0" w:color="auto"/>
      </w:divBdr>
    </w:div>
    <w:div w:id="1092697953">
      <w:bodyDiv w:val="1"/>
      <w:marLeft w:val="0"/>
      <w:marRight w:val="0"/>
      <w:marTop w:val="0"/>
      <w:marBottom w:val="0"/>
      <w:divBdr>
        <w:top w:val="none" w:sz="0" w:space="0" w:color="auto"/>
        <w:left w:val="none" w:sz="0" w:space="0" w:color="auto"/>
        <w:bottom w:val="none" w:sz="0" w:space="0" w:color="auto"/>
        <w:right w:val="none" w:sz="0" w:space="0" w:color="auto"/>
      </w:divBdr>
    </w:div>
    <w:div w:id="1094745248">
      <w:bodyDiv w:val="1"/>
      <w:marLeft w:val="0"/>
      <w:marRight w:val="0"/>
      <w:marTop w:val="0"/>
      <w:marBottom w:val="0"/>
      <w:divBdr>
        <w:top w:val="none" w:sz="0" w:space="0" w:color="auto"/>
        <w:left w:val="none" w:sz="0" w:space="0" w:color="auto"/>
        <w:bottom w:val="none" w:sz="0" w:space="0" w:color="auto"/>
        <w:right w:val="none" w:sz="0" w:space="0" w:color="auto"/>
      </w:divBdr>
    </w:div>
    <w:div w:id="1096172683">
      <w:bodyDiv w:val="1"/>
      <w:marLeft w:val="0"/>
      <w:marRight w:val="0"/>
      <w:marTop w:val="0"/>
      <w:marBottom w:val="0"/>
      <w:divBdr>
        <w:top w:val="none" w:sz="0" w:space="0" w:color="auto"/>
        <w:left w:val="none" w:sz="0" w:space="0" w:color="auto"/>
        <w:bottom w:val="none" w:sz="0" w:space="0" w:color="auto"/>
        <w:right w:val="none" w:sz="0" w:space="0" w:color="auto"/>
      </w:divBdr>
    </w:div>
    <w:div w:id="1096942590">
      <w:bodyDiv w:val="1"/>
      <w:marLeft w:val="0"/>
      <w:marRight w:val="0"/>
      <w:marTop w:val="0"/>
      <w:marBottom w:val="0"/>
      <w:divBdr>
        <w:top w:val="none" w:sz="0" w:space="0" w:color="auto"/>
        <w:left w:val="none" w:sz="0" w:space="0" w:color="auto"/>
        <w:bottom w:val="none" w:sz="0" w:space="0" w:color="auto"/>
        <w:right w:val="none" w:sz="0" w:space="0" w:color="auto"/>
      </w:divBdr>
    </w:div>
    <w:div w:id="1097097327">
      <w:bodyDiv w:val="1"/>
      <w:marLeft w:val="0"/>
      <w:marRight w:val="0"/>
      <w:marTop w:val="0"/>
      <w:marBottom w:val="0"/>
      <w:divBdr>
        <w:top w:val="none" w:sz="0" w:space="0" w:color="auto"/>
        <w:left w:val="none" w:sz="0" w:space="0" w:color="auto"/>
        <w:bottom w:val="none" w:sz="0" w:space="0" w:color="auto"/>
        <w:right w:val="none" w:sz="0" w:space="0" w:color="auto"/>
      </w:divBdr>
    </w:div>
    <w:div w:id="1097561556">
      <w:bodyDiv w:val="1"/>
      <w:marLeft w:val="0"/>
      <w:marRight w:val="0"/>
      <w:marTop w:val="0"/>
      <w:marBottom w:val="0"/>
      <w:divBdr>
        <w:top w:val="none" w:sz="0" w:space="0" w:color="auto"/>
        <w:left w:val="none" w:sz="0" w:space="0" w:color="auto"/>
        <w:bottom w:val="none" w:sz="0" w:space="0" w:color="auto"/>
        <w:right w:val="none" w:sz="0" w:space="0" w:color="auto"/>
      </w:divBdr>
    </w:div>
    <w:div w:id="1098411391">
      <w:bodyDiv w:val="1"/>
      <w:marLeft w:val="0"/>
      <w:marRight w:val="0"/>
      <w:marTop w:val="0"/>
      <w:marBottom w:val="0"/>
      <w:divBdr>
        <w:top w:val="none" w:sz="0" w:space="0" w:color="auto"/>
        <w:left w:val="none" w:sz="0" w:space="0" w:color="auto"/>
        <w:bottom w:val="none" w:sz="0" w:space="0" w:color="auto"/>
        <w:right w:val="none" w:sz="0" w:space="0" w:color="auto"/>
      </w:divBdr>
    </w:div>
    <w:div w:id="1098676999">
      <w:bodyDiv w:val="1"/>
      <w:marLeft w:val="0"/>
      <w:marRight w:val="0"/>
      <w:marTop w:val="0"/>
      <w:marBottom w:val="0"/>
      <w:divBdr>
        <w:top w:val="none" w:sz="0" w:space="0" w:color="auto"/>
        <w:left w:val="none" w:sz="0" w:space="0" w:color="auto"/>
        <w:bottom w:val="none" w:sz="0" w:space="0" w:color="auto"/>
        <w:right w:val="none" w:sz="0" w:space="0" w:color="auto"/>
      </w:divBdr>
    </w:div>
    <w:div w:id="1102188000">
      <w:bodyDiv w:val="1"/>
      <w:marLeft w:val="0"/>
      <w:marRight w:val="0"/>
      <w:marTop w:val="0"/>
      <w:marBottom w:val="0"/>
      <w:divBdr>
        <w:top w:val="none" w:sz="0" w:space="0" w:color="auto"/>
        <w:left w:val="none" w:sz="0" w:space="0" w:color="auto"/>
        <w:bottom w:val="none" w:sz="0" w:space="0" w:color="auto"/>
        <w:right w:val="none" w:sz="0" w:space="0" w:color="auto"/>
      </w:divBdr>
    </w:div>
    <w:div w:id="1104500971">
      <w:bodyDiv w:val="1"/>
      <w:marLeft w:val="0"/>
      <w:marRight w:val="0"/>
      <w:marTop w:val="0"/>
      <w:marBottom w:val="0"/>
      <w:divBdr>
        <w:top w:val="none" w:sz="0" w:space="0" w:color="auto"/>
        <w:left w:val="none" w:sz="0" w:space="0" w:color="auto"/>
        <w:bottom w:val="none" w:sz="0" w:space="0" w:color="auto"/>
        <w:right w:val="none" w:sz="0" w:space="0" w:color="auto"/>
      </w:divBdr>
    </w:div>
    <w:div w:id="1104610430">
      <w:bodyDiv w:val="1"/>
      <w:marLeft w:val="0"/>
      <w:marRight w:val="0"/>
      <w:marTop w:val="0"/>
      <w:marBottom w:val="0"/>
      <w:divBdr>
        <w:top w:val="none" w:sz="0" w:space="0" w:color="auto"/>
        <w:left w:val="none" w:sz="0" w:space="0" w:color="auto"/>
        <w:bottom w:val="none" w:sz="0" w:space="0" w:color="auto"/>
        <w:right w:val="none" w:sz="0" w:space="0" w:color="auto"/>
      </w:divBdr>
    </w:div>
    <w:div w:id="1105273175">
      <w:bodyDiv w:val="1"/>
      <w:marLeft w:val="0"/>
      <w:marRight w:val="0"/>
      <w:marTop w:val="0"/>
      <w:marBottom w:val="0"/>
      <w:divBdr>
        <w:top w:val="none" w:sz="0" w:space="0" w:color="auto"/>
        <w:left w:val="none" w:sz="0" w:space="0" w:color="auto"/>
        <w:bottom w:val="none" w:sz="0" w:space="0" w:color="auto"/>
        <w:right w:val="none" w:sz="0" w:space="0" w:color="auto"/>
      </w:divBdr>
    </w:div>
    <w:div w:id="1105424495">
      <w:bodyDiv w:val="1"/>
      <w:marLeft w:val="0"/>
      <w:marRight w:val="0"/>
      <w:marTop w:val="0"/>
      <w:marBottom w:val="0"/>
      <w:divBdr>
        <w:top w:val="none" w:sz="0" w:space="0" w:color="auto"/>
        <w:left w:val="none" w:sz="0" w:space="0" w:color="auto"/>
        <w:bottom w:val="none" w:sz="0" w:space="0" w:color="auto"/>
        <w:right w:val="none" w:sz="0" w:space="0" w:color="auto"/>
      </w:divBdr>
    </w:div>
    <w:div w:id="1105929906">
      <w:bodyDiv w:val="1"/>
      <w:marLeft w:val="0"/>
      <w:marRight w:val="0"/>
      <w:marTop w:val="0"/>
      <w:marBottom w:val="0"/>
      <w:divBdr>
        <w:top w:val="none" w:sz="0" w:space="0" w:color="auto"/>
        <w:left w:val="none" w:sz="0" w:space="0" w:color="auto"/>
        <w:bottom w:val="none" w:sz="0" w:space="0" w:color="auto"/>
        <w:right w:val="none" w:sz="0" w:space="0" w:color="auto"/>
      </w:divBdr>
    </w:div>
    <w:div w:id="1108046166">
      <w:bodyDiv w:val="1"/>
      <w:marLeft w:val="0"/>
      <w:marRight w:val="0"/>
      <w:marTop w:val="0"/>
      <w:marBottom w:val="0"/>
      <w:divBdr>
        <w:top w:val="none" w:sz="0" w:space="0" w:color="auto"/>
        <w:left w:val="none" w:sz="0" w:space="0" w:color="auto"/>
        <w:bottom w:val="none" w:sz="0" w:space="0" w:color="auto"/>
        <w:right w:val="none" w:sz="0" w:space="0" w:color="auto"/>
      </w:divBdr>
    </w:div>
    <w:div w:id="1108429925">
      <w:bodyDiv w:val="1"/>
      <w:marLeft w:val="0"/>
      <w:marRight w:val="0"/>
      <w:marTop w:val="0"/>
      <w:marBottom w:val="0"/>
      <w:divBdr>
        <w:top w:val="none" w:sz="0" w:space="0" w:color="auto"/>
        <w:left w:val="none" w:sz="0" w:space="0" w:color="auto"/>
        <w:bottom w:val="none" w:sz="0" w:space="0" w:color="auto"/>
        <w:right w:val="none" w:sz="0" w:space="0" w:color="auto"/>
      </w:divBdr>
    </w:div>
    <w:div w:id="1108744586">
      <w:bodyDiv w:val="1"/>
      <w:marLeft w:val="0"/>
      <w:marRight w:val="0"/>
      <w:marTop w:val="0"/>
      <w:marBottom w:val="0"/>
      <w:divBdr>
        <w:top w:val="none" w:sz="0" w:space="0" w:color="auto"/>
        <w:left w:val="none" w:sz="0" w:space="0" w:color="auto"/>
        <w:bottom w:val="none" w:sz="0" w:space="0" w:color="auto"/>
        <w:right w:val="none" w:sz="0" w:space="0" w:color="auto"/>
      </w:divBdr>
    </w:div>
    <w:div w:id="1109085119">
      <w:bodyDiv w:val="1"/>
      <w:marLeft w:val="0"/>
      <w:marRight w:val="0"/>
      <w:marTop w:val="0"/>
      <w:marBottom w:val="0"/>
      <w:divBdr>
        <w:top w:val="none" w:sz="0" w:space="0" w:color="auto"/>
        <w:left w:val="none" w:sz="0" w:space="0" w:color="auto"/>
        <w:bottom w:val="none" w:sz="0" w:space="0" w:color="auto"/>
        <w:right w:val="none" w:sz="0" w:space="0" w:color="auto"/>
      </w:divBdr>
    </w:div>
    <w:div w:id="1112869624">
      <w:bodyDiv w:val="1"/>
      <w:marLeft w:val="0"/>
      <w:marRight w:val="0"/>
      <w:marTop w:val="0"/>
      <w:marBottom w:val="0"/>
      <w:divBdr>
        <w:top w:val="none" w:sz="0" w:space="0" w:color="auto"/>
        <w:left w:val="none" w:sz="0" w:space="0" w:color="auto"/>
        <w:bottom w:val="none" w:sz="0" w:space="0" w:color="auto"/>
        <w:right w:val="none" w:sz="0" w:space="0" w:color="auto"/>
      </w:divBdr>
    </w:div>
    <w:div w:id="1112943266">
      <w:bodyDiv w:val="1"/>
      <w:marLeft w:val="0"/>
      <w:marRight w:val="0"/>
      <w:marTop w:val="0"/>
      <w:marBottom w:val="0"/>
      <w:divBdr>
        <w:top w:val="none" w:sz="0" w:space="0" w:color="auto"/>
        <w:left w:val="none" w:sz="0" w:space="0" w:color="auto"/>
        <w:bottom w:val="none" w:sz="0" w:space="0" w:color="auto"/>
        <w:right w:val="none" w:sz="0" w:space="0" w:color="auto"/>
      </w:divBdr>
    </w:div>
    <w:div w:id="1113280823">
      <w:bodyDiv w:val="1"/>
      <w:marLeft w:val="0"/>
      <w:marRight w:val="0"/>
      <w:marTop w:val="0"/>
      <w:marBottom w:val="0"/>
      <w:divBdr>
        <w:top w:val="none" w:sz="0" w:space="0" w:color="auto"/>
        <w:left w:val="none" w:sz="0" w:space="0" w:color="auto"/>
        <w:bottom w:val="none" w:sz="0" w:space="0" w:color="auto"/>
        <w:right w:val="none" w:sz="0" w:space="0" w:color="auto"/>
      </w:divBdr>
    </w:div>
    <w:div w:id="1113327582">
      <w:bodyDiv w:val="1"/>
      <w:marLeft w:val="0"/>
      <w:marRight w:val="0"/>
      <w:marTop w:val="0"/>
      <w:marBottom w:val="0"/>
      <w:divBdr>
        <w:top w:val="none" w:sz="0" w:space="0" w:color="auto"/>
        <w:left w:val="none" w:sz="0" w:space="0" w:color="auto"/>
        <w:bottom w:val="none" w:sz="0" w:space="0" w:color="auto"/>
        <w:right w:val="none" w:sz="0" w:space="0" w:color="auto"/>
      </w:divBdr>
    </w:div>
    <w:div w:id="1118790382">
      <w:bodyDiv w:val="1"/>
      <w:marLeft w:val="0"/>
      <w:marRight w:val="0"/>
      <w:marTop w:val="0"/>
      <w:marBottom w:val="0"/>
      <w:divBdr>
        <w:top w:val="none" w:sz="0" w:space="0" w:color="auto"/>
        <w:left w:val="none" w:sz="0" w:space="0" w:color="auto"/>
        <w:bottom w:val="none" w:sz="0" w:space="0" w:color="auto"/>
        <w:right w:val="none" w:sz="0" w:space="0" w:color="auto"/>
      </w:divBdr>
    </w:div>
    <w:div w:id="1120148402">
      <w:bodyDiv w:val="1"/>
      <w:marLeft w:val="0"/>
      <w:marRight w:val="0"/>
      <w:marTop w:val="0"/>
      <w:marBottom w:val="0"/>
      <w:divBdr>
        <w:top w:val="none" w:sz="0" w:space="0" w:color="auto"/>
        <w:left w:val="none" w:sz="0" w:space="0" w:color="auto"/>
        <w:bottom w:val="none" w:sz="0" w:space="0" w:color="auto"/>
        <w:right w:val="none" w:sz="0" w:space="0" w:color="auto"/>
      </w:divBdr>
    </w:div>
    <w:div w:id="1122922878">
      <w:bodyDiv w:val="1"/>
      <w:marLeft w:val="0"/>
      <w:marRight w:val="0"/>
      <w:marTop w:val="0"/>
      <w:marBottom w:val="0"/>
      <w:divBdr>
        <w:top w:val="none" w:sz="0" w:space="0" w:color="auto"/>
        <w:left w:val="none" w:sz="0" w:space="0" w:color="auto"/>
        <w:bottom w:val="none" w:sz="0" w:space="0" w:color="auto"/>
        <w:right w:val="none" w:sz="0" w:space="0" w:color="auto"/>
      </w:divBdr>
    </w:div>
    <w:div w:id="1125125238">
      <w:bodyDiv w:val="1"/>
      <w:marLeft w:val="0"/>
      <w:marRight w:val="0"/>
      <w:marTop w:val="0"/>
      <w:marBottom w:val="0"/>
      <w:divBdr>
        <w:top w:val="none" w:sz="0" w:space="0" w:color="auto"/>
        <w:left w:val="none" w:sz="0" w:space="0" w:color="auto"/>
        <w:bottom w:val="none" w:sz="0" w:space="0" w:color="auto"/>
        <w:right w:val="none" w:sz="0" w:space="0" w:color="auto"/>
      </w:divBdr>
    </w:div>
    <w:div w:id="1127703304">
      <w:bodyDiv w:val="1"/>
      <w:marLeft w:val="0"/>
      <w:marRight w:val="0"/>
      <w:marTop w:val="0"/>
      <w:marBottom w:val="0"/>
      <w:divBdr>
        <w:top w:val="none" w:sz="0" w:space="0" w:color="auto"/>
        <w:left w:val="none" w:sz="0" w:space="0" w:color="auto"/>
        <w:bottom w:val="none" w:sz="0" w:space="0" w:color="auto"/>
        <w:right w:val="none" w:sz="0" w:space="0" w:color="auto"/>
      </w:divBdr>
    </w:div>
    <w:div w:id="1127775107">
      <w:bodyDiv w:val="1"/>
      <w:marLeft w:val="0"/>
      <w:marRight w:val="0"/>
      <w:marTop w:val="0"/>
      <w:marBottom w:val="0"/>
      <w:divBdr>
        <w:top w:val="none" w:sz="0" w:space="0" w:color="auto"/>
        <w:left w:val="none" w:sz="0" w:space="0" w:color="auto"/>
        <w:bottom w:val="none" w:sz="0" w:space="0" w:color="auto"/>
        <w:right w:val="none" w:sz="0" w:space="0" w:color="auto"/>
      </w:divBdr>
    </w:div>
    <w:div w:id="1133402670">
      <w:bodyDiv w:val="1"/>
      <w:marLeft w:val="0"/>
      <w:marRight w:val="0"/>
      <w:marTop w:val="0"/>
      <w:marBottom w:val="0"/>
      <w:divBdr>
        <w:top w:val="none" w:sz="0" w:space="0" w:color="auto"/>
        <w:left w:val="none" w:sz="0" w:space="0" w:color="auto"/>
        <w:bottom w:val="none" w:sz="0" w:space="0" w:color="auto"/>
        <w:right w:val="none" w:sz="0" w:space="0" w:color="auto"/>
      </w:divBdr>
    </w:div>
    <w:div w:id="1135221453">
      <w:bodyDiv w:val="1"/>
      <w:marLeft w:val="0"/>
      <w:marRight w:val="0"/>
      <w:marTop w:val="0"/>
      <w:marBottom w:val="0"/>
      <w:divBdr>
        <w:top w:val="none" w:sz="0" w:space="0" w:color="auto"/>
        <w:left w:val="none" w:sz="0" w:space="0" w:color="auto"/>
        <w:bottom w:val="none" w:sz="0" w:space="0" w:color="auto"/>
        <w:right w:val="none" w:sz="0" w:space="0" w:color="auto"/>
      </w:divBdr>
    </w:div>
    <w:div w:id="1136987900">
      <w:bodyDiv w:val="1"/>
      <w:marLeft w:val="0"/>
      <w:marRight w:val="0"/>
      <w:marTop w:val="0"/>
      <w:marBottom w:val="0"/>
      <w:divBdr>
        <w:top w:val="none" w:sz="0" w:space="0" w:color="auto"/>
        <w:left w:val="none" w:sz="0" w:space="0" w:color="auto"/>
        <w:bottom w:val="none" w:sz="0" w:space="0" w:color="auto"/>
        <w:right w:val="none" w:sz="0" w:space="0" w:color="auto"/>
      </w:divBdr>
    </w:div>
    <w:div w:id="1137796376">
      <w:bodyDiv w:val="1"/>
      <w:marLeft w:val="0"/>
      <w:marRight w:val="0"/>
      <w:marTop w:val="0"/>
      <w:marBottom w:val="0"/>
      <w:divBdr>
        <w:top w:val="none" w:sz="0" w:space="0" w:color="auto"/>
        <w:left w:val="none" w:sz="0" w:space="0" w:color="auto"/>
        <w:bottom w:val="none" w:sz="0" w:space="0" w:color="auto"/>
        <w:right w:val="none" w:sz="0" w:space="0" w:color="auto"/>
      </w:divBdr>
    </w:div>
    <w:div w:id="1138257023">
      <w:bodyDiv w:val="1"/>
      <w:marLeft w:val="0"/>
      <w:marRight w:val="0"/>
      <w:marTop w:val="0"/>
      <w:marBottom w:val="0"/>
      <w:divBdr>
        <w:top w:val="none" w:sz="0" w:space="0" w:color="auto"/>
        <w:left w:val="none" w:sz="0" w:space="0" w:color="auto"/>
        <w:bottom w:val="none" w:sz="0" w:space="0" w:color="auto"/>
        <w:right w:val="none" w:sz="0" w:space="0" w:color="auto"/>
      </w:divBdr>
    </w:div>
    <w:div w:id="1138648033">
      <w:bodyDiv w:val="1"/>
      <w:marLeft w:val="0"/>
      <w:marRight w:val="0"/>
      <w:marTop w:val="0"/>
      <w:marBottom w:val="0"/>
      <w:divBdr>
        <w:top w:val="none" w:sz="0" w:space="0" w:color="auto"/>
        <w:left w:val="none" w:sz="0" w:space="0" w:color="auto"/>
        <w:bottom w:val="none" w:sz="0" w:space="0" w:color="auto"/>
        <w:right w:val="none" w:sz="0" w:space="0" w:color="auto"/>
      </w:divBdr>
    </w:div>
    <w:div w:id="1142432213">
      <w:bodyDiv w:val="1"/>
      <w:marLeft w:val="0"/>
      <w:marRight w:val="0"/>
      <w:marTop w:val="0"/>
      <w:marBottom w:val="0"/>
      <w:divBdr>
        <w:top w:val="none" w:sz="0" w:space="0" w:color="auto"/>
        <w:left w:val="none" w:sz="0" w:space="0" w:color="auto"/>
        <w:bottom w:val="none" w:sz="0" w:space="0" w:color="auto"/>
        <w:right w:val="none" w:sz="0" w:space="0" w:color="auto"/>
      </w:divBdr>
    </w:div>
    <w:div w:id="1145662785">
      <w:bodyDiv w:val="1"/>
      <w:marLeft w:val="0"/>
      <w:marRight w:val="0"/>
      <w:marTop w:val="0"/>
      <w:marBottom w:val="0"/>
      <w:divBdr>
        <w:top w:val="none" w:sz="0" w:space="0" w:color="auto"/>
        <w:left w:val="none" w:sz="0" w:space="0" w:color="auto"/>
        <w:bottom w:val="none" w:sz="0" w:space="0" w:color="auto"/>
        <w:right w:val="none" w:sz="0" w:space="0" w:color="auto"/>
      </w:divBdr>
    </w:div>
    <w:div w:id="1146118542">
      <w:bodyDiv w:val="1"/>
      <w:marLeft w:val="0"/>
      <w:marRight w:val="0"/>
      <w:marTop w:val="0"/>
      <w:marBottom w:val="0"/>
      <w:divBdr>
        <w:top w:val="none" w:sz="0" w:space="0" w:color="auto"/>
        <w:left w:val="none" w:sz="0" w:space="0" w:color="auto"/>
        <w:bottom w:val="none" w:sz="0" w:space="0" w:color="auto"/>
        <w:right w:val="none" w:sz="0" w:space="0" w:color="auto"/>
      </w:divBdr>
    </w:div>
    <w:div w:id="1147629057">
      <w:bodyDiv w:val="1"/>
      <w:marLeft w:val="0"/>
      <w:marRight w:val="0"/>
      <w:marTop w:val="0"/>
      <w:marBottom w:val="0"/>
      <w:divBdr>
        <w:top w:val="none" w:sz="0" w:space="0" w:color="auto"/>
        <w:left w:val="none" w:sz="0" w:space="0" w:color="auto"/>
        <w:bottom w:val="none" w:sz="0" w:space="0" w:color="auto"/>
        <w:right w:val="none" w:sz="0" w:space="0" w:color="auto"/>
      </w:divBdr>
    </w:div>
    <w:div w:id="1148665032">
      <w:bodyDiv w:val="1"/>
      <w:marLeft w:val="0"/>
      <w:marRight w:val="0"/>
      <w:marTop w:val="0"/>
      <w:marBottom w:val="0"/>
      <w:divBdr>
        <w:top w:val="none" w:sz="0" w:space="0" w:color="auto"/>
        <w:left w:val="none" w:sz="0" w:space="0" w:color="auto"/>
        <w:bottom w:val="none" w:sz="0" w:space="0" w:color="auto"/>
        <w:right w:val="none" w:sz="0" w:space="0" w:color="auto"/>
      </w:divBdr>
    </w:div>
    <w:div w:id="1151020453">
      <w:bodyDiv w:val="1"/>
      <w:marLeft w:val="0"/>
      <w:marRight w:val="0"/>
      <w:marTop w:val="0"/>
      <w:marBottom w:val="0"/>
      <w:divBdr>
        <w:top w:val="none" w:sz="0" w:space="0" w:color="auto"/>
        <w:left w:val="none" w:sz="0" w:space="0" w:color="auto"/>
        <w:bottom w:val="none" w:sz="0" w:space="0" w:color="auto"/>
        <w:right w:val="none" w:sz="0" w:space="0" w:color="auto"/>
      </w:divBdr>
    </w:div>
    <w:div w:id="1151558310">
      <w:bodyDiv w:val="1"/>
      <w:marLeft w:val="0"/>
      <w:marRight w:val="0"/>
      <w:marTop w:val="0"/>
      <w:marBottom w:val="0"/>
      <w:divBdr>
        <w:top w:val="none" w:sz="0" w:space="0" w:color="auto"/>
        <w:left w:val="none" w:sz="0" w:space="0" w:color="auto"/>
        <w:bottom w:val="none" w:sz="0" w:space="0" w:color="auto"/>
        <w:right w:val="none" w:sz="0" w:space="0" w:color="auto"/>
      </w:divBdr>
    </w:div>
    <w:div w:id="1151825245">
      <w:bodyDiv w:val="1"/>
      <w:marLeft w:val="0"/>
      <w:marRight w:val="0"/>
      <w:marTop w:val="0"/>
      <w:marBottom w:val="0"/>
      <w:divBdr>
        <w:top w:val="none" w:sz="0" w:space="0" w:color="auto"/>
        <w:left w:val="none" w:sz="0" w:space="0" w:color="auto"/>
        <w:bottom w:val="none" w:sz="0" w:space="0" w:color="auto"/>
        <w:right w:val="none" w:sz="0" w:space="0" w:color="auto"/>
      </w:divBdr>
    </w:div>
    <w:div w:id="1154251367">
      <w:bodyDiv w:val="1"/>
      <w:marLeft w:val="0"/>
      <w:marRight w:val="0"/>
      <w:marTop w:val="0"/>
      <w:marBottom w:val="0"/>
      <w:divBdr>
        <w:top w:val="none" w:sz="0" w:space="0" w:color="auto"/>
        <w:left w:val="none" w:sz="0" w:space="0" w:color="auto"/>
        <w:bottom w:val="none" w:sz="0" w:space="0" w:color="auto"/>
        <w:right w:val="none" w:sz="0" w:space="0" w:color="auto"/>
      </w:divBdr>
    </w:div>
    <w:div w:id="1154838698">
      <w:bodyDiv w:val="1"/>
      <w:marLeft w:val="0"/>
      <w:marRight w:val="0"/>
      <w:marTop w:val="0"/>
      <w:marBottom w:val="0"/>
      <w:divBdr>
        <w:top w:val="none" w:sz="0" w:space="0" w:color="auto"/>
        <w:left w:val="none" w:sz="0" w:space="0" w:color="auto"/>
        <w:bottom w:val="none" w:sz="0" w:space="0" w:color="auto"/>
        <w:right w:val="none" w:sz="0" w:space="0" w:color="auto"/>
      </w:divBdr>
    </w:div>
    <w:div w:id="1156142843">
      <w:bodyDiv w:val="1"/>
      <w:marLeft w:val="0"/>
      <w:marRight w:val="0"/>
      <w:marTop w:val="0"/>
      <w:marBottom w:val="0"/>
      <w:divBdr>
        <w:top w:val="none" w:sz="0" w:space="0" w:color="auto"/>
        <w:left w:val="none" w:sz="0" w:space="0" w:color="auto"/>
        <w:bottom w:val="none" w:sz="0" w:space="0" w:color="auto"/>
        <w:right w:val="none" w:sz="0" w:space="0" w:color="auto"/>
      </w:divBdr>
    </w:div>
    <w:div w:id="1156797101">
      <w:bodyDiv w:val="1"/>
      <w:marLeft w:val="0"/>
      <w:marRight w:val="0"/>
      <w:marTop w:val="0"/>
      <w:marBottom w:val="0"/>
      <w:divBdr>
        <w:top w:val="none" w:sz="0" w:space="0" w:color="auto"/>
        <w:left w:val="none" w:sz="0" w:space="0" w:color="auto"/>
        <w:bottom w:val="none" w:sz="0" w:space="0" w:color="auto"/>
        <w:right w:val="none" w:sz="0" w:space="0" w:color="auto"/>
      </w:divBdr>
    </w:div>
    <w:div w:id="1156992354">
      <w:bodyDiv w:val="1"/>
      <w:marLeft w:val="0"/>
      <w:marRight w:val="0"/>
      <w:marTop w:val="0"/>
      <w:marBottom w:val="0"/>
      <w:divBdr>
        <w:top w:val="none" w:sz="0" w:space="0" w:color="auto"/>
        <w:left w:val="none" w:sz="0" w:space="0" w:color="auto"/>
        <w:bottom w:val="none" w:sz="0" w:space="0" w:color="auto"/>
        <w:right w:val="none" w:sz="0" w:space="0" w:color="auto"/>
      </w:divBdr>
    </w:div>
    <w:div w:id="1157066955">
      <w:bodyDiv w:val="1"/>
      <w:marLeft w:val="0"/>
      <w:marRight w:val="0"/>
      <w:marTop w:val="0"/>
      <w:marBottom w:val="0"/>
      <w:divBdr>
        <w:top w:val="none" w:sz="0" w:space="0" w:color="auto"/>
        <w:left w:val="none" w:sz="0" w:space="0" w:color="auto"/>
        <w:bottom w:val="none" w:sz="0" w:space="0" w:color="auto"/>
        <w:right w:val="none" w:sz="0" w:space="0" w:color="auto"/>
      </w:divBdr>
    </w:div>
    <w:div w:id="1158350358">
      <w:bodyDiv w:val="1"/>
      <w:marLeft w:val="0"/>
      <w:marRight w:val="0"/>
      <w:marTop w:val="0"/>
      <w:marBottom w:val="0"/>
      <w:divBdr>
        <w:top w:val="none" w:sz="0" w:space="0" w:color="auto"/>
        <w:left w:val="none" w:sz="0" w:space="0" w:color="auto"/>
        <w:bottom w:val="none" w:sz="0" w:space="0" w:color="auto"/>
        <w:right w:val="none" w:sz="0" w:space="0" w:color="auto"/>
      </w:divBdr>
    </w:div>
    <w:div w:id="1159535177">
      <w:bodyDiv w:val="1"/>
      <w:marLeft w:val="0"/>
      <w:marRight w:val="0"/>
      <w:marTop w:val="0"/>
      <w:marBottom w:val="0"/>
      <w:divBdr>
        <w:top w:val="none" w:sz="0" w:space="0" w:color="auto"/>
        <w:left w:val="none" w:sz="0" w:space="0" w:color="auto"/>
        <w:bottom w:val="none" w:sz="0" w:space="0" w:color="auto"/>
        <w:right w:val="none" w:sz="0" w:space="0" w:color="auto"/>
      </w:divBdr>
    </w:div>
    <w:div w:id="1160922909">
      <w:bodyDiv w:val="1"/>
      <w:marLeft w:val="0"/>
      <w:marRight w:val="0"/>
      <w:marTop w:val="0"/>
      <w:marBottom w:val="0"/>
      <w:divBdr>
        <w:top w:val="none" w:sz="0" w:space="0" w:color="auto"/>
        <w:left w:val="none" w:sz="0" w:space="0" w:color="auto"/>
        <w:bottom w:val="none" w:sz="0" w:space="0" w:color="auto"/>
        <w:right w:val="none" w:sz="0" w:space="0" w:color="auto"/>
      </w:divBdr>
    </w:div>
    <w:div w:id="1163006628">
      <w:bodyDiv w:val="1"/>
      <w:marLeft w:val="0"/>
      <w:marRight w:val="0"/>
      <w:marTop w:val="0"/>
      <w:marBottom w:val="0"/>
      <w:divBdr>
        <w:top w:val="none" w:sz="0" w:space="0" w:color="auto"/>
        <w:left w:val="none" w:sz="0" w:space="0" w:color="auto"/>
        <w:bottom w:val="none" w:sz="0" w:space="0" w:color="auto"/>
        <w:right w:val="none" w:sz="0" w:space="0" w:color="auto"/>
      </w:divBdr>
    </w:div>
    <w:div w:id="1163742166">
      <w:bodyDiv w:val="1"/>
      <w:marLeft w:val="0"/>
      <w:marRight w:val="0"/>
      <w:marTop w:val="0"/>
      <w:marBottom w:val="0"/>
      <w:divBdr>
        <w:top w:val="none" w:sz="0" w:space="0" w:color="auto"/>
        <w:left w:val="none" w:sz="0" w:space="0" w:color="auto"/>
        <w:bottom w:val="none" w:sz="0" w:space="0" w:color="auto"/>
        <w:right w:val="none" w:sz="0" w:space="0" w:color="auto"/>
      </w:divBdr>
    </w:div>
    <w:div w:id="1164590126">
      <w:bodyDiv w:val="1"/>
      <w:marLeft w:val="0"/>
      <w:marRight w:val="0"/>
      <w:marTop w:val="0"/>
      <w:marBottom w:val="0"/>
      <w:divBdr>
        <w:top w:val="none" w:sz="0" w:space="0" w:color="auto"/>
        <w:left w:val="none" w:sz="0" w:space="0" w:color="auto"/>
        <w:bottom w:val="none" w:sz="0" w:space="0" w:color="auto"/>
        <w:right w:val="none" w:sz="0" w:space="0" w:color="auto"/>
      </w:divBdr>
    </w:div>
    <w:div w:id="1169521086">
      <w:bodyDiv w:val="1"/>
      <w:marLeft w:val="0"/>
      <w:marRight w:val="0"/>
      <w:marTop w:val="0"/>
      <w:marBottom w:val="0"/>
      <w:divBdr>
        <w:top w:val="none" w:sz="0" w:space="0" w:color="auto"/>
        <w:left w:val="none" w:sz="0" w:space="0" w:color="auto"/>
        <w:bottom w:val="none" w:sz="0" w:space="0" w:color="auto"/>
        <w:right w:val="none" w:sz="0" w:space="0" w:color="auto"/>
      </w:divBdr>
    </w:div>
    <w:div w:id="1171531969">
      <w:bodyDiv w:val="1"/>
      <w:marLeft w:val="0"/>
      <w:marRight w:val="0"/>
      <w:marTop w:val="0"/>
      <w:marBottom w:val="0"/>
      <w:divBdr>
        <w:top w:val="none" w:sz="0" w:space="0" w:color="auto"/>
        <w:left w:val="none" w:sz="0" w:space="0" w:color="auto"/>
        <w:bottom w:val="none" w:sz="0" w:space="0" w:color="auto"/>
        <w:right w:val="none" w:sz="0" w:space="0" w:color="auto"/>
      </w:divBdr>
    </w:div>
    <w:div w:id="1173185383">
      <w:bodyDiv w:val="1"/>
      <w:marLeft w:val="0"/>
      <w:marRight w:val="0"/>
      <w:marTop w:val="0"/>
      <w:marBottom w:val="0"/>
      <w:divBdr>
        <w:top w:val="none" w:sz="0" w:space="0" w:color="auto"/>
        <w:left w:val="none" w:sz="0" w:space="0" w:color="auto"/>
        <w:bottom w:val="none" w:sz="0" w:space="0" w:color="auto"/>
        <w:right w:val="none" w:sz="0" w:space="0" w:color="auto"/>
      </w:divBdr>
    </w:div>
    <w:div w:id="1174346552">
      <w:bodyDiv w:val="1"/>
      <w:marLeft w:val="0"/>
      <w:marRight w:val="0"/>
      <w:marTop w:val="0"/>
      <w:marBottom w:val="0"/>
      <w:divBdr>
        <w:top w:val="none" w:sz="0" w:space="0" w:color="auto"/>
        <w:left w:val="none" w:sz="0" w:space="0" w:color="auto"/>
        <w:bottom w:val="none" w:sz="0" w:space="0" w:color="auto"/>
        <w:right w:val="none" w:sz="0" w:space="0" w:color="auto"/>
      </w:divBdr>
    </w:div>
    <w:div w:id="1177497453">
      <w:bodyDiv w:val="1"/>
      <w:marLeft w:val="0"/>
      <w:marRight w:val="0"/>
      <w:marTop w:val="0"/>
      <w:marBottom w:val="0"/>
      <w:divBdr>
        <w:top w:val="none" w:sz="0" w:space="0" w:color="auto"/>
        <w:left w:val="none" w:sz="0" w:space="0" w:color="auto"/>
        <w:bottom w:val="none" w:sz="0" w:space="0" w:color="auto"/>
        <w:right w:val="none" w:sz="0" w:space="0" w:color="auto"/>
      </w:divBdr>
    </w:div>
    <w:div w:id="1179271368">
      <w:bodyDiv w:val="1"/>
      <w:marLeft w:val="0"/>
      <w:marRight w:val="0"/>
      <w:marTop w:val="0"/>
      <w:marBottom w:val="0"/>
      <w:divBdr>
        <w:top w:val="none" w:sz="0" w:space="0" w:color="auto"/>
        <w:left w:val="none" w:sz="0" w:space="0" w:color="auto"/>
        <w:bottom w:val="none" w:sz="0" w:space="0" w:color="auto"/>
        <w:right w:val="none" w:sz="0" w:space="0" w:color="auto"/>
      </w:divBdr>
    </w:div>
    <w:div w:id="1180193235">
      <w:bodyDiv w:val="1"/>
      <w:marLeft w:val="0"/>
      <w:marRight w:val="0"/>
      <w:marTop w:val="0"/>
      <w:marBottom w:val="0"/>
      <w:divBdr>
        <w:top w:val="none" w:sz="0" w:space="0" w:color="auto"/>
        <w:left w:val="none" w:sz="0" w:space="0" w:color="auto"/>
        <w:bottom w:val="none" w:sz="0" w:space="0" w:color="auto"/>
        <w:right w:val="none" w:sz="0" w:space="0" w:color="auto"/>
      </w:divBdr>
    </w:div>
    <w:div w:id="1181433352">
      <w:bodyDiv w:val="1"/>
      <w:marLeft w:val="0"/>
      <w:marRight w:val="0"/>
      <w:marTop w:val="0"/>
      <w:marBottom w:val="0"/>
      <w:divBdr>
        <w:top w:val="none" w:sz="0" w:space="0" w:color="auto"/>
        <w:left w:val="none" w:sz="0" w:space="0" w:color="auto"/>
        <w:bottom w:val="none" w:sz="0" w:space="0" w:color="auto"/>
        <w:right w:val="none" w:sz="0" w:space="0" w:color="auto"/>
      </w:divBdr>
    </w:div>
    <w:div w:id="1187864096">
      <w:bodyDiv w:val="1"/>
      <w:marLeft w:val="0"/>
      <w:marRight w:val="0"/>
      <w:marTop w:val="0"/>
      <w:marBottom w:val="0"/>
      <w:divBdr>
        <w:top w:val="none" w:sz="0" w:space="0" w:color="auto"/>
        <w:left w:val="none" w:sz="0" w:space="0" w:color="auto"/>
        <w:bottom w:val="none" w:sz="0" w:space="0" w:color="auto"/>
        <w:right w:val="none" w:sz="0" w:space="0" w:color="auto"/>
      </w:divBdr>
    </w:div>
    <w:div w:id="1188906341">
      <w:bodyDiv w:val="1"/>
      <w:marLeft w:val="0"/>
      <w:marRight w:val="0"/>
      <w:marTop w:val="0"/>
      <w:marBottom w:val="0"/>
      <w:divBdr>
        <w:top w:val="none" w:sz="0" w:space="0" w:color="auto"/>
        <w:left w:val="none" w:sz="0" w:space="0" w:color="auto"/>
        <w:bottom w:val="none" w:sz="0" w:space="0" w:color="auto"/>
        <w:right w:val="none" w:sz="0" w:space="0" w:color="auto"/>
      </w:divBdr>
    </w:div>
    <w:div w:id="1189413674">
      <w:bodyDiv w:val="1"/>
      <w:marLeft w:val="0"/>
      <w:marRight w:val="0"/>
      <w:marTop w:val="0"/>
      <w:marBottom w:val="0"/>
      <w:divBdr>
        <w:top w:val="none" w:sz="0" w:space="0" w:color="auto"/>
        <w:left w:val="none" w:sz="0" w:space="0" w:color="auto"/>
        <w:bottom w:val="none" w:sz="0" w:space="0" w:color="auto"/>
        <w:right w:val="none" w:sz="0" w:space="0" w:color="auto"/>
      </w:divBdr>
    </w:div>
    <w:div w:id="1189442044">
      <w:bodyDiv w:val="1"/>
      <w:marLeft w:val="0"/>
      <w:marRight w:val="0"/>
      <w:marTop w:val="0"/>
      <w:marBottom w:val="0"/>
      <w:divBdr>
        <w:top w:val="none" w:sz="0" w:space="0" w:color="auto"/>
        <w:left w:val="none" w:sz="0" w:space="0" w:color="auto"/>
        <w:bottom w:val="none" w:sz="0" w:space="0" w:color="auto"/>
        <w:right w:val="none" w:sz="0" w:space="0" w:color="auto"/>
      </w:divBdr>
    </w:div>
    <w:div w:id="1189491767">
      <w:bodyDiv w:val="1"/>
      <w:marLeft w:val="0"/>
      <w:marRight w:val="0"/>
      <w:marTop w:val="0"/>
      <w:marBottom w:val="0"/>
      <w:divBdr>
        <w:top w:val="none" w:sz="0" w:space="0" w:color="auto"/>
        <w:left w:val="none" w:sz="0" w:space="0" w:color="auto"/>
        <w:bottom w:val="none" w:sz="0" w:space="0" w:color="auto"/>
        <w:right w:val="none" w:sz="0" w:space="0" w:color="auto"/>
      </w:divBdr>
    </w:div>
    <w:div w:id="1191336145">
      <w:bodyDiv w:val="1"/>
      <w:marLeft w:val="0"/>
      <w:marRight w:val="0"/>
      <w:marTop w:val="0"/>
      <w:marBottom w:val="0"/>
      <w:divBdr>
        <w:top w:val="none" w:sz="0" w:space="0" w:color="auto"/>
        <w:left w:val="none" w:sz="0" w:space="0" w:color="auto"/>
        <w:bottom w:val="none" w:sz="0" w:space="0" w:color="auto"/>
        <w:right w:val="none" w:sz="0" w:space="0" w:color="auto"/>
      </w:divBdr>
    </w:div>
    <w:div w:id="1192498802">
      <w:bodyDiv w:val="1"/>
      <w:marLeft w:val="0"/>
      <w:marRight w:val="0"/>
      <w:marTop w:val="0"/>
      <w:marBottom w:val="0"/>
      <w:divBdr>
        <w:top w:val="none" w:sz="0" w:space="0" w:color="auto"/>
        <w:left w:val="none" w:sz="0" w:space="0" w:color="auto"/>
        <w:bottom w:val="none" w:sz="0" w:space="0" w:color="auto"/>
        <w:right w:val="none" w:sz="0" w:space="0" w:color="auto"/>
      </w:divBdr>
    </w:div>
    <w:div w:id="1192913848">
      <w:bodyDiv w:val="1"/>
      <w:marLeft w:val="0"/>
      <w:marRight w:val="0"/>
      <w:marTop w:val="0"/>
      <w:marBottom w:val="0"/>
      <w:divBdr>
        <w:top w:val="none" w:sz="0" w:space="0" w:color="auto"/>
        <w:left w:val="none" w:sz="0" w:space="0" w:color="auto"/>
        <w:bottom w:val="none" w:sz="0" w:space="0" w:color="auto"/>
        <w:right w:val="none" w:sz="0" w:space="0" w:color="auto"/>
      </w:divBdr>
    </w:div>
    <w:div w:id="1193879470">
      <w:bodyDiv w:val="1"/>
      <w:marLeft w:val="0"/>
      <w:marRight w:val="0"/>
      <w:marTop w:val="0"/>
      <w:marBottom w:val="0"/>
      <w:divBdr>
        <w:top w:val="none" w:sz="0" w:space="0" w:color="auto"/>
        <w:left w:val="none" w:sz="0" w:space="0" w:color="auto"/>
        <w:bottom w:val="none" w:sz="0" w:space="0" w:color="auto"/>
        <w:right w:val="none" w:sz="0" w:space="0" w:color="auto"/>
      </w:divBdr>
    </w:div>
    <w:div w:id="1197695216">
      <w:bodyDiv w:val="1"/>
      <w:marLeft w:val="0"/>
      <w:marRight w:val="0"/>
      <w:marTop w:val="0"/>
      <w:marBottom w:val="0"/>
      <w:divBdr>
        <w:top w:val="none" w:sz="0" w:space="0" w:color="auto"/>
        <w:left w:val="none" w:sz="0" w:space="0" w:color="auto"/>
        <w:bottom w:val="none" w:sz="0" w:space="0" w:color="auto"/>
        <w:right w:val="none" w:sz="0" w:space="0" w:color="auto"/>
      </w:divBdr>
    </w:div>
    <w:div w:id="1200245981">
      <w:bodyDiv w:val="1"/>
      <w:marLeft w:val="0"/>
      <w:marRight w:val="0"/>
      <w:marTop w:val="0"/>
      <w:marBottom w:val="0"/>
      <w:divBdr>
        <w:top w:val="none" w:sz="0" w:space="0" w:color="auto"/>
        <w:left w:val="none" w:sz="0" w:space="0" w:color="auto"/>
        <w:bottom w:val="none" w:sz="0" w:space="0" w:color="auto"/>
        <w:right w:val="none" w:sz="0" w:space="0" w:color="auto"/>
      </w:divBdr>
    </w:div>
    <w:div w:id="1200896770">
      <w:bodyDiv w:val="1"/>
      <w:marLeft w:val="0"/>
      <w:marRight w:val="0"/>
      <w:marTop w:val="0"/>
      <w:marBottom w:val="0"/>
      <w:divBdr>
        <w:top w:val="none" w:sz="0" w:space="0" w:color="auto"/>
        <w:left w:val="none" w:sz="0" w:space="0" w:color="auto"/>
        <w:bottom w:val="none" w:sz="0" w:space="0" w:color="auto"/>
        <w:right w:val="none" w:sz="0" w:space="0" w:color="auto"/>
      </w:divBdr>
    </w:div>
    <w:div w:id="1204561191">
      <w:bodyDiv w:val="1"/>
      <w:marLeft w:val="0"/>
      <w:marRight w:val="0"/>
      <w:marTop w:val="0"/>
      <w:marBottom w:val="0"/>
      <w:divBdr>
        <w:top w:val="none" w:sz="0" w:space="0" w:color="auto"/>
        <w:left w:val="none" w:sz="0" w:space="0" w:color="auto"/>
        <w:bottom w:val="none" w:sz="0" w:space="0" w:color="auto"/>
        <w:right w:val="none" w:sz="0" w:space="0" w:color="auto"/>
      </w:divBdr>
    </w:div>
    <w:div w:id="1205365856">
      <w:bodyDiv w:val="1"/>
      <w:marLeft w:val="0"/>
      <w:marRight w:val="0"/>
      <w:marTop w:val="0"/>
      <w:marBottom w:val="0"/>
      <w:divBdr>
        <w:top w:val="none" w:sz="0" w:space="0" w:color="auto"/>
        <w:left w:val="none" w:sz="0" w:space="0" w:color="auto"/>
        <w:bottom w:val="none" w:sz="0" w:space="0" w:color="auto"/>
        <w:right w:val="none" w:sz="0" w:space="0" w:color="auto"/>
      </w:divBdr>
    </w:div>
    <w:div w:id="1206016580">
      <w:bodyDiv w:val="1"/>
      <w:marLeft w:val="0"/>
      <w:marRight w:val="0"/>
      <w:marTop w:val="0"/>
      <w:marBottom w:val="0"/>
      <w:divBdr>
        <w:top w:val="none" w:sz="0" w:space="0" w:color="auto"/>
        <w:left w:val="none" w:sz="0" w:space="0" w:color="auto"/>
        <w:bottom w:val="none" w:sz="0" w:space="0" w:color="auto"/>
        <w:right w:val="none" w:sz="0" w:space="0" w:color="auto"/>
      </w:divBdr>
    </w:div>
    <w:div w:id="1206023996">
      <w:bodyDiv w:val="1"/>
      <w:marLeft w:val="0"/>
      <w:marRight w:val="0"/>
      <w:marTop w:val="0"/>
      <w:marBottom w:val="0"/>
      <w:divBdr>
        <w:top w:val="none" w:sz="0" w:space="0" w:color="auto"/>
        <w:left w:val="none" w:sz="0" w:space="0" w:color="auto"/>
        <w:bottom w:val="none" w:sz="0" w:space="0" w:color="auto"/>
        <w:right w:val="none" w:sz="0" w:space="0" w:color="auto"/>
      </w:divBdr>
    </w:div>
    <w:div w:id="1209342254">
      <w:bodyDiv w:val="1"/>
      <w:marLeft w:val="0"/>
      <w:marRight w:val="0"/>
      <w:marTop w:val="0"/>
      <w:marBottom w:val="0"/>
      <w:divBdr>
        <w:top w:val="none" w:sz="0" w:space="0" w:color="auto"/>
        <w:left w:val="none" w:sz="0" w:space="0" w:color="auto"/>
        <w:bottom w:val="none" w:sz="0" w:space="0" w:color="auto"/>
        <w:right w:val="none" w:sz="0" w:space="0" w:color="auto"/>
      </w:divBdr>
    </w:div>
    <w:div w:id="1210605261">
      <w:bodyDiv w:val="1"/>
      <w:marLeft w:val="0"/>
      <w:marRight w:val="0"/>
      <w:marTop w:val="0"/>
      <w:marBottom w:val="0"/>
      <w:divBdr>
        <w:top w:val="none" w:sz="0" w:space="0" w:color="auto"/>
        <w:left w:val="none" w:sz="0" w:space="0" w:color="auto"/>
        <w:bottom w:val="none" w:sz="0" w:space="0" w:color="auto"/>
        <w:right w:val="none" w:sz="0" w:space="0" w:color="auto"/>
      </w:divBdr>
    </w:div>
    <w:div w:id="1211722509">
      <w:bodyDiv w:val="1"/>
      <w:marLeft w:val="0"/>
      <w:marRight w:val="0"/>
      <w:marTop w:val="0"/>
      <w:marBottom w:val="0"/>
      <w:divBdr>
        <w:top w:val="none" w:sz="0" w:space="0" w:color="auto"/>
        <w:left w:val="none" w:sz="0" w:space="0" w:color="auto"/>
        <w:bottom w:val="none" w:sz="0" w:space="0" w:color="auto"/>
        <w:right w:val="none" w:sz="0" w:space="0" w:color="auto"/>
      </w:divBdr>
    </w:div>
    <w:div w:id="1211921731">
      <w:bodyDiv w:val="1"/>
      <w:marLeft w:val="0"/>
      <w:marRight w:val="0"/>
      <w:marTop w:val="0"/>
      <w:marBottom w:val="0"/>
      <w:divBdr>
        <w:top w:val="none" w:sz="0" w:space="0" w:color="auto"/>
        <w:left w:val="none" w:sz="0" w:space="0" w:color="auto"/>
        <w:bottom w:val="none" w:sz="0" w:space="0" w:color="auto"/>
        <w:right w:val="none" w:sz="0" w:space="0" w:color="auto"/>
      </w:divBdr>
    </w:div>
    <w:div w:id="1213268352">
      <w:bodyDiv w:val="1"/>
      <w:marLeft w:val="0"/>
      <w:marRight w:val="0"/>
      <w:marTop w:val="0"/>
      <w:marBottom w:val="0"/>
      <w:divBdr>
        <w:top w:val="none" w:sz="0" w:space="0" w:color="auto"/>
        <w:left w:val="none" w:sz="0" w:space="0" w:color="auto"/>
        <w:bottom w:val="none" w:sz="0" w:space="0" w:color="auto"/>
        <w:right w:val="none" w:sz="0" w:space="0" w:color="auto"/>
      </w:divBdr>
    </w:div>
    <w:div w:id="1214930610">
      <w:bodyDiv w:val="1"/>
      <w:marLeft w:val="0"/>
      <w:marRight w:val="0"/>
      <w:marTop w:val="0"/>
      <w:marBottom w:val="0"/>
      <w:divBdr>
        <w:top w:val="none" w:sz="0" w:space="0" w:color="auto"/>
        <w:left w:val="none" w:sz="0" w:space="0" w:color="auto"/>
        <w:bottom w:val="none" w:sz="0" w:space="0" w:color="auto"/>
        <w:right w:val="none" w:sz="0" w:space="0" w:color="auto"/>
      </w:divBdr>
    </w:div>
    <w:div w:id="1215892006">
      <w:bodyDiv w:val="1"/>
      <w:marLeft w:val="0"/>
      <w:marRight w:val="0"/>
      <w:marTop w:val="0"/>
      <w:marBottom w:val="0"/>
      <w:divBdr>
        <w:top w:val="none" w:sz="0" w:space="0" w:color="auto"/>
        <w:left w:val="none" w:sz="0" w:space="0" w:color="auto"/>
        <w:bottom w:val="none" w:sz="0" w:space="0" w:color="auto"/>
        <w:right w:val="none" w:sz="0" w:space="0" w:color="auto"/>
      </w:divBdr>
    </w:div>
    <w:div w:id="1217232256">
      <w:bodyDiv w:val="1"/>
      <w:marLeft w:val="0"/>
      <w:marRight w:val="0"/>
      <w:marTop w:val="0"/>
      <w:marBottom w:val="0"/>
      <w:divBdr>
        <w:top w:val="none" w:sz="0" w:space="0" w:color="auto"/>
        <w:left w:val="none" w:sz="0" w:space="0" w:color="auto"/>
        <w:bottom w:val="none" w:sz="0" w:space="0" w:color="auto"/>
        <w:right w:val="none" w:sz="0" w:space="0" w:color="auto"/>
      </w:divBdr>
    </w:div>
    <w:div w:id="1217276665">
      <w:bodyDiv w:val="1"/>
      <w:marLeft w:val="0"/>
      <w:marRight w:val="0"/>
      <w:marTop w:val="0"/>
      <w:marBottom w:val="0"/>
      <w:divBdr>
        <w:top w:val="none" w:sz="0" w:space="0" w:color="auto"/>
        <w:left w:val="none" w:sz="0" w:space="0" w:color="auto"/>
        <w:bottom w:val="none" w:sz="0" w:space="0" w:color="auto"/>
        <w:right w:val="none" w:sz="0" w:space="0" w:color="auto"/>
      </w:divBdr>
    </w:div>
    <w:div w:id="1217358251">
      <w:bodyDiv w:val="1"/>
      <w:marLeft w:val="0"/>
      <w:marRight w:val="0"/>
      <w:marTop w:val="0"/>
      <w:marBottom w:val="0"/>
      <w:divBdr>
        <w:top w:val="none" w:sz="0" w:space="0" w:color="auto"/>
        <w:left w:val="none" w:sz="0" w:space="0" w:color="auto"/>
        <w:bottom w:val="none" w:sz="0" w:space="0" w:color="auto"/>
        <w:right w:val="none" w:sz="0" w:space="0" w:color="auto"/>
      </w:divBdr>
    </w:div>
    <w:div w:id="1220048505">
      <w:bodyDiv w:val="1"/>
      <w:marLeft w:val="0"/>
      <w:marRight w:val="0"/>
      <w:marTop w:val="0"/>
      <w:marBottom w:val="0"/>
      <w:divBdr>
        <w:top w:val="none" w:sz="0" w:space="0" w:color="auto"/>
        <w:left w:val="none" w:sz="0" w:space="0" w:color="auto"/>
        <w:bottom w:val="none" w:sz="0" w:space="0" w:color="auto"/>
        <w:right w:val="none" w:sz="0" w:space="0" w:color="auto"/>
      </w:divBdr>
    </w:div>
    <w:div w:id="1222717460">
      <w:bodyDiv w:val="1"/>
      <w:marLeft w:val="0"/>
      <w:marRight w:val="0"/>
      <w:marTop w:val="0"/>
      <w:marBottom w:val="0"/>
      <w:divBdr>
        <w:top w:val="none" w:sz="0" w:space="0" w:color="auto"/>
        <w:left w:val="none" w:sz="0" w:space="0" w:color="auto"/>
        <w:bottom w:val="none" w:sz="0" w:space="0" w:color="auto"/>
        <w:right w:val="none" w:sz="0" w:space="0" w:color="auto"/>
      </w:divBdr>
    </w:div>
    <w:div w:id="1223371721">
      <w:bodyDiv w:val="1"/>
      <w:marLeft w:val="0"/>
      <w:marRight w:val="0"/>
      <w:marTop w:val="0"/>
      <w:marBottom w:val="0"/>
      <w:divBdr>
        <w:top w:val="none" w:sz="0" w:space="0" w:color="auto"/>
        <w:left w:val="none" w:sz="0" w:space="0" w:color="auto"/>
        <w:bottom w:val="none" w:sz="0" w:space="0" w:color="auto"/>
        <w:right w:val="none" w:sz="0" w:space="0" w:color="auto"/>
      </w:divBdr>
    </w:div>
    <w:div w:id="1223492223">
      <w:bodyDiv w:val="1"/>
      <w:marLeft w:val="0"/>
      <w:marRight w:val="0"/>
      <w:marTop w:val="0"/>
      <w:marBottom w:val="0"/>
      <w:divBdr>
        <w:top w:val="none" w:sz="0" w:space="0" w:color="auto"/>
        <w:left w:val="none" w:sz="0" w:space="0" w:color="auto"/>
        <w:bottom w:val="none" w:sz="0" w:space="0" w:color="auto"/>
        <w:right w:val="none" w:sz="0" w:space="0" w:color="auto"/>
      </w:divBdr>
    </w:div>
    <w:div w:id="1223756924">
      <w:bodyDiv w:val="1"/>
      <w:marLeft w:val="0"/>
      <w:marRight w:val="0"/>
      <w:marTop w:val="0"/>
      <w:marBottom w:val="0"/>
      <w:divBdr>
        <w:top w:val="none" w:sz="0" w:space="0" w:color="auto"/>
        <w:left w:val="none" w:sz="0" w:space="0" w:color="auto"/>
        <w:bottom w:val="none" w:sz="0" w:space="0" w:color="auto"/>
        <w:right w:val="none" w:sz="0" w:space="0" w:color="auto"/>
      </w:divBdr>
    </w:div>
    <w:div w:id="1225026459">
      <w:bodyDiv w:val="1"/>
      <w:marLeft w:val="0"/>
      <w:marRight w:val="0"/>
      <w:marTop w:val="0"/>
      <w:marBottom w:val="0"/>
      <w:divBdr>
        <w:top w:val="none" w:sz="0" w:space="0" w:color="auto"/>
        <w:left w:val="none" w:sz="0" w:space="0" w:color="auto"/>
        <w:bottom w:val="none" w:sz="0" w:space="0" w:color="auto"/>
        <w:right w:val="none" w:sz="0" w:space="0" w:color="auto"/>
      </w:divBdr>
    </w:div>
    <w:div w:id="1226180906">
      <w:bodyDiv w:val="1"/>
      <w:marLeft w:val="0"/>
      <w:marRight w:val="0"/>
      <w:marTop w:val="0"/>
      <w:marBottom w:val="0"/>
      <w:divBdr>
        <w:top w:val="none" w:sz="0" w:space="0" w:color="auto"/>
        <w:left w:val="none" w:sz="0" w:space="0" w:color="auto"/>
        <w:bottom w:val="none" w:sz="0" w:space="0" w:color="auto"/>
        <w:right w:val="none" w:sz="0" w:space="0" w:color="auto"/>
      </w:divBdr>
    </w:div>
    <w:div w:id="1226256638">
      <w:bodyDiv w:val="1"/>
      <w:marLeft w:val="0"/>
      <w:marRight w:val="0"/>
      <w:marTop w:val="0"/>
      <w:marBottom w:val="0"/>
      <w:divBdr>
        <w:top w:val="none" w:sz="0" w:space="0" w:color="auto"/>
        <w:left w:val="none" w:sz="0" w:space="0" w:color="auto"/>
        <w:bottom w:val="none" w:sz="0" w:space="0" w:color="auto"/>
        <w:right w:val="none" w:sz="0" w:space="0" w:color="auto"/>
      </w:divBdr>
    </w:div>
    <w:div w:id="1226526494">
      <w:bodyDiv w:val="1"/>
      <w:marLeft w:val="0"/>
      <w:marRight w:val="0"/>
      <w:marTop w:val="0"/>
      <w:marBottom w:val="0"/>
      <w:divBdr>
        <w:top w:val="none" w:sz="0" w:space="0" w:color="auto"/>
        <w:left w:val="none" w:sz="0" w:space="0" w:color="auto"/>
        <w:bottom w:val="none" w:sz="0" w:space="0" w:color="auto"/>
        <w:right w:val="none" w:sz="0" w:space="0" w:color="auto"/>
      </w:divBdr>
    </w:div>
    <w:div w:id="1226993482">
      <w:bodyDiv w:val="1"/>
      <w:marLeft w:val="0"/>
      <w:marRight w:val="0"/>
      <w:marTop w:val="0"/>
      <w:marBottom w:val="0"/>
      <w:divBdr>
        <w:top w:val="none" w:sz="0" w:space="0" w:color="auto"/>
        <w:left w:val="none" w:sz="0" w:space="0" w:color="auto"/>
        <w:bottom w:val="none" w:sz="0" w:space="0" w:color="auto"/>
        <w:right w:val="none" w:sz="0" w:space="0" w:color="auto"/>
      </w:divBdr>
    </w:div>
    <w:div w:id="1227034629">
      <w:bodyDiv w:val="1"/>
      <w:marLeft w:val="0"/>
      <w:marRight w:val="0"/>
      <w:marTop w:val="0"/>
      <w:marBottom w:val="0"/>
      <w:divBdr>
        <w:top w:val="none" w:sz="0" w:space="0" w:color="auto"/>
        <w:left w:val="none" w:sz="0" w:space="0" w:color="auto"/>
        <w:bottom w:val="none" w:sz="0" w:space="0" w:color="auto"/>
        <w:right w:val="none" w:sz="0" w:space="0" w:color="auto"/>
      </w:divBdr>
    </w:div>
    <w:div w:id="1231497358">
      <w:bodyDiv w:val="1"/>
      <w:marLeft w:val="0"/>
      <w:marRight w:val="0"/>
      <w:marTop w:val="0"/>
      <w:marBottom w:val="0"/>
      <w:divBdr>
        <w:top w:val="none" w:sz="0" w:space="0" w:color="auto"/>
        <w:left w:val="none" w:sz="0" w:space="0" w:color="auto"/>
        <w:bottom w:val="none" w:sz="0" w:space="0" w:color="auto"/>
        <w:right w:val="none" w:sz="0" w:space="0" w:color="auto"/>
      </w:divBdr>
    </w:div>
    <w:div w:id="1233007509">
      <w:bodyDiv w:val="1"/>
      <w:marLeft w:val="0"/>
      <w:marRight w:val="0"/>
      <w:marTop w:val="0"/>
      <w:marBottom w:val="0"/>
      <w:divBdr>
        <w:top w:val="none" w:sz="0" w:space="0" w:color="auto"/>
        <w:left w:val="none" w:sz="0" w:space="0" w:color="auto"/>
        <w:bottom w:val="none" w:sz="0" w:space="0" w:color="auto"/>
        <w:right w:val="none" w:sz="0" w:space="0" w:color="auto"/>
      </w:divBdr>
    </w:div>
    <w:div w:id="1233348696">
      <w:bodyDiv w:val="1"/>
      <w:marLeft w:val="0"/>
      <w:marRight w:val="0"/>
      <w:marTop w:val="0"/>
      <w:marBottom w:val="0"/>
      <w:divBdr>
        <w:top w:val="none" w:sz="0" w:space="0" w:color="auto"/>
        <w:left w:val="none" w:sz="0" w:space="0" w:color="auto"/>
        <w:bottom w:val="none" w:sz="0" w:space="0" w:color="auto"/>
        <w:right w:val="none" w:sz="0" w:space="0" w:color="auto"/>
      </w:divBdr>
    </w:div>
    <w:div w:id="1234007678">
      <w:bodyDiv w:val="1"/>
      <w:marLeft w:val="0"/>
      <w:marRight w:val="0"/>
      <w:marTop w:val="0"/>
      <w:marBottom w:val="0"/>
      <w:divBdr>
        <w:top w:val="none" w:sz="0" w:space="0" w:color="auto"/>
        <w:left w:val="none" w:sz="0" w:space="0" w:color="auto"/>
        <w:bottom w:val="none" w:sz="0" w:space="0" w:color="auto"/>
        <w:right w:val="none" w:sz="0" w:space="0" w:color="auto"/>
      </w:divBdr>
    </w:div>
    <w:div w:id="1234900427">
      <w:bodyDiv w:val="1"/>
      <w:marLeft w:val="0"/>
      <w:marRight w:val="0"/>
      <w:marTop w:val="0"/>
      <w:marBottom w:val="0"/>
      <w:divBdr>
        <w:top w:val="none" w:sz="0" w:space="0" w:color="auto"/>
        <w:left w:val="none" w:sz="0" w:space="0" w:color="auto"/>
        <w:bottom w:val="none" w:sz="0" w:space="0" w:color="auto"/>
        <w:right w:val="none" w:sz="0" w:space="0" w:color="auto"/>
      </w:divBdr>
    </w:div>
    <w:div w:id="1236820041">
      <w:bodyDiv w:val="1"/>
      <w:marLeft w:val="0"/>
      <w:marRight w:val="0"/>
      <w:marTop w:val="0"/>
      <w:marBottom w:val="0"/>
      <w:divBdr>
        <w:top w:val="none" w:sz="0" w:space="0" w:color="auto"/>
        <w:left w:val="none" w:sz="0" w:space="0" w:color="auto"/>
        <w:bottom w:val="none" w:sz="0" w:space="0" w:color="auto"/>
        <w:right w:val="none" w:sz="0" w:space="0" w:color="auto"/>
      </w:divBdr>
    </w:div>
    <w:div w:id="1236861246">
      <w:bodyDiv w:val="1"/>
      <w:marLeft w:val="0"/>
      <w:marRight w:val="0"/>
      <w:marTop w:val="0"/>
      <w:marBottom w:val="0"/>
      <w:divBdr>
        <w:top w:val="none" w:sz="0" w:space="0" w:color="auto"/>
        <w:left w:val="none" w:sz="0" w:space="0" w:color="auto"/>
        <w:bottom w:val="none" w:sz="0" w:space="0" w:color="auto"/>
        <w:right w:val="none" w:sz="0" w:space="0" w:color="auto"/>
      </w:divBdr>
    </w:div>
    <w:div w:id="1240092600">
      <w:bodyDiv w:val="1"/>
      <w:marLeft w:val="0"/>
      <w:marRight w:val="0"/>
      <w:marTop w:val="0"/>
      <w:marBottom w:val="0"/>
      <w:divBdr>
        <w:top w:val="none" w:sz="0" w:space="0" w:color="auto"/>
        <w:left w:val="none" w:sz="0" w:space="0" w:color="auto"/>
        <w:bottom w:val="none" w:sz="0" w:space="0" w:color="auto"/>
        <w:right w:val="none" w:sz="0" w:space="0" w:color="auto"/>
      </w:divBdr>
    </w:div>
    <w:div w:id="1241796132">
      <w:bodyDiv w:val="1"/>
      <w:marLeft w:val="0"/>
      <w:marRight w:val="0"/>
      <w:marTop w:val="0"/>
      <w:marBottom w:val="0"/>
      <w:divBdr>
        <w:top w:val="none" w:sz="0" w:space="0" w:color="auto"/>
        <w:left w:val="none" w:sz="0" w:space="0" w:color="auto"/>
        <w:bottom w:val="none" w:sz="0" w:space="0" w:color="auto"/>
        <w:right w:val="none" w:sz="0" w:space="0" w:color="auto"/>
      </w:divBdr>
    </w:div>
    <w:div w:id="1242832712">
      <w:bodyDiv w:val="1"/>
      <w:marLeft w:val="0"/>
      <w:marRight w:val="0"/>
      <w:marTop w:val="0"/>
      <w:marBottom w:val="0"/>
      <w:divBdr>
        <w:top w:val="none" w:sz="0" w:space="0" w:color="auto"/>
        <w:left w:val="none" w:sz="0" w:space="0" w:color="auto"/>
        <w:bottom w:val="none" w:sz="0" w:space="0" w:color="auto"/>
        <w:right w:val="none" w:sz="0" w:space="0" w:color="auto"/>
      </w:divBdr>
    </w:div>
    <w:div w:id="1243367789">
      <w:bodyDiv w:val="1"/>
      <w:marLeft w:val="0"/>
      <w:marRight w:val="0"/>
      <w:marTop w:val="0"/>
      <w:marBottom w:val="0"/>
      <w:divBdr>
        <w:top w:val="none" w:sz="0" w:space="0" w:color="auto"/>
        <w:left w:val="none" w:sz="0" w:space="0" w:color="auto"/>
        <w:bottom w:val="none" w:sz="0" w:space="0" w:color="auto"/>
        <w:right w:val="none" w:sz="0" w:space="0" w:color="auto"/>
      </w:divBdr>
    </w:div>
    <w:div w:id="1247155517">
      <w:bodyDiv w:val="1"/>
      <w:marLeft w:val="0"/>
      <w:marRight w:val="0"/>
      <w:marTop w:val="0"/>
      <w:marBottom w:val="0"/>
      <w:divBdr>
        <w:top w:val="none" w:sz="0" w:space="0" w:color="auto"/>
        <w:left w:val="none" w:sz="0" w:space="0" w:color="auto"/>
        <w:bottom w:val="none" w:sz="0" w:space="0" w:color="auto"/>
        <w:right w:val="none" w:sz="0" w:space="0" w:color="auto"/>
      </w:divBdr>
    </w:div>
    <w:div w:id="1247689527">
      <w:bodyDiv w:val="1"/>
      <w:marLeft w:val="0"/>
      <w:marRight w:val="0"/>
      <w:marTop w:val="0"/>
      <w:marBottom w:val="0"/>
      <w:divBdr>
        <w:top w:val="none" w:sz="0" w:space="0" w:color="auto"/>
        <w:left w:val="none" w:sz="0" w:space="0" w:color="auto"/>
        <w:bottom w:val="none" w:sz="0" w:space="0" w:color="auto"/>
        <w:right w:val="none" w:sz="0" w:space="0" w:color="auto"/>
      </w:divBdr>
    </w:div>
    <w:div w:id="1247837579">
      <w:bodyDiv w:val="1"/>
      <w:marLeft w:val="0"/>
      <w:marRight w:val="0"/>
      <w:marTop w:val="0"/>
      <w:marBottom w:val="0"/>
      <w:divBdr>
        <w:top w:val="none" w:sz="0" w:space="0" w:color="auto"/>
        <w:left w:val="none" w:sz="0" w:space="0" w:color="auto"/>
        <w:bottom w:val="none" w:sz="0" w:space="0" w:color="auto"/>
        <w:right w:val="none" w:sz="0" w:space="0" w:color="auto"/>
      </w:divBdr>
    </w:div>
    <w:div w:id="1248344410">
      <w:bodyDiv w:val="1"/>
      <w:marLeft w:val="0"/>
      <w:marRight w:val="0"/>
      <w:marTop w:val="0"/>
      <w:marBottom w:val="0"/>
      <w:divBdr>
        <w:top w:val="none" w:sz="0" w:space="0" w:color="auto"/>
        <w:left w:val="none" w:sz="0" w:space="0" w:color="auto"/>
        <w:bottom w:val="none" w:sz="0" w:space="0" w:color="auto"/>
        <w:right w:val="none" w:sz="0" w:space="0" w:color="auto"/>
      </w:divBdr>
    </w:div>
    <w:div w:id="1250196801">
      <w:bodyDiv w:val="1"/>
      <w:marLeft w:val="0"/>
      <w:marRight w:val="0"/>
      <w:marTop w:val="0"/>
      <w:marBottom w:val="0"/>
      <w:divBdr>
        <w:top w:val="none" w:sz="0" w:space="0" w:color="auto"/>
        <w:left w:val="none" w:sz="0" w:space="0" w:color="auto"/>
        <w:bottom w:val="none" w:sz="0" w:space="0" w:color="auto"/>
        <w:right w:val="none" w:sz="0" w:space="0" w:color="auto"/>
      </w:divBdr>
    </w:div>
    <w:div w:id="1250313309">
      <w:bodyDiv w:val="1"/>
      <w:marLeft w:val="0"/>
      <w:marRight w:val="0"/>
      <w:marTop w:val="0"/>
      <w:marBottom w:val="0"/>
      <w:divBdr>
        <w:top w:val="none" w:sz="0" w:space="0" w:color="auto"/>
        <w:left w:val="none" w:sz="0" w:space="0" w:color="auto"/>
        <w:bottom w:val="none" w:sz="0" w:space="0" w:color="auto"/>
        <w:right w:val="none" w:sz="0" w:space="0" w:color="auto"/>
      </w:divBdr>
    </w:div>
    <w:div w:id="1255439870">
      <w:bodyDiv w:val="1"/>
      <w:marLeft w:val="0"/>
      <w:marRight w:val="0"/>
      <w:marTop w:val="0"/>
      <w:marBottom w:val="0"/>
      <w:divBdr>
        <w:top w:val="none" w:sz="0" w:space="0" w:color="auto"/>
        <w:left w:val="none" w:sz="0" w:space="0" w:color="auto"/>
        <w:bottom w:val="none" w:sz="0" w:space="0" w:color="auto"/>
        <w:right w:val="none" w:sz="0" w:space="0" w:color="auto"/>
      </w:divBdr>
    </w:div>
    <w:div w:id="1256205237">
      <w:bodyDiv w:val="1"/>
      <w:marLeft w:val="0"/>
      <w:marRight w:val="0"/>
      <w:marTop w:val="0"/>
      <w:marBottom w:val="0"/>
      <w:divBdr>
        <w:top w:val="none" w:sz="0" w:space="0" w:color="auto"/>
        <w:left w:val="none" w:sz="0" w:space="0" w:color="auto"/>
        <w:bottom w:val="none" w:sz="0" w:space="0" w:color="auto"/>
        <w:right w:val="none" w:sz="0" w:space="0" w:color="auto"/>
      </w:divBdr>
    </w:div>
    <w:div w:id="1257208437">
      <w:bodyDiv w:val="1"/>
      <w:marLeft w:val="0"/>
      <w:marRight w:val="0"/>
      <w:marTop w:val="0"/>
      <w:marBottom w:val="0"/>
      <w:divBdr>
        <w:top w:val="none" w:sz="0" w:space="0" w:color="auto"/>
        <w:left w:val="none" w:sz="0" w:space="0" w:color="auto"/>
        <w:bottom w:val="none" w:sz="0" w:space="0" w:color="auto"/>
        <w:right w:val="none" w:sz="0" w:space="0" w:color="auto"/>
      </w:divBdr>
    </w:div>
    <w:div w:id="1258563142">
      <w:bodyDiv w:val="1"/>
      <w:marLeft w:val="0"/>
      <w:marRight w:val="0"/>
      <w:marTop w:val="0"/>
      <w:marBottom w:val="0"/>
      <w:divBdr>
        <w:top w:val="none" w:sz="0" w:space="0" w:color="auto"/>
        <w:left w:val="none" w:sz="0" w:space="0" w:color="auto"/>
        <w:bottom w:val="none" w:sz="0" w:space="0" w:color="auto"/>
        <w:right w:val="none" w:sz="0" w:space="0" w:color="auto"/>
      </w:divBdr>
    </w:div>
    <w:div w:id="1258749965">
      <w:bodyDiv w:val="1"/>
      <w:marLeft w:val="0"/>
      <w:marRight w:val="0"/>
      <w:marTop w:val="0"/>
      <w:marBottom w:val="0"/>
      <w:divBdr>
        <w:top w:val="none" w:sz="0" w:space="0" w:color="auto"/>
        <w:left w:val="none" w:sz="0" w:space="0" w:color="auto"/>
        <w:bottom w:val="none" w:sz="0" w:space="0" w:color="auto"/>
        <w:right w:val="none" w:sz="0" w:space="0" w:color="auto"/>
      </w:divBdr>
    </w:div>
    <w:div w:id="1259679020">
      <w:bodyDiv w:val="1"/>
      <w:marLeft w:val="0"/>
      <w:marRight w:val="0"/>
      <w:marTop w:val="0"/>
      <w:marBottom w:val="0"/>
      <w:divBdr>
        <w:top w:val="none" w:sz="0" w:space="0" w:color="auto"/>
        <w:left w:val="none" w:sz="0" w:space="0" w:color="auto"/>
        <w:bottom w:val="none" w:sz="0" w:space="0" w:color="auto"/>
        <w:right w:val="none" w:sz="0" w:space="0" w:color="auto"/>
      </w:divBdr>
      <w:divsChild>
        <w:div w:id="1223558443">
          <w:marLeft w:val="0"/>
          <w:marRight w:val="0"/>
          <w:marTop w:val="0"/>
          <w:marBottom w:val="0"/>
          <w:divBdr>
            <w:top w:val="none" w:sz="0" w:space="0" w:color="auto"/>
            <w:left w:val="none" w:sz="0" w:space="0" w:color="auto"/>
            <w:bottom w:val="none" w:sz="0" w:space="0" w:color="auto"/>
            <w:right w:val="none" w:sz="0" w:space="0" w:color="auto"/>
          </w:divBdr>
        </w:div>
      </w:divsChild>
    </w:div>
    <w:div w:id="1259951541">
      <w:bodyDiv w:val="1"/>
      <w:marLeft w:val="0"/>
      <w:marRight w:val="0"/>
      <w:marTop w:val="0"/>
      <w:marBottom w:val="0"/>
      <w:divBdr>
        <w:top w:val="none" w:sz="0" w:space="0" w:color="auto"/>
        <w:left w:val="none" w:sz="0" w:space="0" w:color="auto"/>
        <w:bottom w:val="none" w:sz="0" w:space="0" w:color="auto"/>
        <w:right w:val="none" w:sz="0" w:space="0" w:color="auto"/>
      </w:divBdr>
    </w:div>
    <w:div w:id="1260025434">
      <w:bodyDiv w:val="1"/>
      <w:marLeft w:val="0"/>
      <w:marRight w:val="0"/>
      <w:marTop w:val="0"/>
      <w:marBottom w:val="0"/>
      <w:divBdr>
        <w:top w:val="none" w:sz="0" w:space="0" w:color="auto"/>
        <w:left w:val="none" w:sz="0" w:space="0" w:color="auto"/>
        <w:bottom w:val="none" w:sz="0" w:space="0" w:color="auto"/>
        <w:right w:val="none" w:sz="0" w:space="0" w:color="auto"/>
      </w:divBdr>
    </w:div>
    <w:div w:id="1261064155">
      <w:bodyDiv w:val="1"/>
      <w:marLeft w:val="0"/>
      <w:marRight w:val="0"/>
      <w:marTop w:val="0"/>
      <w:marBottom w:val="0"/>
      <w:divBdr>
        <w:top w:val="none" w:sz="0" w:space="0" w:color="auto"/>
        <w:left w:val="none" w:sz="0" w:space="0" w:color="auto"/>
        <w:bottom w:val="none" w:sz="0" w:space="0" w:color="auto"/>
        <w:right w:val="none" w:sz="0" w:space="0" w:color="auto"/>
      </w:divBdr>
    </w:div>
    <w:div w:id="1261916935">
      <w:bodyDiv w:val="1"/>
      <w:marLeft w:val="0"/>
      <w:marRight w:val="0"/>
      <w:marTop w:val="0"/>
      <w:marBottom w:val="0"/>
      <w:divBdr>
        <w:top w:val="none" w:sz="0" w:space="0" w:color="auto"/>
        <w:left w:val="none" w:sz="0" w:space="0" w:color="auto"/>
        <w:bottom w:val="none" w:sz="0" w:space="0" w:color="auto"/>
        <w:right w:val="none" w:sz="0" w:space="0" w:color="auto"/>
      </w:divBdr>
    </w:div>
    <w:div w:id="1263341273">
      <w:bodyDiv w:val="1"/>
      <w:marLeft w:val="0"/>
      <w:marRight w:val="0"/>
      <w:marTop w:val="0"/>
      <w:marBottom w:val="0"/>
      <w:divBdr>
        <w:top w:val="none" w:sz="0" w:space="0" w:color="auto"/>
        <w:left w:val="none" w:sz="0" w:space="0" w:color="auto"/>
        <w:bottom w:val="none" w:sz="0" w:space="0" w:color="auto"/>
        <w:right w:val="none" w:sz="0" w:space="0" w:color="auto"/>
      </w:divBdr>
    </w:div>
    <w:div w:id="1266573244">
      <w:bodyDiv w:val="1"/>
      <w:marLeft w:val="0"/>
      <w:marRight w:val="0"/>
      <w:marTop w:val="0"/>
      <w:marBottom w:val="0"/>
      <w:divBdr>
        <w:top w:val="none" w:sz="0" w:space="0" w:color="auto"/>
        <w:left w:val="none" w:sz="0" w:space="0" w:color="auto"/>
        <w:bottom w:val="none" w:sz="0" w:space="0" w:color="auto"/>
        <w:right w:val="none" w:sz="0" w:space="0" w:color="auto"/>
      </w:divBdr>
    </w:div>
    <w:div w:id="1270046806">
      <w:bodyDiv w:val="1"/>
      <w:marLeft w:val="0"/>
      <w:marRight w:val="0"/>
      <w:marTop w:val="0"/>
      <w:marBottom w:val="0"/>
      <w:divBdr>
        <w:top w:val="none" w:sz="0" w:space="0" w:color="auto"/>
        <w:left w:val="none" w:sz="0" w:space="0" w:color="auto"/>
        <w:bottom w:val="none" w:sz="0" w:space="0" w:color="auto"/>
        <w:right w:val="none" w:sz="0" w:space="0" w:color="auto"/>
      </w:divBdr>
    </w:div>
    <w:div w:id="1273706161">
      <w:bodyDiv w:val="1"/>
      <w:marLeft w:val="0"/>
      <w:marRight w:val="0"/>
      <w:marTop w:val="0"/>
      <w:marBottom w:val="0"/>
      <w:divBdr>
        <w:top w:val="none" w:sz="0" w:space="0" w:color="auto"/>
        <w:left w:val="none" w:sz="0" w:space="0" w:color="auto"/>
        <w:bottom w:val="none" w:sz="0" w:space="0" w:color="auto"/>
        <w:right w:val="none" w:sz="0" w:space="0" w:color="auto"/>
      </w:divBdr>
    </w:div>
    <w:div w:id="1274482206">
      <w:bodyDiv w:val="1"/>
      <w:marLeft w:val="0"/>
      <w:marRight w:val="0"/>
      <w:marTop w:val="0"/>
      <w:marBottom w:val="0"/>
      <w:divBdr>
        <w:top w:val="none" w:sz="0" w:space="0" w:color="auto"/>
        <w:left w:val="none" w:sz="0" w:space="0" w:color="auto"/>
        <w:bottom w:val="none" w:sz="0" w:space="0" w:color="auto"/>
        <w:right w:val="none" w:sz="0" w:space="0" w:color="auto"/>
      </w:divBdr>
    </w:div>
    <w:div w:id="1274753372">
      <w:bodyDiv w:val="1"/>
      <w:marLeft w:val="0"/>
      <w:marRight w:val="0"/>
      <w:marTop w:val="0"/>
      <w:marBottom w:val="0"/>
      <w:divBdr>
        <w:top w:val="none" w:sz="0" w:space="0" w:color="auto"/>
        <w:left w:val="none" w:sz="0" w:space="0" w:color="auto"/>
        <w:bottom w:val="none" w:sz="0" w:space="0" w:color="auto"/>
        <w:right w:val="none" w:sz="0" w:space="0" w:color="auto"/>
      </w:divBdr>
    </w:div>
    <w:div w:id="1276209011">
      <w:bodyDiv w:val="1"/>
      <w:marLeft w:val="0"/>
      <w:marRight w:val="0"/>
      <w:marTop w:val="0"/>
      <w:marBottom w:val="0"/>
      <w:divBdr>
        <w:top w:val="none" w:sz="0" w:space="0" w:color="auto"/>
        <w:left w:val="none" w:sz="0" w:space="0" w:color="auto"/>
        <w:bottom w:val="none" w:sz="0" w:space="0" w:color="auto"/>
        <w:right w:val="none" w:sz="0" w:space="0" w:color="auto"/>
      </w:divBdr>
    </w:div>
    <w:div w:id="1276593170">
      <w:bodyDiv w:val="1"/>
      <w:marLeft w:val="0"/>
      <w:marRight w:val="0"/>
      <w:marTop w:val="0"/>
      <w:marBottom w:val="0"/>
      <w:divBdr>
        <w:top w:val="none" w:sz="0" w:space="0" w:color="auto"/>
        <w:left w:val="none" w:sz="0" w:space="0" w:color="auto"/>
        <w:bottom w:val="none" w:sz="0" w:space="0" w:color="auto"/>
        <w:right w:val="none" w:sz="0" w:space="0" w:color="auto"/>
      </w:divBdr>
    </w:div>
    <w:div w:id="1277177886">
      <w:bodyDiv w:val="1"/>
      <w:marLeft w:val="0"/>
      <w:marRight w:val="0"/>
      <w:marTop w:val="0"/>
      <w:marBottom w:val="0"/>
      <w:divBdr>
        <w:top w:val="none" w:sz="0" w:space="0" w:color="auto"/>
        <w:left w:val="none" w:sz="0" w:space="0" w:color="auto"/>
        <w:bottom w:val="none" w:sz="0" w:space="0" w:color="auto"/>
        <w:right w:val="none" w:sz="0" w:space="0" w:color="auto"/>
      </w:divBdr>
    </w:div>
    <w:div w:id="1279871426">
      <w:bodyDiv w:val="1"/>
      <w:marLeft w:val="0"/>
      <w:marRight w:val="0"/>
      <w:marTop w:val="0"/>
      <w:marBottom w:val="0"/>
      <w:divBdr>
        <w:top w:val="none" w:sz="0" w:space="0" w:color="auto"/>
        <w:left w:val="none" w:sz="0" w:space="0" w:color="auto"/>
        <w:bottom w:val="none" w:sz="0" w:space="0" w:color="auto"/>
        <w:right w:val="none" w:sz="0" w:space="0" w:color="auto"/>
      </w:divBdr>
    </w:div>
    <w:div w:id="1281493099">
      <w:bodyDiv w:val="1"/>
      <w:marLeft w:val="0"/>
      <w:marRight w:val="0"/>
      <w:marTop w:val="0"/>
      <w:marBottom w:val="0"/>
      <w:divBdr>
        <w:top w:val="none" w:sz="0" w:space="0" w:color="auto"/>
        <w:left w:val="none" w:sz="0" w:space="0" w:color="auto"/>
        <w:bottom w:val="none" w:sz="0" w:space="0" w:color="auto"/>
        <w:right w:val="none" w:sz="0" w:space="0" w:color="auto"/>
      </w:divBdr>
    </w:div>
    <w:div w:id="1285768437">
      <w:bodyDiv w:val="1"/>
      <w:marLeft w:val="0"/>
      <w:marRight w:val="0"/>
      <w:marTop w:val="0"/>
      <w:marBottom w:val="0"/>
      <w:divBdr>
        <w:top w:val="none" w:sz="0" w:space="0" w:color="auto"/>
        <w:left w:val="none" w:sz="0" w:space="0" w:color="auto"/>
        <w:bottom w:val="none" w:sz="0" w:space="0" w:color="auto"/>
        <w:right w:val="none" w:sz="0" w:space="0" w:color="auto"/>
      </w:divBdr>
    </w:div>
    <w:div w:id="1288123987">
      <w:bodyDiv w:val="1"/>
      <w:marLeft w:val="0"/>
      <w:marRight w:val="0"/>
      <w:marTop w:val="0"/>
      <w:marBottom w:val="0"/>
      <w:divBdr>
        <w:top w:val="none" w:sz="0" w:space="0" w:color="auto"/>
        <w:left w:val="none" w:sz="0" w:space="0" w:color="auto"/>
        <w:bottom w:val="none" w:sz="0" w:space="0" w:color="auto"/>
        <w:right w:val="none" w:sz="0" w:space="0" w:color="auto"/>
      </w:divBdr>
    </w:div>
    <w:div w:id="1289362344">
      <w:bodyDiv w:val="1"/>
      <w:marLeft w:val="0"/>
      <w:marRight w:val="0"/>
      <w:marTop w:val="0"/>
      <w:marBottom w:val="0"/>
      <w:divBdr>
        <w:top w:val="none" w:sz="0" w:space="0" w:color="auto"/>
        <w:left w:val="none" w:sz="0" w:space="0" w:color="auto"/>
        <w:bottom w:val="none" w:sz="0" w:space="0" w:color="auto"/>
        <w:right w:val="none" w:sz="0" w:space="0" w:color="auto"/>
      </w:divBdr>
    </w:div>
    <w:div w:id="1291744349">
      <w:bodyDiv w:val="1"/>
      <w:marLeft w:val="0"/>
      <w:marRight w:val="0"/>
      <w:marTop w:val="0"/>
      <w:marBottom w:val="0"/>
      <w:divBdr>
        <w:top w:val="none" w:sz="0" w:space="0" w:color="auto"/>
        <w:left w:val="none" w:sz="0" w:space="0" w:color="auto"/>
        <w:bottom w:val="none" w:sz="0" w:space="0" w:color="auto"/>
        <w:right w:val="none" w:sz="0" w:space="0" w:color="auto"/>
      </w:divBdr>
    </w:div>
    <w:div w:id="1293823796">
      <w:bodyDiv w:val="1"/>
      <w:marLeft w:val="0"/>
      <w:marRight w:val="0"/>
      <w:marTop w:val="0"/>
      <w:marBottom w:val="0"/>
      <w:divBdr>
        <w:top w:val="none" w:sz="0" w:space="0" w:color="auto"/>
        <w:left w:val="none" w:sz="0" w:space="0" w:color="auto"/>
        <w:bottom w:val="none" w:sz="0" w:space="0" w:color="auto"/>
        <w:right w:val="none" w:sz="0" w:space="0" w:color="auto"/>
      </w:divBdr>
    </w:div>
    <w:div w:id="1295059103">
      <w:bodyDiv w:val="1"/>
      <w:marLeft w:val="0"/>
      <w:marRight w:val="0"/>
      <w:marTop w:val="0"/>
      <w:marBottom w:val="0"/>
      <w:divBdr>
        <w:top w:val="none" w:sz="0" w:space="0" w:color="auto"/>
        <w:left w:val="none" w:sz="0" w:space="0" w:color="auto"/>
        <w:bottom w:val="none" w:sz="0" w:space="0" w:color="auto"/>
        <w:right w:val="none" w:sz="0" w:space="0" w:color="auto"/>
      </w:divBdr>
    </w:div>
    <w:div w:id="1297678954">
      <w:bodyDiv w:val="1"/>
      <w:marLeft w:val="0"/>
      <w:marRight w:val="0"/>
      <w:marTop w:val="0"/>
      <w:marBottom w:val="0"/>
      <w:divBdr>
        <w:top w:val="none" w:sz="0" w:space="0" w:color="auto"/>
        <w:left w:val="none" w:sz="0" w:space="0" w:color="auto"/>
        <w:bottom w:val="none" w:sz="0" w:space="0" w:color="auto"/>
        <w:right w:val="none" w:sz="0" w:space="0" w:color="auto"/>
      </w:divBdr>
    </w:div>
    <w:div w:id="1298611334">
      <w:bodyDiv w:val="1"/>
      <w:marLeft w:val="0"/>
      <w:marRight w:val="0"/>
      <w:marTop w:val="0"/>
      <w:marBottom w:val="0"/>
      <w:divBdr>
        <w:top w:val="none" w:sz="0" w:space="0" w:color="auto"/>
        <w:left w:val="none" w:sz="0" w:space="0" w:color="auto"/>
        <w:bottom w:val="none" w:sz="0" w:space="0" w:color="auto"/>
        <w:right w:val="none" w:sz="0" w:space="0" w:color="auto"/>
      </w:divBdr>
    </w:div>
    <w:div w:id="1303197626">
      <w:bodyDiv w:val="1"/>
      <w:marLeft w:val="0"/>
      <w:marRight w:val="0"/>
      <w:marTop w:val="0"/>
      <w:marBottom w:val="0"/>
      <w:divBdr>
        <w:top w:val="none" w:sz="0" w:space="0" w:color="auto"/>
        <w:left w:val="none" w:sz="0" w:space="0" w:color="auto"/>
        <w:bottom w:val="none" w:sz="0" w:space="0" w:color="auto"/>
        <w:right w:val="none" w:sz="0" w:space="0" w:color="auto"/>
      </w:divBdr>
    </w:div>
    <w:div w:id="1305500047">
      <w:bodyDiv w:val="1"/>
      <w:marLeft w:val="0"/>
      <w:marRight w:val="0"/>
      <w:marTop w:val="0"/>
      <w:marBottom w:val="0"/>
      <w:divBdr>
        <w:top w:val="none" w:sz="0" w:space="0" w:color="auto"/>
        <w:left w:val="none" w:sz="0" w:space="0" w:color="auto"/>
        <w:bottom w:val="none" w:sz="0" w:space="0" w:color="auto"/>
        <w:right w:val="none" w:sz="0" w:space="0" w:color="auto"/>
      </w:divBdr>
    </w:div>
    <w:div w:id="1308317170">
      <w:bodyDiv w:val="1"/>
      <w:marLeft w:val="0"/>
      <w:marRight w:val="0"/>
      <w:marTop w:val="0"/>
      <w:marBottom w:val="0"/>
      <w:divBdr>
        <w:top w:val="none" w:sz="0" w:space="0" w:color="auto"/>
        <w:left w:val="none" w:sz="0" w:space="0" w:color="auto"/>
        <w:bottom w:val="none" w:sz="0" w:space="0" w:color="auto"/>
        <w:right w:val="none" w:sz="0" w:space="0" w:color="auto"/>
      </w:divBdr>
    </w:div>
    <w:div w:id="1308629385">
      <w:bodyDiv w:val="1"/>
      <w:marLeft w:val="0"/>
      <w:marRight w:val="0"/>
      <w:marTop w:val="0"/>
      <w:marBottom w:val="0"/>
      <w:divBdr>
        <w:top w:val="none" w:sz="0" w:space="0" w:color="auto"/>
        <w:left w:val="none" w:sz="0" w:space="0" w:color="auto"/>
        <w:bottom w:val="none" w:sz="0" w:space="0" w:color="auto"/>
        <w:right w:val="none" w:sz="0" w:space="0" w:color="auto"/>
      </w:divBdr>
    </w:div>
    <w:div w:id="1316490492">
      <w:bodyDiv w:val="1"/>
      <w:marLeft w:val="0"/>
      <w:marRight w:val="0"/>
      <w:marTop w:val="0"/>
      <w:marBottom w:val="0"/>
      <w:divBdr>
        <w:top w:val="none" w:sz="0" w:space="0" w:color="auto"/>
        <w:left w:val="none" w:sz="0" w:space="0" w:color="auto"/>
        <w:bottom w:val="none" w:sz="0" w:space="0" w:color="auto"/>
        <w:right w:val="none" w:sz="0" w:space="0" w:color="auto"/>
      </w:divBdr>
    </w:div>
    <w:div w:id="1316835176">
      <w:bodyDiv w:val="1"/>
      <w:marLeft w:val="0"/>
      <w:marRight w:val="0"/>
      <w:marTop w:val="0"/>
      <w:marBottom w:val="0"/>
      <w:divBdr>
        <w:top w:val="none" w:sz="0" w:space="0" w:color="auto"/>
        <w:left w:val="none" w:sz="0" w:space="0" w:color="auto"/>
        <w:bottom w:val="none" w:sz="0" w:space="0" w:color="auto"/>
        <w:right w:val="none" w:sz="0" w:space="0" w:color="auto"/>
      </w:divBdr>
    </w:div>
    <w:div w:id="1318653943">
      <w:bodyDiv w:val="1"/>
      <w:marLeft w:val="0"/>
      <w:marRight w:val="0"/>
      <w:marTop w:val="0"/>
      <w:marBottom w:val="0"/>
      <w:divBdr>
        <w:top w:val="none" w:sz="0" w:space="0" w:color="auto"/>
        <w:left w:val="none" w:sz="0" w:space="0" w:color="auto"/>
        <w:bottom w:val="none" w:sz="0" w:space="0" w:color="auto"/>
        <w:right w:val="none" w:sz="0" w:space="0" w:color="auto"/>
      </w:divBdr>
    </w:div>
    <w:div w:id="1323124698">
      <w:bodyDiv w:val="1"/>
      <w:marLeft w:val="0"/>
      <w:marRight w:val="0"/>
      <w:marTop w:val="0"/>
      <w:marBottom w:val="0"/>
      <w:divBdr>
        <w:top w:val="none" w:sz="0" w:space="0" w:color="auto"/>
        <w:left w:val="none" w:sz="0" w:space="0" w:color="auto"/>
        <w:bottom w:val="none" w:sz="0" w:space="0" w:color="auto"/>
        <w:right w:val="none" w:sz="0" w:space="0" w:color="auto"/>
      </w:divBdr>
    </w:div>
    <w:div w:id="1325816301">
      <w:bodyDiv w:val="1"/>
      <w:marLeft w:val="0"/>
      <w:marRight w:val="0"/>
      <w:marTop w:val="0"/>
      <w:marBottom w:val="0"/>
      <w:divBdr>
        <w:top w:val="none" w:sz="0" w:space="0" w:color="auto"/>
        <w:left w:val="none" w:sz="0" w:space="0" w:color="auto"/>
        <w:bottom w:val="none" w:sz="0" w:space="0" w:color="auto"/>
        <w:right w:val="none" w:sz="0" w:space="0" w:color="auto"/>
      </w:divBdr>
    </w:div>
    <w:div w:id="1328627875">
      <w:bodyDiv w:val="1"/>
      <w:marLeft w:val="0"/>
      <w:marRight w:val="0"/>
      <w:marTop w:val="0"/>
      <w:marBottom w:val="0"/>
      <w:divBdr>
        <w:top w:val="none" w:sz="0" w:space="0" w:color="auto"/>
        <w:left w:val="none" w:sz="0" w:space="0" w:color="auto"/>
        <w:bottom w:val="none" w:sz="0" w:space="0" w:color="auto"/>
        <w:right w:val="none" w:sz="0" w:space="0" w:color="auto"/>
      </w:divBdr>
    </w:div>
    <w:div w:id="1329867795">
      <w:bodyDiv w:val="1"/>
      <w:marLeft w:val="0"/>
      <w:marRight w:val="0"/>
      <w:marTop w:val="0"/>
      <w:marBottom w:val="0"/>
      <w:divBdr>
        <w:top w:val="none" w:sz="0" w:space="0" w:color="auto"/>
        <w:left w:val="none" w:sz="0" w:space="0" w:color="auto"/>
        <w:bottom w:val="none" w:sz="0" w:space="0" w:color="auto"/>
        <w:right w:val="none" w:sz="0" w:space="0" w:color="auto"/>
      </w:divBdr>
    </w:div>
    <w:div w:id="1329870913">
      <w:bodyDiv w:val="1"/>
      <w:marLeft w:val="0"/>
      <w:marRight w:val="0"/>
      <w:marTop w:val="0"/>
      <w:marBottom w:val="0"/>
      <w:divBdr>
        <w:top w:val="none" w:sz="0" w:space="0" w:color="auto"/>
        <w:left w:val="none" w:sz="0" w:space="0" w:color="auto"/>
        <w:bottom w:val="none" w:sz="0" w:space="0" w:color="auto"/>
        <w:right w:val="none" w:sz="0" w:space="0" w:color="auto"/>
      </w:divBdr>
    </w:div>
    <w:div w:id="1331642128">
      <w:bodyDiv w:val="1"/>
      <w:marLeft w:val="0"/>
      <w:marRight w:val="0"/>
      <w:marTop w:val="0"/>
      <w:marBottom w:val="0"/>
      <w:divBdr>
        <w:top w:val="none" w:sz="0" w:space="0" w:color="auto"/>
        <w:left w:val="none" w:sz="0" w:space="0" w:color="auto"/>
        <w:bottom w:val="none" w:sz="0" w:space="0" w:color="auto"/>
        <w:right w:val="none" w:sz="0" w:space="0" w:color="auto"/>
      </w:divBdr>
    </w:div>
    <w:div w:id="1333682514">
      <w:bodyDiv w:val="1"/>
      <w:marLeft w:val="0"/>
      <w:marRight w:val="0"/>
      <w:marTop w:val="0"/>
      <w:marBottom w:val="0"/>
      <w:divBdr>
        <w:top w:val="none" w:sz="0" w:space="0" w:color="auto"/>
        <w:left w:val="none" w:sz="0" w:space="0" w:color="auto"/>
        <w:bottom w:val="none" w:sz="0" w:space="0" w:color="auto"/>
        <w:right w:val="none" w:sz="0" w:space="0" w:color="auto"/>
      </w:divBdr>
    </w:div>
    <w:div w:id="1335691908">
      <w:bodyDiv w:val="1"/>
      <w:marLeft w:val="0"/>
      <w:marRight w:val="0"/>
      <w:marTop w:val="0"/>
      <w:marBottom w:val="0"/>
      <w:divBdr>
        <w:top w:val="none" w:sz="0" w:space="0" w:color="auto"/>
        <w:left w:val="none" w:sz="0" w:space="0" w:color="auto"/>
        <w:bottom w:val="none" w:sz="0" w:space="0" w:color="auto"/>
        <w:right w:val="none" w:sz="0" w:space="0" w:color="auto"/>
      </w:divBdr>
    </w:div>
    <w:div w:id="1336107073">
      <w:bodyDiv w:val="1"/>
      <w:marLeft w:val="0"/>
      <w:marRight w:val="0"/>
      <w:marTop w:val="0"/>
      <w:marBottom w:val="0"/>
      <w:divBdr>
        <w:top w:val="none" w:sz="0" w:space="0" w:color="auto"/>
        <w:left w:val="none" w:sz="0" w:space="0" w:color="auto"/>
        <w:bottom w:val="none" w:sz="0" w:space="0" w:color="auto"/>
        <w:right w:val="none" w:sz="0" w:space="0" w:color="auto"/>
      </w:divBdr>
    </w:div>
    <w:div w:id="1338800802">
      <w:bodyDiv w:val="1"/>
      <w:marLeft w:val="0"/>
      <w:marRight w:val="0"/>
      <w:marTop w:val="0"/>
      <w:marBottom w:val="0"/>
      <w:divBdr>
        <w:top w:val="none" w:sz="0" w:space="0" w:color="auto"/>
        <w:left w:val="none" w:sz="0" w:space="0" w:color="auto"/>
        <w:bottom w:val="none" w:sz="0" w:space="0" w:color="auto"/>
        <w:right w:val="none" w:sz="0" w:space="0" w:color="auto"/>
      </w:divBdr>
    </w:div>
    <w:div w:id="1338849041">
      <w:bodyDiv w:val="1"/>
      <w:marLeft w:val="0"/>
      <w:marRight w:val="0"/>
      <w:marTop w:val="0"/>
      <w:marBottom w:val="0"/>
      <w:divBdr>
        <w:top w:val="none" w:sz="0" w:space="0" w:color="auto"/>
        <w:left w:val="none" w:sz="0" w:space="0" w:color="auto"/>
        <w:bottom w:val="none" w:sz="0" w:space="0" w:color="auto"/>
        <w:right w:val="none" w:sz="0" w:space="0" w:color="auto"/>
      </w:divBdr>
    </w:div>
    <w:div w:id="1340814785">
      <w:bodyDiv w:val="1"/>
      <w:marLeft w:val="0"/>
      <w:marRight w:val="0"/>
      <w:marTop w:val="0"/>
      <w:marBottom w:val="0"/>
      <w:divBdr>
        <w:top w:val="none" w:sz="0" w:space="0" w:color="auto"/>
        <w:left w:val="none" w:sz="0" w:space="0" w:color="auto"/>
        <w:bottom w:val="none" w:sz="0" w:space="0" w:color="auto"/>
        <w:right w:val="none" w:sz="0" w:space="0" w:color="auto"/>
      </w:divBdr>
    </w:div>
    <w:div w:id="1342852486">
      <w:bodyDiv w:val="1"/>
      <w:marLeft w:val="0"/>
      <w:marRight w:val="0"/>
      <w:marTop w:val="0"/>
      <w:marBottom w:val="0"/>
      <w:divBdr>
        <w:top w:val="none" w:sz="0" w:space="0" w:color="auto"/>
        <w:left w:val="none" w:sz="0" w:space="0" w:color="auto"/>
        <w:bottom w:val="none" w:sz="0" w:space="0" w:color="auto"/>
        <w:right w:val="none" w:sz="0" w:space="0" w:color="auto"/>
      </w:divBdr>
    </w:div>
    <w:div w:id="1345211462">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346176729">
      <w:bodyDiv w:val="1"/>
      <w:marLeft w:val="0"/>
      <w:marRight w:val="0"/>
      <w:marTop w:val="0"/>
      <w:marBottom w:val="0"/>
      <w:divBdr>
        <w:top w:val="none" w:sz="0" w:space="0" w:color="auto"/>
        <w:left w:val="none" w:sz="0" w:space="0" w:color="auto"/>
        <w:bottom w:val="none" w:sz="0" w:space="0" w:color="auto"/>
        <w:right w:val="none" w:sz="0" w:space="0" w:color="auto"/>
      </w:divBdr>
    </w:div>
    <w:div w:id="1346593996">
      <w:bodyDiv w:val="1"/>
      <w:marLeft w:val="0"/>
      <w:marRight w:val="0"/>
      <w:marTop w:val="0"/>
      <w:marBottom w:val="0"/>
      <w:divBdr>
        <w:top w:val="none" w:sz="0" w:space="0" w:color="auto"/>
        <w:left w:val="none" w:sz="0" w:space="0" w:color="auto"/>
        <w:bottom w:val="none" w:sz="0" w:space="0" w:color="auto"/>
        <w:right w:val="none" w:sz="0" w:space="0" w:color="auto"/>
      </w:divBdr>
    </w:div>
    <w:div w:id="1346975013">
      <w:bodyDiv w:val="1"/>
      <w:marLeft w:val="0"/>
      <w:marRight w:val="0"/>
      <w:marTop w:val="0"/>
      <w:marBottom w:val="0"/>
      <w:divBdr>
        <w:top w:val="none" w:sz="0" w:space="0" w:color="auto"/>
        <w:left w:val="none" w:sz="0" w:space="0" w:color="auto"/>
        <w:bottom w:val="none" w:sz="0" w:space="0" w:color="auto"/>
        <w:right w:val="none" w:sz="0" w:space="0" w:color="auto"/>
      </w:divBdr>
    </w:div>
    <w:div w:id="1348290316">
      <w:bodyDiv w:val="1"/>
      <w:marLeft w:val="0"/>
      <w:marRight w:val="0"/>
      <w:marTop w:val="0"/>
      <w:marBottom w:val="0"/>
      <w:divBdr>
        <w:top w:val="none" w:sz="0" w:space="0" w:color="auto"/>
        <w:left w:val="none" w:sz="0" w:space="0" w:color="auto"/>
        <w:bottom w:val="none" w:sz="0" w:space="0" w:color="auto"/>
        <w:right w:val="none" w:sz="0" w:space="0" w:color="auto"/>
      </w:divBdr>
    </w:div>
    <w:div w:id="1348484230">
      <w:bodyDiv w:val="1"/>
      <w:marLeft w:val="0"/>
      <w:marRight w:val="0"/>
      <w:marTop w:val="0"/>
      <w:marBottom w:val="0"/>
      <w:divBdr>
        <w:top w:val="none" w:sz="0" w:space="0" w:color="auto"/>
        <w:left w:val="none" w:sz="0" w:space="0" w:color="auto"/>
        <w:bottom w:val="none" w:sz="0" w:space="0" w:color="auto"/>
        <w:right w:val="none" w:sz="0" w:space="0" w:color="auto"/>
      </w:divBdr>
    </w:div>
    <w:div w:id="1348630015">
      <w:bodyDiv w:val="1"/>
      <w:marLeft w:val="0"/>
      <w:marRight w:val="0"/>
      <w:marTop w:val="0"/>
      <w:marBottom w:val="0"/>
      <w:divBdr>
        <w:top w:val="none" w:sz="0" w:space="0" w:color="auto"/>
        <w:left w:val="none" w:sz="0" w:space="0" w:color="auto"/>
        <w:bottom w:val="none" w:sz="0" w:space="0" w:color="auto"/>
        <w:right w:val="none" w:sz="0" w:space="0" w:color="auto"/>
      </w:divBdr>
    </w:div>
    <w:div w:id="1350986695">
      <w:bodyDiv w:val="1"/>
      <w:marLeft w:val="0"/>
      <w:marRight w:val="0"/>
      <w:marTop w:val="0"/>
      <w:marBottom w:val="0"/>
      <w:divBdr>
        <w:top w:val="none" w:sz="0" w:space="0" w:color="auto"/>
        <w:left w:val="none" w:sz="0" w:space="0" w:color="auto"/>
        <w:bottom w:val="none" w:sz="0" w:space="0" w:color="auto"/>
        <w:right w:val="none" w:sz="0" w:space="0" w:color="auto"/>
      </w:divBdr>
    </w:div>
    <w:div w:id="1352880843">
      <w:bodyDiv w:val="1"/>
      <w:marLeft w:val="0"/>
      <w:marRight w:val="0"/>
      <w:marTop w:val="0"/>
      <w:marBottom w:val="0"/>
      <w:divBdr>
        <w:top w:val="none" w:sz="0" w:space="0" w:color="auto"/>
        <w:left w:val="none" w:sz="0" w:space="0" w:color="auto"/>
        <w:bottom w:val="none" w:sz="0" w:space="0" w:color="auto"/>
        <w:right w:val="none" w:sz="0" w:space="0" w:color="auto"/>
      </w:divBdr>
    </w:div>
    <w:div w:id="1353847196">
      <w:bodyDiv w:val="1"/>
      <w:marLeft w:val="0"/>
      <w:marRight w:val="0"/>
      <w:marTop w:val="0"/>
      <w:marBottom w:val="0"/>
      <w:divBdr>
        <w:top w:val="none" w:sz="0" w:space="0" w:color="auto"/>
        <w:left w:val="none" w:sz="0" w:space="0" w:color="auto"/>
        <w:bottom w:val="none" w:sz="0" w:space="0" w:color="auto"/>
        <w:right w:val="none" w:sz="0" w:space="0" w:color="auto"/>
      </w:divBdr>
    </w:div>
    <w:div w:id="1355234278">
      <w:bodyDiv w:val="1"/>
      <w:marLeft w:val="0"/>
      <w:marRight w:val="0"/>
      <w:marTop w:val="0"/>
      <w:marBottom w:val="0"/>
      <w:divBdr>
        <w:top w:val="none" w:sz="0" w:space="0" w:color="auto"/>
        <w:left w:val="none" w:sz="0" w:space="0" w:color="auto"/>
        <w:bottom w:val="none" w:sz="0" w:space="0" w:color="auto"/>
        <w:right w:val="none" w:sz="0" w:space="0" w:color="auto"/>
      </w:divBdr>
    </w:div>
    <w:div w:id="1357580343">
      <w:bodyDiv w:val="1"/>
      <w:marLeft w:val="0"/>
      <w:marRight w:val="0"/>
      <w:marTop w:val="0"/>
      <w:marBottom w:val="0"/>
      <w:divBdr>
        <w:top w:val="none" w:sz="0" w:space="0" w:color="auto"/>
        <w:left w:val="none" w:sz="0" w:space="0" w:color="auto"/>
        <w:bottom w:val="none" w:sz="0" w:space="0" w:color="auto"/>
        <w:right w:val="none" w:sz="0" w:space="0" w:color="auto"/>
      </w:divBdr>
    </w:div>
    <w:div w:id="1358117281">
      <w:bodyDiv w:val="1"/>
      <w:marLeft w:val="0"/>
      <w:marRight w:val="0"/>
      <w:marTop w:val="0"/>
      <w:marBottom w:val="0"/>
      <w:divBdr>
        <w:top w:val="none" w:sz="0" w:space="0" w:color="auto"/>
        <w:left w:val="none" w:sz="0" w:space="0" w:color="auto"/>
        <w:bottom w:val="none" w:sz="0" w:space="0" w:color="auto"/>
        <w:right w:val="none" w:sz="0" w:space="0" w:color="auto"/>
      </w:divBdr>
    </w:div>
    <w:div w:id="1358770148">
      <w:bodyDiv w:val="1"/>
      <w:marLeft w:val="0"/>
      <w:marRight w:val="0"/>
      <w:marTop w:val="0"/>
      <w:marBottom w:val="0"/>
      <w:divBdr>
        <w:top w:val="none" w:sz="0" w:space="0" w:color="auto"/>
        <w:left w:val="none" w:sz="0" w:space="0" w:color="auto"/>
        <w:bottom w:val="none" w:sz="0" w:space="0" w:color="auto"/>
        <w:right w:val="none" w:sz="0" w:space="0" w:color="auto"/>
      </w:divBdr>
    </w:div>
    <w:div w:id="1359969785">
      <w:bodyDiv w:val="1"/>
      <w:marLeft w:val="0"/>
      <w:marRight w:val="0"/>
      <w:marTop w:val="0"/>
      <w:marBottom w:val="0"/>
      <w:divBdr>
        <w:top w:val="none" w:sz="0" w:space="0" w:color="auto"/>
        <w:left w:val="none" w:sz="0" w:space="0" w:color="auto"/>
        <w:bottom w:val="none" w:sz="0" w:space="0" w:color="auto"/>
        <w:right w:val="none" w:sz="0" w:space="0" w:color="auto"/>
      </w:divBdr>
    </w:div>
    <w:div w:id="1361735925">
      <w:bodyDiv w:val="1"/>
      <w:marLeft w:val="0"/>
      <w:marRight w:val="0"/>
      <w:marTop w:val="0"/>
      <w:marBottom w:val="0"/>
      <w:divBdr>
        <w:top w:val="none" w:sz="0" w:space="0" w:color="auto"/>
        <w:left w:val="none" w:sz="0" w:space="0" w:color="auto"/>
        <w:bottom w:val="none" w:sz="0" w:space="0" w:color="auto"/>
        <w:right w:val="none" w:sz="0" w:space="0" w:color="auto"/>
      </w:divBdr>
    </w:div>
    <w:div w:id="1367020939">
      <w:bodyDiv w:val="1"/>
      <w:marLeft w:val="0"/>
      <w:marRight w:val="0"/>
      <w:marTop w:val="0"/>
      <w:marBottom w:val="0"/>
      <w:divBdr>
        <w:top w:val="none" w:sz="0" w:space="0" w:color="auto"/>
        <w:left w:val="none" w:sz="0" w:space="0" w:color="auto"/>
        <w:bottom w:val="none" w:sz="0" w:space="0" w:color="auto"/>
        <w:right w:val="none" w:sz="0" w:space="0" w:color="auto"/>
      </w:divBdr>
    </w:div>
    <w:div w:id="1368414950">
      <w:bodyDiv w:val="1"/>
      <w:marLeft w:val="0"/>
      <w:marRight w:val="0"/>
      <w:marTop w:val="0"/>
      <w:marBottom w:val="0"/>
      <w:divBdr>
        <w:top w:val="none" w:sz="0" w:space="0" w:color="auto"/>
        <w:left w:val="none" w:sz="0" w:space="0" w:color="auto"/>
        <w:bottom w:val="none" w:sz="0" w:space="0" w:color="auto"/>
        <w:right w:val="none" w:sz="0" w:space="0" w:color="auto"/>
      </w:divBdr>
    </w:div>
    <w:div w:id="1368721258">
      <w:bodyDiv w:val="1"/>
      <w:marLeft w:val="0"/>
      <w:marRight w:val="0"/>
      <w:marTop w:val="0"/>
      <w:marBottom w:val="0"/>
      <w:divBdr>
        <w:top w:val="none" w:sz="0" w:space="0" w:color="auto"/>
        <w:left w:val="none" w:sz="0" w:space="0" w:color="auto"/>
        <w:bottom w:val="none" w:sz="0" w:space="0" w:color="auto"/>
        <w:right w:val="none" w:sz="0" w:space="0" w:color="auto"/>
      </w:divBdr>
    </w:div>
    <w:div w:id="1370258886">
      <w:bodyDiv w:val="1"/>
      <w:marLeft w:val="0"/>
      <w:marRight w:val="0"/>
      <w:marTop w:val="0"/>
      <w:marBottom w:val="0"/>
      <w:divBdr>
        <w:top w:val="none" w:sz="0" w:space="0" w:color="auto"/>
        <w:left w:val="none" w:sz="0" w:space="0" w:color="auto"/>
        <w:bottom w:val="none" w:sz="0" w:space="0" w:color="auto"/>
        <w:right w:val="none" w:sz="0" w:space="0" w:color="auto"/>
      </w:divBdr>
    </w:div>
    <w:div w:id="1371034116">
      <w:bodyDiv w:val="1"/>
      <w:marLeft w:val="0"/>
      <w:marRight w:val="0"/>
      <w:marTop w:val="0"/>
      <w:marBottom w:val="0"/>
      <w:divBdr>
        <w:top w:val="none" w:sz="0" w:space="0" w:color="auto"/>
        <w:left w:val="none" w:sz="0" w:space="0" w:color="auto"/>
        <w:bottom w:val="none" w:sz="0" w:space="0" w:color="auto"/>
        <w:right w:val="none" w:sz="0" w:space="0" w:color="auto"/>
      </w:divBdr>
    </w:div>
    <w:div w:id="1371757053">
      <w:bodyDiv w:val="1"/>
      <w:marLeft w:val="0"/>
      <w:marRight w:val="0"/>
      <w:marTop w:val="0"/>
      <w:marBottom w:val="0"/>
      <w:divBdr>
        <w:top w:val="none" w:sz="0" w:space="0" w:color="auto"/>
        <w:left w:val="none" w:sz="0" w:space="0" w:color="auto"/>
        <w:bottom w:val="none" w:sz="0" w:space="0" w:color="auto"/>
        <w:right w:val="none" w:sz="0" w:space="0" w:color="auto"/>
      </w:divBdr>
    </w:div>
    <w:div w:id="1372799836">
      <w:bodyDiv w:val="1"/>
      <w:marLeft w:val="0"/>
      <w:marRight w:val="0"/>
      <w:marTop w:val="0"/>
      <w:marBottom w:val="0"/>
      <w:divBdr>
        <w:top w:val="none" w:sz="0" w:space="0" w:color="auto"/>
        <w:left w:val="none" w:sz="0" w:space="0" w:color="auto"/>
        <w:bottom w:val="none" w:sz="0" w:space="0" w:color="auto"/>
        <w:right w:val="none" w:sz="0" w:space="0" w:color="auto"/>
      </w:divBdr>
    </w:div>
    <w:div w:id="1375691413">
      <w:bodyDiv w:val="1"/>
      <w:marLeft w:val="0"/>
      <w:marRight w:val="0"/>
      <w:marTop w:val="0"/>
      <w:marBottom w:val="0"/>
      <w:divBdr>
        <w:top w:val="none" w:sz="0" w:space="0" w:color="auto"/>
        <w:left w:val="none" w:sz="0" w:space="0" w:color="auto"/>
        <w:bottom w:val="none" w:sz="0" w:space="0" w:color="auto"/>
        <w:right w:val="none" w:sz="0" w:space="0" w:color="auto"/>
      </w:divBdr>
    </w:div>
    <w:div w:id="1377074533">
      <w:bodyDiv w:val="1"/>
      <w:marLeft w:val="0"/>
      <w:marRight w:val="0"/>
      <w:marTop w:val="0"/>
      <w:marBottom w:val="0"/>
      <w:divBdr>
        <w:top w:val="none" w:sz="0" w:space="0" w:color="auto"/>
        <w:left w:val="none" w:sz="0" w:space="0" w:color="auto"/>
        <w:bottom w:val="none" w:sz="0" w:space="0" w:color="auto"/>
        <w:right w:val="none" w:sz="0" w:space="0" w:color="auto"/>
      </w:divBdr>
    </w:div>
    <w:div w:id="1378241432">
      <w:bodyDiv w:val="1"/>
      <w:marLeft w:val="0"/>
      <w:marRight w:val="0"/>
      <w:marTop w:val="0"/>
      <w:marBottom w:val="0"/>
      <w:divBdr>
        <w:top w:val="none" w:sz="0" w:space="0" w:color="auto"/>
        <w:left w:val="none" w:sz="0" w:space="0" w:color="auto"/>
        <w:bottom w:val="none" w:sz="0" w:space="0" w:color="auto"/>
        <w:right w:val="none" w:sz="0" w:space="0" w:color="auto"/>
      </w:divBdr>
    </w:div>
    <w:div w:id="1378243132">
      <w:bodyDiv w:val="1"/>
      <w:marLeft w:val="0"/>
      <w:marRight w:val="0"/>
      <w:marTop w:val="0"/>
      <w:marBottom w:val="0"/>
      <w:divBdr>
        <w:top w:val="none" w:sz="0" w:space="0" w:color="auto"/>
        <w:left w:val="none" w:sz="0" w:space="0" w:color="auto"/>
        <w:bottom w:val="none" w:sz="0" w:space="0" w:color="auto"/>
        <w:right w:val="none" w:sz="0" w:space="0" w:color="auto"/>
      </w:divBdr>
    </w:div>
    <w:div w:id="1379283531">
      <w:bodyDiv w:val="1"/>
      <w:marLeft w:val="0"/>
      <w:marRight w:val="0"/>
      <w:marTop w:val="0"/>
      <w:marBottom w:val="0"/>
      <w:divBdr>
        <w:top w:val="none" w:sz="0" w:space="0" w:color="auto"/>
        <w:left w:val="none" w:sz="0" w:space="0" w:color="auto"/>
        <w:bottom w:val="none" w:sz="0" w:space="0" w:color="auto"/>
        <w:right w:val="none" w:sz="0" w:space="0" w:color="auto"/>
      </w:divBdr>
    </w:div>
    <w:div w:id="1380396170">
      <w:bodyDiv w:val="1"/>
      <w:marLeft w:val="0"/>
      <w:marRight w:val="0"/>
      <w:marTop w:val="0"/>
      <w:marBottom w:val="0"/>
      <w:divBdr>
        <w:top w:val="none" w:sz="0" w:space="0" w:color="auto"/>
        <w:left w:val="none" w:sz="0" w:space="0" w:color="auto"/>
        <w:bottom w:val="none" w:sz="0" w:space="0" w:color="auto"/>
        <w:right w:val="none" w:sz="0" w:space="0" w:color="auto"/>
      </w:divBdr>
    </w:div>
    <w:div w:id="1384138998">
      <w:bodyDiv w:val="1"/>
      <w:marLeft w:val="0"/>
      <w:marRight w:val="0"/>
      <w:marTop w:val="0"/>
      <w:marBottom w:val="0"/>
      <w:divBdr>
        <w:top w:val="none" w:sz="0" w:space="0" w:color="auto"/>
        <w:left w:val="none" w:sz="0" w:space="0" w:color="auto"/>
        <w:bottom w:val="none" w:sz="0" w:space="0" w:color="auto"/>
        <w:right w:val="none" w:sz="0" w:space="0" w:color="auto"/>
      </w:divBdr>
    </w:div>
    <w:div w:id="1385759040">
      <w:bodyDiv w:val="1"/>
      <w:marLeft w:val="0"/>
      <w:marRight w:val="0"/>
      <w:marTop w:val="0"/>
      <w:marBottom w:val="0"/>
      <w:divBdr>
        <w:top w:val="none" w:sz="0" w:space="0" w:color="auto"/>
        <w:left w:val="none" w:sz="0" w:space="0" w:color="auto"/>
        <w:bottom w:val="none" w:sz="0" w:space="0" w:color="auto"/>
        <w:right w:val="none" w:sz="0" w:space="0" w:color="auto"/>
      </w:divBdr>
    </w:div>
    <w:div w:id="1386442800">
      <w:bodyDiv w:val="1"/>
      <w:marLeft w:val="0"/>
      <w:marRight w:val="0"/>
      <w:marTop w:val="0"/>
      <w:marBottom w:val="0"/>
      <w:divBdr>
        <w:top w:val="none" w:sz="0" w:space="0" w:color="auto"/>
        <w:left w:val="none" w:sz="0" w:space="0" w:color="auto"/>
        <w:bottom w:val="none" w:sz="0" w:space="0" w:color="auto"/>
        <w:right w:val="none" w:sz="0" w:space="0" w:color="auto"/>
      </w:divBdr>
    </w:div>
    <w:div w:id="1386880470">
      <w:bodyDiv w:val="1"/>
      <w:marLeft w:val="0"/>
      <w:marRight w:val="0"/>
      <w:marTop w:val="0"/>
      <w:marBottom w:val="0"/>
      <w:divBdr>
        <w:top w:val="none" w:sz="0" w:space="0" w:color="auto"/>
        <w:left w:val="none" w:sz="0" w:space="0" w:color="auto"/>
        <w:bottom w:val="none" w:sz="0" w:space="0" w:color="auto"/>
        <w:right w:val="none" w:sz="0" w:space="0" w:color="auto"/>
      </w:divBdr>
    </w:div>
    <w:div w:id="1387409900">
      <w:bodyDiv w:val="1"/>
      <w:marLeft w:val="0"/>
      <w:marRight w:val="0"/>
      <w:marTop w:val="0"/>
      <w:marBottom w:val="0"/>
      <w:divBdr>
        <w:top w:val="none" w:sz="0" w:space="0" w:color="auto"/>
        <w:left w:val="none" w:sz="0" w:space="0" w:color="auto"/>
        <w:bottom w:val="none" w:sz="0" w:space="0" w:color="auto"/>
        <w:right w:val="none" w:sz="0" w:space="0" w:color="auto"/>
      </w:divBdr>
    </w:div>
    <w:div w:id="1393189367">
      <w:bodyDiv w:val="1"/>
      <w:marLeft w:val="0"/>
      <w:marRight w:val="0"/>
      <w:marTop w:val="0"/>
      <w:marBottom w:val="0"/>
      <w:divBdr>
        <w:top w:val="none" w:sz="0" w:space="0" w:color="auto"/>
        <w:left w:val="none" w:sz="0" w:space="0" w:color="auto"/>
        <w:bottom w:val="none" w:sz="0" w:space="0" w:color="auto"/>
        <w:right w:val="none" w:sz="0" w:space="0" w:color="auto"/>
      </w:divBdr>
    </w:div>
    <w:div w:id="1393843436">
      <w:bodyDiv w:val="1"/>
      <w:marLeft w:val="0"/>
      <w:marRight w:val="0"/>
      <w:marTop w:val="0"/>
      <w:marBottom w:val="0"/>
      <w:divBdr>
        <w:top w:val="none" w:sz="0" w:space="0" w:color="auto"/>
        <w:left w:val="none" w:sz="0" w:space="0" w:color="auto"/>
        <w:bottom w:val="none" w:sz="0" w:space="0" w:color="auto"/>
        <w:right w:val="none" w:sz="0" w:space="0" w:color="auto"/>
      </w:divBdr>
    </w:div>
    <w:div w:id="1393851086">
      <w:bodyDiv w:val="1"/>
      <w:marLeft w:val="0"/>
      <w:marRight w:val="0"/>
      <w:marTop w:val="0"/>
      <w:marBottom w:val="0"/>
      <w:divBdr>
        <w:top w:val="none" w:sz="0" w:space="0" w:color="auto"/>
        <w:left w:val="none" w:sz="0" w:space="0" w:color="auto"/>
        <w:bottom w:val="none" w:sz="0" w:space="0" w:color="auto"/>
        <w:right w:val="none" w:sz="0" w:space="0" w:color="auto"/>
      </w:divBdr>
    </w:div>
    <w:div w:id="1397238973">
      <w:bodyDiv w:val="1"/>
      <w:marLeft w:val="0"/>
      <w:marRight w:val="0"/>
      <w:marTop w:val="0"/>
      <w:marBottom w:val="0"/>
      <w:divBdr>
        <w:top w:val="none" w:sz="0" w:space="0" w:color="auto"/>
        <w:left w:val="none" w:sz="0" w:space="0" w:color="auto"/>
        <w:bottom w:val="none" w:sz="0" w:space="0" w:color="auto"/>
        <w:right w:val="none" w:sz="0" w:space="0" w:color="auto"/>
      </w:divBdr>
    </w:div>
    <w:div w:id="1399938229">
      <w:bodyDiv w:val="1"/>
      <w:marLeft w:val="0"/>
      <w:marRight w:val="0"/>
      <w:marTop w:val="0"/>
      <w:marBottom w:val="0"/>
      <w:divBdr>
        <w:top w:val="none" w:sz="0" w:space="0" w:color="auto"/>
        <w:left w:val="none" w:sz="0" w:space="0" w:color="auto"/>
        <w:bottom w:val="none" w:sz="0" w:space="0" w:color="auto"/>
        <w:right w:val="none" w:sz="0" w:space="0" w:color="auto"/>
      </w:divBdr>
    </w:div>
    <w:div w:id="1401059695">
      <w:bodyDiv w:val="1"/>
      <w:marLeft w:val="0"/>
      <w:marRight w:val="0"/>
      <w:marTop w:val="0"/>
      <w:marBottom w:val="0"/>
      <w:divBdr>
        <w:top w:val="none" w:sz="0" w:space="0" w:color="auto"/>
        <w:left w:val="none" w:sz="0" w:space="0" w:color="auto"/>
        <w:bottom w:val="none" w:sz="0" w:space="0" w:color="auto"/>
        <w:right w:val="none" w:sz="0" w:space="0" w:color="auto"/>
      </w:divBdr>
    </w:div>
    <w:div w:id="1402941726">
      <w:bodyDiv w:val="1"/>
      <w:marLeft w:val="0"/>
      <w:marRight w:val="0"/>
      <w:marTop w:val="0"/>
      <w:marBottom w:val="0"/>
      <w:divBdr>
        <w:top w:val="none" w:sz="0" w:space="0" w:color="auto"/>
        <w:left w:val="none" w:sz="0" w:space="0" w:color="auto"/>
        <w:bottom w:val="none" w:sz="0" w:space="0" w:color="auto"/>
        <w:right w:val="none" w:sz="0" w:space="0" w:color="auto"/>
      </w:divBdr>
    </w:div>
    <w:div w:id="1403792730">
      <w:bodyDiv w:val="1"/>
      <w:marLeft w:val="0"/>
      <w:marRight w:val="0"/>
      <w:marTop w:val="0"/>
      <w:marBottom w:val="0"/>
      <w:divBdr>
        <w:top w:val="none" w:sz="0" w:space="0" w:color="auto"/>
        <w:left w:val="none" w:sz="0" w:space="0" w:color="auto"/>
        <w:bottom w:val="none" w:sz="0" w:space="0" w:color="auto"/>
        <w:right w:val="none" w:sz="0" w:space="0" w:color="auto"/>
      </w:divBdr>
    </w:div>
    <w:div w:id="1405907948">
      <w:bodyDiv w:val="1"/>
      <w:marLeft w:val="0"/>
      <w:marRight w:val="0"/>
      <w:marTop w:val="0"/>
      <w:marBottom w:val="0"/>
      <w:divBdr>
        <w:top w:val="none" w:sz="0" w:space="0" w:color="auto"/>
        <w:left w:val="none" w:sz="0" w:space="0" w:color="auto"/>
        <w:bottom w:val="none" w:sz="0" w:space="0" w:color="auto"/>
        <w:right w:val="none" w:sz="0" w:space="0" w:color="auto"/>
      </w:divBdr>
    </w:div>
    <w:div w:id="1411082171">
      <w:bodyDiv w:val="1"/>
      <w:marLeft w:val="0"/>
      <w:marRight w:val="0"/>
      <w:marTop w:val="0"/>
      <w:marBottom w:val="0"/>
      <w:divBdr>
        <w:top w:val="none" w:sz="0" w:space="0" w:color="auto"/>
        <w:left w:val="none" w:sz="0" w:space="0" w:color="auto"/>
        <w:bottom w:val="none" w:sz="0" w:space="0" w:color="auto"/>
        <w:right w:val="none" w:sz="0" w:space="0" w:color="auto"/>
      </w:divBdr>
    </w:div>
    <w:div w:id="1412506524">
      <w:bodyDiv w:val="1"/>
      <w:marLeft w:val="0"/>
      <w:marRight w:val="0"/>
      <w:marTop w:val="0"/>
      <w:marBottom w:val="0"/>
      <w:divBdr>
        <w:top w:val="none" w:sz="0" w:space="0" w:color="auto"/>
        <w:left w:val="none" w:sz="0" w:space="0" w:color="auto"/>
        <w:bottom w:val="none" w:sz="0" w:space="0" w:color="auto"/>
        <w:right w:val="none" w:sz="0" w:space="0" w:color="auto"/>
      </w:divBdr>
    </w:div>
    <w:div w:id="1412852305">
      <w:bodyDiv w:val="1"/>
      <w:marLeft w:val="0"/>
      <w:marRight w:val="0"/>
      <w:marTop w:val="0"/>
      <w:marBottom w:val="0"/>
      <w:divBdr>
        <w:top w:val="none" w:sz="0" w:space="0" w:color="auto"/>
        <w:left w:val="none" w:sz="0" w:space="0" w:color="auto"/>
        <w:bottom w:val="none" w:sz="0" w:space="0" w:color="auto"/>
        <w:right w:val="none" w:sz="0" w:space="0" w:color="auto"/>
      </w:divBdr>
    </w:div>
    <w:div w:id="1413164448">
      <w:bodyDiv w:val="1"/>
      <w:marLeft w:val="0"/>
      <w:marRight w:val="0"/>
      <w:marTop w:val="0"/>
      <w:marBottom w:val="0"/>
      <w:divBdr>
        <w:top w:val="none" w:sz="0" w:space="0" w:color="auto"/>
        <w:left w:val="none" w:sz="0" w:space="0" w:color="auto"/>
        <w:bottom w:val="none" w:sz="0" w:space="0" w:color="auto"/>
        <w:right w:val="none" w:sz="0" w:space="0" w:color="auto"/>
      </w:divBdr>
    </w:div>
    <w:div w:id="1413700240">
      <w:bodyDiv w:val="1"/>
      <w:marLeft w:val="0"/>
      <w:marRight w:val="0"/>
      <w:marTop w:val="0"/>
      <w:marBottom w:val="0"/>
      <w:divBdr>
        <w:top w:val="none" w:sz="0" w:space="0" w:color="auto"/>
        <w:left w:val="none" w:sz="0" w:space="0" w:color="auto"/>
        <w:bottom w:val="none" w:sz="0" w:space="0" w:color="auto"/>
        <w:right w:val="none" w:sz="0" w:space="0" w:color="auto"/>
      </w:divBdr>
    </w:div>
    <w:div w:id="1418138041">
      <w:bodyDiv w:val="1"/>
      <w:marLeft w:val="0"/>
      <w:marRight w:val="0"/>
      <w:marTop w:val="0"/>
      <w:marBottom w:val="0"/>
      <w:divBdr>
        <w:top w:val="none" w:sz="0" w:space="0" w:color="auto"/>
        <w:left w:val="none" w:sz="0" w:space="0" w:color="auto"/>
        <w:bottom w:val="none" w:sz="0" w:space="0" w:color="auto"/>
        <w:right w:val="none" w:sz="0" w:space="0" w:color="auto"/>
      </w:divBdr>
    </w:div>
    <w:div w:id="1418164741">
      <w:bodyDiv w:val="1"/>
      <w:marLeft w:val="0"/>
      <w:marRight w:val="0"/>
      <w:marTop w:val="0"/>
      <w:marBottom w:val="0"/>
      <w:divBdr>
        <w:top w:val="none" w:sz="0" w:space="0" w:color="auto"/>
        <w:left w:val="none" w:sz="0" w:space="0" w:color="auto"/>
        <w:bottom w:val="none" w:sz="0" w:space="0" w:color="auto"/>
        <w:right w:val="none" w:sz="0" w:space="0" w:color="auto"/>
      </w:divBdr>
    </w:div>
    <w:div w:id="1420565484">
      <w:bodyDiv w:val="1"/>
      <w:marLeft w:val="0"/>
      <w:marRight w:val="0"/>
      <w:marTop w:val="0"/>
      <w:marBottom w:val="0"/>
      <w:divBdr>
        <w:top w:val="none" w:sz="0" w:space="0" w:color="auto"/>
        <w:left w:val="none" w:sz="0" w:space="0" w:color="auto"/>
        <w:bottom w:val="none" w:sz="0" w:space="0" w:color="auto"/>
        <w:right w:val="none" w:sz="0" w:space="0" w:color="auto"/>
      </w:divBdr>
    </w:div>
    <w:div w:id="1420635687">
      <w:bodyDiv w:val="1"/>
      <w:marLeft w:val="0"/>
      <w:marRight w:val="0"/>
      <w:marTop w:val="0"/>
      <w:marBottom w:val="0"/>
      <w:divBdr>
        <w:top w:val="none" w:sz="0" w:space="0" w:color="auto"/>
        <w:left w:val="none" w:sz="0" w:space="0" w:color="auto"/>
        <w:bottom w:val="none" w:sz="0" w:space="0" w:color="auto"/>
        <w:right w:val="none" w:sz="0" w:space="0" w:color="auto"/>
      </w:divBdr>
      <w:divsChild>
        <w:div w:id="13265765">
          <w:marLeft w:val="0"/>
          <w:marRight w:val="0"/>
          <w:marTop w:val="0"/>
          <w:marBottom w:val="0"/>
          <w:divBdr>
            <w:top w:val="none" w:sz="0" w:space="0" w:color="auto"/>
            <w:left w:val="none" w:sz="0" w:space="0" w:color="auto"/>
            <w:bottom w:val="none" w:sz="0" w:space="0" w:color="auto"/>
            <w:right w:val="none" w:sz="0" w:space="0" w:color="auto"/>
          </w:divBdr>
          <w:divsChild>
            <w:div w:id="1673558755">
              <w:marLeft w:val="0"/>
              <w:marRight w:val="0"/>
              <w:marTop w:val="0"/>
              <w:marBottom w:val="0"/>
              <w:divBdr>
                <w:top w:val="none" w:sz="0" w:space="0" w:color="auto"/>
                <w:left w:val="none" w:sz="0" w:space="0" w:color="auto"/>
                <w:bottom w:val="none" w:sz="0" w:space="0" w:color="auto"/>
                <w:right w:val="none" w:sz="0" w:space="0" w:color="auto"/>
              </w:divBdr>
            </w:div>
          </w:divsChild>
        </w:div>
        <w:div w:id="120923969">
          <w:marLeft w:val="0"/>
          <w:marRight w:val="0"/>
          <w:marTop w:val="0"/>
          <w:marBottom w:val="0"/>
          <w:divBdr>
            <w:top w:val="none" w:sz="0" w:space="0" w:color="auto"/>
            <w:left w:val="none" w:sz="0" w:space="0" w:color="auto"/>
            <w:bottom w:val="none" w:sz="0" w:space="0" w:color="auto"/>
            <w:right w:val="none" w:sz="0" w:space="0" w:color="auto"/>
          </w:divBdr>
          <w:divsChild>
            <w:div w:id="709380154">
              <w:marLeft w:val="0"/>
              <w:marRight w:val="0"/>
              <w:marTop w:val="0"/>
              <w:marBottom w:val="0"/>
              <w:divBdr>
                <w:top w:val="none" w:sz="0" w:space="0" w:color="auto"/>
                <w:left w:val="none" w:sz="0" w:space="0" w:color="auto"/>
                <w:bottom w:val="none" w:sz="0" w:space="0" w:color="auto"/>
                <w:right w:val="none" w:sz="0" w:space="0" w:color="auto"/>
              </w:divBdr>
            </w:div>
          </w:divsChild>
        </w:div>
        <w:div w:id="349069297">
          <w:marLeft w:val="0"/>
          <w:marRight w:val="0"/>
          <w:marTop w:val="0"/>
          <w:marBottom w:val="0"/>
          <w:divBdr>
            <w:top w:val="none" w:sz="0" w:space="0" w:color="auto"/>
            <w:left w:val="none" w:sz="0" w:space="0" w:color="auto"/>
            <w:bottom w:val="none" w:sz="0" w:space="0" w:color="auto"/>
            <w:right w:val="none" w:sz="0" w:space="0" w:color="auto"/>
          </w:divBdr>
          <w:divsChild>
            <w:div w:id="2059432878">
              <w:marLeft w:val="0"/>
              <w:marRight w:val="0"/>
              <w:marTop w:val="0"/>
              <w:marBottom w:val="0"/>
              <w:divBdr>
                <w:top w:val="none" w:sz="0" w:space="0" w:color="auto"/>
                <w:left w:val="none" w:sz="0" w:space="0" w:color="auto"/>
                <w:bottom w:val="none" w:sz="0" w:space="0" w:color="auto"/>
                <w:right w:val="none" w:sz="0" w:space="0" w:color="auto"/>
              </w:divBdr>
            </w:div>
          </w:divsChild>
        </w:div>
        <w:div w:id="603727070">
          <w:marLeft w:val="0"/>
          <w:marRight w:val="0"/>
          <w:marTop w:val="0"/>
          <w:marBottom w:val="0"/>
          <w:divBdr>
            <w:top w:val="none" w:sz="0" w:space="0" w:color="auto"/>
            <w:left w:val="none" w:sz="0" w:space="0" w:color="auto"/>
            <w:bottom w:val="none" w:sz="0" w:space="0" w:color="auto"/>
            <w:right w:val="none" w:sz="0" w:space="0" w:color="auto"/>
          </w:divBdr>
          <w:divsChild>
            <w:div w:id="1361204818">
              <w:marLeft w:val="0"/>
              <w:marRight w:val="0"/>
              <w:marTop w:val="0"/>
              <w:marBottom w:val="0"/>
              <w:divBdr>
                <w:top w:val="none" w:sz="0" w:space="0" w:color="auto"/>
                <w:left w:val="none" w:sz="0" w:space="0" w:color="auto"/>
                <w:bottom w:val="none" w:sz="0" w:space="0" w:color="auto"/>
                <w:right w:val="none" w:sz="0" w:space="0" w:color="auto"/>
              </w:divBdr>
            </w:div>
          </w:divsChild>
        </w:div>
        <w:div w:id="715272852">
          <w:marLeft w:val="0"/>
          <w:marRight w:val="0"/>
          <w:marTop w:val="0"/>
          <w:marBottom w:val="0"/>
          <w:divBdr>
            <w:top w:val="none" w:sz="0" w:space="0" w:color="auto"/>
            <w:left w:val="none" w:sz="0" w:space="0" w:color="auto"/>
            <w:bottom w:val="none" w:sz="0" w:space="0" w:color="auto"/>
            <w:right w:val="none" w:sz="0" w:space="0" w:color="auto"/>
          </w:divBdr>
          <w:divsChild>
            <w:div w:id="2084797556">
              <w:marLeft w:val="0"/>
              <w:marRight w:val="0"/>
              <w:marTop w:val="0"/>
              <w:marBottom w:val="0"/>
              <w:divBdr>
                <w:top w:val="none" w:sz="0" w:space="0" w:color="auto"/>
                <w:left w:val="none" w:sz="0" w:space="0" w:color="auto"/>
                <w:bottom w:val="none" w:sz="0" w:space="0" w:color="auto"/>
                <w:right w:val="none" w:sz="0" w:space="0" w:color="auto"/>
              </w:divBdr>
            </w:div>
          </w:divsChild>
        </w:div>
        <w:div w:id="1528443089">
          <w:marLeft w:val="0"/>
          <w:marRight w:val="0"/>
          <w:marTop w:val="0"/>
          <w:marBottom w:val="0"/>
          <w:divBdr>
            <w:top w:val="none" w:sz="0" w:space="0" w:color="auto"/>
            <w:left w:val="none" w:sz="0" w:space="0" w:color="auto"/>
            <w:bottom w:val="none" w:sz="0" w:space="0" w:color="auto"/>
            <w:right w:val="none" w:sz="0" w:space="0" w:color="auto"/>
          </w:divBdr>
          <w:divsChild>
            <w:div w:id="70505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482164">
      <w:bodyDiv w:val="1"/>
      <w:marLeft w:val="0"/>
      <w:marRight w:val="0"/>
      <w:marTop w:val="0"/>
      <w:marBottom w:val="0"/>
      <w:divBdr>
        <w:top w:val="none" w:sz="0" w:space="0" w:color="auto"/>
        <w:left w:val="none" w:sz="0" w:space="0" w:color="auto"/>
        <w:bottom w:val="none" w:sz="0" w:space="0" w:color="auto"/>
        <w:right w:val="none" w:sz="0" w:space="0" w:color="auto"/>
      </w:divBdr>
    </w:div>
    <w:div w:id="1421564241">
      <w:bodyDiv w:val="1"/>
      <w:marLeft w:val="0"/>
      <w:marRight w:val="0"/>
      <w:marTop w:val="0"/>
      <w:marBottom w:val="0"/>
      <w:divBdr>
        <w:top w:val="none" w:sz="0" w:space="0" w:color="auto"/>
        <w:left w:val="none" w:sz="0" w:space="0" w:color="auto"/>
        <w:bottom w:val="none" w:sz="0" w:space="0" w:color="auto"/>
        <w:right w:val="none" w:sz="0" w:space="0" w:color="auto"/>
      </w:divBdr>
    </w:div>
    <w:div w:id="1421676262">
      <w:bodyDiv w:val="1"/>
      <w:marLeft w:val="0"/>
      <w:marRight w:val="0"/>
      <w:marTop w:val="0"/>
      <w:marBottom w:val="0"/>
      <w:divBdr>
        <w:top w:val="none" w:sz="0" w:space="0" w:color="auto"/>
        <w:left w:val="none" w:sz="0" w:space="0" w:color="auto"/>
        <w:bottom w:val="none" w:sz="0" w:space="0" w:color="auto"/>
        <w:right w:val="none" w:sz="0" w:space="0" w:color="auto"/>
      </w:divBdr>
    </w:div>
    <w:div w:id="1426465211">
      <w:bodyDiv w:val="1"/>
      <w:marLeft w:val="0"/>
      <w:marRight w:val="0"/>
      <w:marTop w:val="0"/>
      <w:marBottom w:val="0"/>
      <w:divBdr>
        <w:top w:val="none" w:sz="0" w:space="0" w:color="auto"/>
        <w:left w:val="none" w:sz="0" w:space="0" w:color="auto"/>
        <w:bottom w:val="none" w:sz="0" w:space="0" w:color="auto"/>
        <w:right w:val="none" w:sz="0" w:space="0" w:color="auto"/>
      </w:divBdr>
    </w:div>
    <w:div w:id="1429034798">
      <w:bodyDiv w:val="1"/>
      <w:marLeft w:val="0"/>
      <w:marRight w:val="0"/>
      <w:marTop w:val="0"/>
      <w:marBottom w:val="0"/>
      <w:divBdr>
        <w:top w:val="none" w:sz="0" w:space="0" w:color="auto"/>
        <w:left w:val="none" w:sz="0" w:space="0" w:color="auto"/>
        <w:bottom w:val="none" w:sz="0" w:space="0" w:color="auto"/>
        <w:right w:val="none" w:sz="0" w:space="0" w:color="auto"/>
      </w:divBdr>
    </w:div>
    <w:div w:id="1430004361">
      <w:bodyDiv w:val="1"/>
      <w:marLeft w:val="0"/>
      <w:marRight w:val="0"/>
      <w:marTop w:val="0"/>
      <w:marBottom w:val="0"/>
      <w:divBdr>
        <w:top w:val="none" w:sz="0" w:space="0" w:color="auto"/>
        <w:left w:val="none" w:sz="0" w:space="0" w:color="auto"/>
        <w:bottom w:val="none" w:sz="0" w:space="0" w:color="auto"/>
        <w:right w:val="none" w:sz="0" w:space="0" w:color="auto"/>
      </w:divBdr>
    </w:div>
    <w:div w:id="1435712440">
      <w:bodyDiv w:val="1"/>
      <w:marLeft w:val="0"/>
      <w:marRight w:val="0"/>
      <w:marTop w:val="0"/>
      <w:marBottom w:val="0"/>
      <w:divBdr>
        <w:top w:val="none" w:sz="0" w:space="0" w:color="auto"/>
        <w:left w:val="none" w:sz="0" w:space="0" w:color="auto"/>
        <w:bottom w:val="none" w:sz="0" w:space="0" w:color="auto"/>
        <w:right w:val="none" w:sz="0" w:space="0" w:color="auto"/>
      </w:divBdr>
    </w:div>
    <w:div w:id="1440369307">
      <w:bodyDiv w:val="1"/>
      <w:marLeft w:val="0"/>
      <w:marRight w:val="0"/>
      <w:marTop w:val="0"/>
      <w:marBottom w:val="0"/>
      <w:divBdr>
        <w:top w:val="none" w:sz="0" w:space="0" w:color="auto"/>
        <w:left w:val="none" w:sz="0" w:space="0" w:color="auto"/>
        <w:bottom w:val="none" w:sz="0" w:space="0" w:color="auto"/>
        <w:right w:val="none" w:sz="0" w:space="0" w:color="auto"/>
      </w:divBdr>
    </w:div>
    <w:div w:id="1440678405">
      <w:bodyDiv w:val="1"/>
      <w:marLeft w:val="0"/>
      <w:marRight w:val="0"/>
      <w:marTop w:val="0"/>
      <w:marBottom w:val="0"/>
      <w:divBdr>
        <w:top w:val="none" w:sz="0" w:space="0" w:color="auto"/>
        <w:left w:val="none" w:sz="0" w:space="0" w:color="auto"/>
        <w:bottom w:val="none" w:sz="0" w:space="0" w:color="auto"/>
        <w:right w:val="none" w:sz="0" w:space="0" w:color="auto"/>
      </w:divBdr>
    </w:div>
    <w:div w:id="1444232497">
      <w:bodyDiv w:val="1"/>
      <w:marLeft w:val="0"/>
      <w:marRight w:val="0"/>
      <w:marTop w:val="0"/>
      <w:marBottom w:val="0"/>
      <w:divBdr>
        <w:top w:val="none" w:sz="0" w:space="0" w:color="auto"/>
        <w:left w:val="none" w:sz="0" w:space="0" w:color="auto"/>
        <w:bottom w:val="none" w:sz="0" w:space="0" w:color="auto"/>
        <w:right w:val="none" w:sz="0" w:space="0" w:color="auto"/>
      </w:divBdr>
    </w:div>
    <w:div w:id="1445346565">
      <w:bodyDiv w:val="1"/>
      <w:marLeft w:val="0"/>
      <w:marRight w:val="0"/>
      <w:marTop w:val="0"/>
      <w:marBottom w:val="0"/>
      <w:divBdr>
        <w:top w:val="none" w:sz="0" w:space="0" w:color="auto"/>
        <w:left w:val="none" w:sz="0" w:space="0" w:color="auto"/>
        <w:bottom w:val="none" w:sz="0" w:space="0" w:color="auto"/>
        <w:right w:val="none" w:sz="0" w:space="0" w:color="auto"/>
      </w:divBdr>
    </w:div>
    <w:div w:id="1446583360">
      <w:bodyDiv w:val="1"/>
      <w:marLeft w:val="0"/>
      <w:marRight w:val="0"/>
      <w:marTop w:val="0"/>
      <w:marBottom w:val="0"/>
      <w:divBdr>
        <w:top w:val="none" w:sz="0" w:space="0" w:color="auto"/>
        <w:left w:val="none" w:sz="0" w:space="0" w:color="auto"/>
        <w:bottom w:val="none" w:sz="0" w:space="0" w:color="auto"/>
        <w:right w:val="none" w:sz="0" w:space="0" w:color="auto"/>
      </w:divBdr>
    </w:div>
    <w:div w:id="1448428588">
      <w:bodyDiv w:val="1"/>
      <w:marLeft w:val="0"/>
      <w:marRight w:val="0"/>
      <w:marTop w:val="0"/>
      <w:marBottom w:val="0"/>
      <w:divBdr>
        <w:top w:val="none" w:sz="0" w:space="0" w:color="auto"/>
        <w:left w:val="none" w:sz="0" w:space="0" w:color="auto"/>
        <w:bottom w:val="none" w:sz="0" w:space="0" w:color="auto"/>
        <w:right w:val="none" w:sz="0" w:space="0" w:color="auto"/>
      </w:divBdr>
    </w:div>
    <w:div w:id="1449399406">
      <w:bodyDiv w:val="1"/>
      <w:marLeft w:val="0"/>
      <w:marRight w:val="0"/>
      <w:marTop w:val="0"/>
      <w:marBottom w:val="0"/>
      <w:divBdr>
        <w:top w:val="none" w:sz="0" w:space="0" w:color="auto"/>
        <w:left w:val="none" w:sz="0" w:space="0" w:color="auto"/>
        <w:bottom w:val="none" w:sz="0" w:space="0" w:color="auto"/>
        <w:right w:val="none" w:sz="0" w:space="0" w:color="auto"/>
      </w:divBdr>
    </w:div>
    <w:div w:id="1451585478">
      <w:bodyDiv w:val="1"/>
      <w:marLeft w:val="0"/>
      <w:marRight w:val="0"/>
      <w:marTop w:val="0"/>
      <w:marBottom w:val="0"/>
      <w:divBdr>
        <w:top w:val="none" w:sz="0" w:space="0" w:color="auto"/>
        <w:left w:val="none" w:sz="0" w:space="0" w:color="auto"/>
        <w:bottom w:val="none" w:sz="0" w:space="0" w:color="auto"/>
        <w:right w:val="none" w:sz="0" w:space="0" w:color="auto"/>
      </w:divBdr>
    </w:div>
    <w:div w:id="1452937792">
      <w:bodyDiv w:val="1"/>
      <w:marLeft w:val="0"/>
      <w:marRight w:val="0"/>
      <w:marTop w:val="0"/>
      <w:marBottom w:val="0"/>
      <w:divBdr>
        <w:top w:val="none" w:sz="0" w:space="0" w:color="auto"/>
        <w:left w:val="none" w:sz="0" w:space="0" w:color="auto"/>
        <w:bottom w:val="none" w:sz="0" w:space="0" w:color="auto"/>
        <w:right w:val="none" w:sz="0" w:space="0" w:color="auto"/>
      </w:divBdr>
    </w:div>
    <w:div w:id="1454519133">
      <w:bodyDiv w:val="1"/>
      <w:marLeft w:val="0"/>
      <w:marRight w:val="0"/>
      <w:marTop w:val="0"/>
      <w:marBottom w:val="0"/>
      <w:divBdr>
        <w:top w:val="none" w:sz="0" w:space="0" w:color="auto"/>
        <w:left w:val="none" w:sz="0" w:space="0" w:color="auto"/>
        <w:bottom w:val="none" w:sz="0" w:space="0" w:color="auto"/>
        <w:right w:val="none" w:sz="0" w:space="0" w:color="auto"/>
      </w:divBdr>
    </w:div>
    <w:div w:id="1455096656">
      <w:bodyDiv w:val="1"/>
      <w:marLeft w:val="0"/>
      <w:marRight w:val="0"/>
      <w:marTop w:val="0"/>
      <w:marBottom w:val="0"/>
      <w:divBdr>
        <w:top w:val="none" w:sz="0" w:space="0" w:color="auto"/>
        <w:left w:val="none" w:sz="0" w:space="0" w:color="auto"/>
        <w:bottom w:val="none" w:sz="0" w:space="0" w:color="auto"/>
        <w:right w:val="none" w:sz="0" w:space="0" w:color="auto"/>
      </w:divBdr>
    </w:div>
    <w:div w:id="1455102543">
      <w:bodyDiv w:val="1"/>
      <w:marLeft w:val="0"/>
      <w:marRight w:val="0"/>
      <w:marTop w:val="0"/>
      <w:marBottom w:val="0"/>
      <w:divBdr>
        <w:top w:val="none" w:sz="0" w:space="0" w:color="auto"/>
        <w:left w:val="none" w:sz="0" w:space="0" w:color="auto"/>
        <w:bottom w:val="none" w:sz="0" w:space="0" w:color="auto"/>
        <w:right w:val="none" w:sz="0" w:space="0" w:color="auto"/>
      </w:divBdr>
    </w:div>
    <w:div w:id="1457216909">
      <w:bodyDiv w:val="1"/>
      <w:marLeft w:val="0"/>
      <w:marRight w:val="0"/>
      <w:marTop w:val="0"/>
      <w:marBottom w:val="0"/>
      <w:divBdr>
        <w:top w:val="none" w:sz="0" w:space="0" w:color="auto"/>
        <w:left w:val="none" w:sz="0" w:space="0" w:color="auto"/>
        <w:bottom w:val="none" w:sz="0" w:space="0" w:color="auto"/>
        <w:right w:val="none" w:sz="0" w:space="0" w:color="auto"/>
      </w:divBdr>
    </w:div>
    <w:div w:id="1458569514">
      <w:bodyDiv w:val="1"/>
      <w:marLeft w:val="0"/>
      <w:marRight w:val="0"/>
      <w:marTop w:val="0"/>
      <w:marBottom w:val="0"/>
      <w:divBdr>
        <w:top w:val="none" w:sz="0" w:space="0" w:color="auto"/>
        <w:left w:val="none" w:sz="0" w:space="0" w:color="auto"/>
        <w:bottom w:val="none" w:sz="0" w:space="0" w:color="auto"/>
        <w:right w:val="none" w:sz="0" w:space="0" w:color="auto"/>
      </w:divBdr>
    </w:div>
    <w:div w:id="1458573107">
      <w:bodyDiv w:val="1"/>
      <w:marLeft w:val="0"/>
      <w:marRight w:val="0"/>
      <w:marTop w:val="0"/>
      <w:marBottom w:val="0"/>
      <w:divBdr>
        <w:top w:val="none" w:sz="0" w:space="0" w:color="auto"/>
        <w:left w:val="none" w:sz="0" w:space="0" w:color="auto"/>
        <w:bottom w:val="none" w:sz="0" w:space="0" w:color="auto"/>
        <w:right w:val="none" w:sz="0" w:space="0" w:color="auto"/>
      </w:divBdr>
    </w:div>
    <w:div w:id="1460955077">
      <w:bodyDiv w:val="1"/>
      <w:marLeft w:val="0"/>
      <w:marRight w:val="0"/>
      <w:marTop w:val="0"/>
      <w:marBottom w:val="0"/>
      <w:divBdr>
        <w:top w:val="none" w:sz="0" w:space="0" w:color="auto"/>
        <w:left w:val="none" w:sz="0" w:space="0" w:color="auto"/>
        <w:bottom w:val="none" w:sz="0" w:space="0" w:color="auto"/>
        <w:right w:val="none" w:sz="0" w:space="0" w:color="auto"/>
      </w:divBdr>
    </w:div>
    <w:div w:id="1462768699">
      <w:bodyDiv w:val="1"/>
      <w:marLeft w:val="0"/>
      <w:marRight w:val="0"/>
      <w:marTop w:val="0"/>
      <w:marBottom w:val="0"/>
      <w:divBdr>
        <w:top w:val="none" w:sz="0" w:space="0" w:color="auto"/>
        <w:left w:val="none" w:sz="0" w:space="0" w:color="auto"/>
        <w:bottom w:val="none" w:sz="0" w:space="0" w:color="auto"/>
        <w:right w:val="none" w:sz="0" w:space="0" w:color="auto"/>
      </w:divBdr>
    </w:div>
    <w:div w:id="1463157160">
      <w:bodyDiv w:val="1"/>
      <w:marLeft w:val="0"/>
      <w:marRight w:val="0"/>
      <w:marTop w:val="0"/>
      <w:marBottom w:val="0"/>
      <w:divBdr>
        <w:top w:val="none" w:sz="0" w:space="0" w:color="auto"/>
        <w:left w:val="none" w:sz="0" w:space="0" w:color="auto"/>
        <w:bottom w:val="none" w:sz="0" w:space="0" w:color="auto"/>
        <w:right w:val="none" w:sz="0" w:space="0" w:color="auto"/>
      </w:divBdr>
    </w:div>
    <w:div w:id="1463889397">
      <w:bodyDiv w:val="1"/>
      <w:marLeft w:val="0"/>
      <w:marRight w:val="0"/>
      <w:marTop w:val="0"/>
      <w:marBottom w:val="0"/>
      <w:divBdr>
        <w:top w:val="none" w:sz="0" w:space="0" w:color="auto"/>
        <w:left w:val="none" w:sz="0" w:space="0" w:color="auto"/>
        <w:bottom w:val="none" w:sz="0" w:space="0" w:color="auto"/>
        <w:right w:val="none" w:sz="0" w:space="0" w:color="auto"/>
      </w:divBdr>
    </w:div>
    <w:div w:id="1464344357">
      <w:bodyDiv w:val="1"/>
      <w:marLeft w:val="0"/>
      <w:marRight w:val="0"/>
      <w:marTop w:val="0"/>
      <w:marBottom w:val="0"/>
      <w:divBdr>
        <w:top w:val="none" w:sz="0" w:space="0" w:color="auto"/>
        <w:left w:val="none" w:sz="0" w:space="0" w:color="auto"/>
        <w:bottom w:val="none" w:sz="0" w:space="0" w:color="auto"/>
        <w:right w:val="none" w:sz="0" w:space="0" w:color="auto"/>
      </w:divBdr>
    </w:div>
    <w:div w:id="1464811299">
      <w:bodyDiv w:val="1"/>
      <w:marLeft w:val="0"/>
      <w:marRight w:val="0"/>
      <w:marTop w:val="0"/>
      <w:marBottom w:val="0"/>
      <w:divBdr>
        <w:top w:val="none" w:sz="0" w:space="0" w:color="auto"/>
        <w:left w:val="none" w:sz="0" w:space="0" w:color="auto"/>
        <w:bottom w:val="none" w:sz="0" w:space="0" w:color="auto"/>
        <w:right w:val="none" w:sz="0" w:space="0" w:color="auto"/>
      </w:divBdr>
    </w:div>
    <w:div w:id="1464932151">
      <w:bodyDiv w:val="1"/>
      <w:marLeft w:val="0"/>
      <w:marRight w:val="0"/>
      <w:marTop w:val="0"/>
      <w:marBottom w:val="0"/>
      <w:divBdr>
        <w:top w:val="none" w:sz="0" w:space="0" w:color="auto"/>
        <w:left w:val="none" w:sz="0" w:space="0" w:color="auto"/>
        <w:bottom w:val="none" w:sz="0" w:space="0" w:color="auto"/>
        <w:right w:val="none" w:sz="0" w:space="0" w:color="auto"/>
      </w:divBdr>
    </w:div>
    <w:div w:id="1465002900">
      <w:bodyDiv w:val="1"/>
      <w:marLeft w:val="0"/>
      <w:marRight w:val="0"/>
      <w:marTop w:val="0"/>
      <w:marBottom w:val="0"/>
      <w:divBdr>
        <w:top w:val="none" w:sz="0" w:space="0" w:color="auto"/>
        <w:left w:val="none" w:sz="0" w:space="0" w:color="auto"/>
        <w:bottom w:val="none" w:sz="0" w:space="0" w:color="auto"/>
        <w:right w:val="none" w:sz="0" w:space="0" w:color="auto"/>
      </w:divBdr>
    </w:div>
    <w:div w:id="1467897747">
      <w:bodyDiv w:val="1"/>
      <w:marLeft w:val="0"/>
      <w:marRight w:val="0"/>
      <w:marTop w:val="0"/>
      <w:marBottom w:val="0"/>
      <w:divBdr>
        <w:top w:val="none" w:sz="0" w:space="0" w:color="auto"/>
        <w:left w:val="none" w:sz="0" w:space="0" w:color="auto"/>
        <w:bottom w:val="none" w:sz="0" w:space="0" w:color="auto"/>
        <w:right w:val="none" w:sz="0" w:space="0" w:color="auto"/>
      </w:divBdr>
    </w:div>
    <w:div w:id="1468162224">
      <w:bodyDiv w:val="1"/>
      <w:marLeft w:val="0"/>
      <w:marRight w:val="0"/>
      <w:marTop w:val="0"/>
      <w:marBottom w:val="0"/>
      <w:divBdr>
        <w:top w:val="none" w:sz="0" w:space="0" w:color="auto"/>
        <w:left w:val="none" w:sz="0" w:space="0" w:color="auto"/>
        <w:bottom w:val="none" w:sz="0" w:space="0" w:color="auto"/>
        <w:right w:val="none" w:sz="0" w:space="0" w:color="auto"/>
      </w:divBdr>
    </w:div>
    <w:div w:id="1468475254">
      <w:bodyDiv w:val="1"/>
      <w:marLeft w:val="0"/>
      <w:marRight w:val="0"/>
      <w:marTop w:val="0"/>
      <w:marBottom w:val="0"/>
      <w:divBdr>
        <w:top w:val="none" w:sz="0" w:space="0" w:color="auto"/>
        <w:left w:val="none" w:sz="0" w:space="0" w:color="auto"/>
        <w:bottom w:val="none" w:sz="0" w:space="0" w:color="auto"/>
        <w:right w:val="none" w:sz="0" w:space="0" w:color="auto"/>
      </w:divBdr>
    </w:div>
    <w:div w:id="1479878838">
      <w:bodyDiv w:val="1"/>
      <w:marLeft w:val="0"/>
      <w:marRight w:val="0"/>
      <w:marTop w:val="0"/>
      <w:marBottom w:val="0"/>
      <w:divBdr>
        <w:top w:val="none" w:sz="0" w:space="0" w:color="auto"/>
        <w:left w:val="none" w:sz="0" w:space="0" w:color="auto"/>
        <w:bottom w:val="none" w:sz="0" w:space="0" w:color="auto"/>
        <w:right w:val="none" w:sz="0" w:space="0" w:color="auto"/>
      </w:divBdr>
    </w:div>
    <w:div w:id="1480726850">
      <w:bodyDiv w:val="1"/>
      <w:marLeft w:val="0"/>
      <w:marRight w:val="0"/>
      <w:marTop w:val="0"/>
      <w:marBottom w:val="0"/>
      <w:divBdr>
        <w:top w:val="none" w:sz="0" w:space="0" w:color="auto"/>
        <w:left w:val="none" w:sz="0" w:space="0" w:color="auto"/>
        <w:bottom w:val="none" w:sz="0" w:space="0" w:color="auto"/>
        <w:right w:val="none" w:sz="0" w:space="0" w:color="auto"/>
      </w:divBdr>
    </w:div>
    <w:div w:id="1485119516">
      <w:bodyDiv w:val="1"/>
      <w:marLeft w:val="0"/>
      <w:marRight w:val="0"/>
      <w:marTop w:val="0"/>
      <w:marBottom w:val="0"/>
      <w:divBdr>
        <w:top w:val="none" w:sz="0" w:space="0" w:color="auto"/>
        <w:left w:val="none" w:sz="0" w:space="0" w:color="auto"/>
        <w:bottom w:val="none" w:sz="0" w:space="0" w:color="auto"/>
        <w:right w:val="none" w:sz="0" w:space="0" w:color="auto"/>
      </w:divBdr>
    </w:div>
    <w:div w:id="1486893518">
      <w:bodyDiv w:val="1"/>
      <w:marLeft w:val="0"/>
      <w:marRight w:val="0"/>
      <w:marTop w:val="0"/>
      <w:marBottom w:val="0"/>
      <w:divBdr>
        <w:top w:val="none" w:sz="0" w:space="0" w:color="auto"/>
        <w:left w:val="none" w:sz="0" w:space="0" w:color="auto"/>
        <w:bottom w:val="none" w:sz="0" w:space="0" w:color="auto"/>
        <w:right w:val="none" w:sz="0" w:space="0" w:color="auto"/>
      </w:divBdr>
    </w:div>
    <w:div w:id="1489587557">
      <w:bodyDiv w:val="1"/>
      <w:marLeft w:val="0"/>
      <w:marRight w:val="0"/>
      <w:marTop w:val="0"/>
      <w:marBottom w:val="0"/>
      <w:divBdr>
        <w:top w:val="none" w:sz="0" w:space="0" w:color="auto"/>
        <w:left w:val="none" w:sz="0" w:space="0" w:color="auto"/>
        <w:bottom w:val="none" w:sz="0" w:space="0" w:color="auto"/>
        <w:right w:val="none" w:sz="0" w:space="0" w:color="auto"/>
      </w:divBdr>
    </w:div>
    <w:div w:id="1489860091">
      <w:bodyDiv w:val="1"/>
      <w:marLeft w:val="0"/>
      <w:marRight w:val="0"/>
      <w:marTop w:val="0"/>
      <w:marBottom w:val="0"/>
      <w:divBdr>
        <w:top w:val="none" w:sz="0" w:space="0" w:color="auto"/>
        <w:left w:val="none" w:sz="0" w:space="0" w:color="auto"/>
        <w:bottom w:val="none" w:sz="0" w:space="0" w:color="auto"/>
        <w:right w:val="none" w:sz="0" w:space="0" w:color="auto"/>
      </w:divBdr>
    </w:div>
    <w:div w:id="1496606663">
      <w:bodyDiv w:val="1"/>
      <w:marLeft w:val="0"/>
      <w:marRight w:val="0"/>
      <w:marTop w:val="0"/>
      <w:marBottom w:val="0"/>
      <w:divBdr>
        <w:top w:val="none" w:sz="0" w:space="0" w:color="auto"/>
        <w:left w:val="none" w:sz="0" w:space="0" w:color="auto"/>
        <w:bottom w:val="none" w:sz="0" w:space="0" w:color="auto"/>
        <w:right w:val="none" w:sz="0" w:space="0" w:color="auto"/>
      </w:divBdr>
    </w:div>
    <w:div w:id="1496727980">
      <w:bodyDiv w:val="1"/>
      <w:marLeft w:val="0"/>
      <w:marRight w:val="0"/>
      <w:marTop w:val="0"/>
      <w:marBottom w:val="0"/>
      <w:divBdr>
        <w:top w:val="none" w:sz="0" w:space="0" w:color="auto"/>
        <w:left w:val="none" w:sz="0" w:space="0" w:color="auto"/>
        <w:bottom w:val="none" w:sz="0" w:space="0" w:color="auto"/>
        <w:right w:val="none" w:sz="0" w:space="0" w:color="auto"/>
      </w:divBdr>
    </w:div>
    <w:div w:id="1497106760">
      <w:bodyDiv w:val="1"/>
      <w:marLeft w:val="0"/>
      <w:marRight w:val="0"/>
      <w:marTop w:val="0"/>
      <w:marBottom w:val="0"/>
      <w:divBdr>
        <w:top w:val="none" w:sz="0" w:space="0" w:color="auto"/>
        <w:left w:val="none" w:sz="0" w:space="0" w:color="auto"/>
        <w:bottom w:val="none" w:sz="0" w:space="0" w:color="auto"/>
        <w:right w:val="none" w:sz="0" w:space="0" w:color="auto"/>
      </w:divBdr>
    </w:div>
    <w:div w:id="1497988249">
      <w:bodyDiv w:val="1"/>
      <w:marLeft w:val="0"/>
      <w:marRight w:val="0"/>
      <w:marTop w:val="0"/>
      <w:marBottom w:val="0"/>
      <w:divBdr>
        <w:top w:val="none" w:sz="0" w:space="0" w:color="auto"/>
        <w:left w:val="none" w:sz="0" w:space="0" w:color="auto"/>
        <w:bottom w:val="none" w:sz="0" w:space="0" w:color="auto"/>
        <w:right w:val="none" w:sz="0" w:space="0" w:color="auto"/>
      </w:divBdr>
    </w:div>
    <w:div w:id="1498837750">
      <w:bodyDiv w:val="1"/>
      <w:marLeft w:val="0"/>
      <w:marRight w:val="0"/>
      <w:marTop w:val="0"/>
      <w:marBottom w:val="0"/>
      <w:divBdr>
        <w:top w:val="none" w:sz="0" w:space="0" w:color="auto"/>
        <w:left w:val="none" w:sz="0" w:space="0" w:color="auto"/>
        <w:bottom w:val="none" w:sz="0" w:space="0" w:color="auto"/>
        <w:right w:val="none" w:sz="0" w:space="0" w:color="auto"/>
      </w:divBdr>
    </w:div>
    <w:div w:id="1501702201">
      <w:bodyDiv w:val="1"/>
      <w:marLeft w:val="0"/>
      <w:marRight w:val="0"/>
      <w:marTop w:val="0"/>
      <w:marBottom w:val="0"/>
      <w:divBdr>
        <w:top w:val="none" w:sz="0" w:space="0" w:color="auto"/>
        <w:left w:val="none" w:sz="0" w:space="0" w:color="auto"/>
        <w:bottom w:val="none" w:sz="0" w:space="0" w:color="auto"/>
        <w:right w:val="none" w:sz="0" w:space="0" w:color="auto"/>
      </w:divBdr>
    </w:div>
    <w:div w:id="1501968179">
      <w:bodyDiv w:val="1"/>
      <w:marLeft w:val="0"/>
      <w:marRight w:val="0"/>
      <w:marTop w:val="0"/>
      <w:marBottom w:val="0"/>
      <w:divBdr>
        <w:top w:val="none" w:sz="0" w:space="0" w:color="auto"/>
        <w:left w:val="none" w:sz="0" w:space="0" w:color="auto"/>
        <w:bottom w:val="none" w:sz="0" w:space="0" w:color="auto"/>
        <w:right w:val="none" w:sz="0" w:space="0" w:color="auto"/>
      </w:divBdr>
    </w:div>
    <w:div w:id="1505515511">
      <w:bodyDiv w:val="1"/>
      <w:marLeft w:val="0"/>
      <w:marRight w:val="0"/>
      <w:marTop w:val="0"/>
      <w:marBottom w:val="0"/>
      <w:divBdr>
        <w:top w:val="none" w:sz="0" w:space="0" w:color="auto"/>
        <w:left w:val="none" w:sz="0" w:space="0" w:color="auto"/>
        <w:bottom w:val="none" w:sz="0" w:space="0" w:color="auto"/>
        <w:right w:val="none" w:sz="0" w:space="0" w:color="auto"/>
      </w:divBdr>
    </w:div>
    <w:div w:id="1506358893">
      <w:bodyDiv w:val="1"/>
      <w:marLeft w:val="0"/>
      <w:marRight w:val="0"/>
      <w:marTop w:val="0"/>
      <w:marBottom w:val="0"/>
      <w:divBdr>
        <w:top w:val="none" w:sz="0" w:space="0" w:color="auto"/>
        <w:left w:val="none" w:sz="0" w:space="0" w:color="auto"/>
        <w:bottom w:val="none" w:sz="0" w:space="0" w:color="auto"/>
        <w:right w:val="none" w:sz="0" w:space="0" w:color="auto"/>
      </w:divBdr>
    </w:div>
    <w:div w:id="1507093011">
      <w:bodyDiv w:val="1"/>
      <w:marLeft w:val="0"/>
      <w:marRight w:val="0"/>
      <w:marTop w:val="0"/>
      <w:marBottom w:val="0"/>
      <w:divBdr>
        <w:top w:val="none" w:sz="0" w:space="0" w:color="auto"/>
        <w:left w:val="none" w:sz="0" w:space="0" w:color="auto"/>
        <w:bottom w:val="none" w:sz="0" w:space="0" w:color="auto"/>
        <w:right w:val="none" w:sz="0" w:space="0" w:color="auto"/>
      </w:divBdr>
    </w:div>
    <w:div w:id="1508443099">
      <w:bodyDiv w:val="1"/>
      <w:marLeft w:val="0"/>
      <w:marRight w:val="0"/>
      <w:marTop w:val="0"/>
      <w:marBottom w:val="0"/>
      <w:divBdr>
        <w:top w:val="none" w:sz="0" w:space="0" w:color="auto"/>
        <w:left w:val="none" w:sz="0" w:space="0" w:color="auto"/>
        <w:bottom w:val="none" w:sz="0" w:space="0" w:color="auto"/>
        <w:right w:val="none" w:sz="0" w:space="0" w:color="auto"/>
      </w:divBdr>
    </w:div>
    <w:div w:id="1510831206">
      <w:bodyDiv w:val="1"/>
      <w:marLeft w:val="0"/>
      <w:marRight w:val="0"/>
      <w:marTop w:val="0"/>
      <w:marBottom w:val="0"/>
      <w:divBdr>
        <w:top w:val="none" w:sz="0" w:space="0" w:color="auto"/>
        <w:left w:val="none" w:sz="0" w:space="0" w:color="auto"/>
        <w:bottom w:val="none" w:sz="0" w:space="0" w:color="auto"/>
        <w:right w:val="none" w:sz="0" w:space="0" w:color="auto"/>
      </w:divBdr>
    </w:div>
    <w:div w:id="1510875938">
      <w:bodyDiv w:val="1"/>
      <w:marLeft w:val="0"/>
      <w:marRight w:val="0"/>
      <w:marTop w:val="0"/>
      <w:marBottom w:val="0"/>
      <w:divBdr>
        <w:top w:val="none" w:sz="0" w:space="0" w:color="auto"/>
        <w:left w:val="none" w:sz="0" w:space="0" w:color="auto"/>
        <w:bottom w:val="none" w:sz="0" w:space="0" w:color="auto"/>
        <w:right w:val="none" w:sz="0" w:space="0" w:color="auto"/>
      </w:divBdr>
    </w:div>
    <w:div w:id="1515457807">
      <w:bodyDiv w:val="1"/>
      <w:marLeft w:val="0"/>
      <w:marRight w:val="0"/>
      <w:marTop w:val="0"/>
      <w:marBottom w:val="0"/>
      <w:divBdr>
        <w:top w:val="none" w:sz="0" w:space="0" w:color="auto"/>
        <w:left w:val="none" w:sz="0" w:space="0" w:color="auto"/>
        <w:bottom w:val="none" w:sz="0" w:space="0" w:color="auto"/>
        <w:right w:val="none" w:sz="0" w:space="0" w:color="auto"/>
      </w:divBdr>
    </w:div>
    <w:div w:id="1515654187">
      <w:bodyDiv w:val="1"/>
      <w:marLeft w:val="0"/>
      <w:marRight w:val="0"/>
      <w:marTop w:val="0"/>
      <w:marBottom w:val="0"/>
      <w:divBdr>
        <w:top w:val="none" w:sz="0" w:space="0" w:color="auto"/>
        <w:left w:val="none" w:sz="0" w:space="0" w:color="auto"/>
        <w:bottom w:val="none" w:sz="0" w:space="0" w:color="auto"/>
        <w:right w:val="none" w:sz="0" w:space="0" w:color="auto"/>
      </w:divBdr>
    </w:div>
    <w:div w:id="1519929104">
      <w:bodyDiv w:val="1"/>
      <w:marLeft w:val="0"/>
      <w:marRight w:val="0"/>
      <w:marTop w:val="0"/>
      <w:marBottom w:val="0"/>
      <w:divBdr>
        <w:top w:val="none" w:sz="0" w:space="0" w:color="auto"/>
        <w:left w:val="none" w:sz="0" w:space="0" w:color="auto"/>
        <w:bottom w:val="none" w:sz="0" w:space="0" w:color="auto"/>
        <w:right w:val="none" w:sz="0" w:space="0" w:color="auto"/>
      </w:divBdr>
    </w:div>
    <w:div w:id="1520896623">
      <w:bodyDiv w:val="1"/>
      <w:marLeft w:val="0"/>
      <w:marRight w:val="0"/>
      <w:marTop w:val="0"/>
      <w:marBottom w:val="0"/>
      <w:divBdr>
        <w:top w:val="none" w:sz="0" w:space="0" w:color="auto"/>
        <w:left w:val="none" w:sz="0" w:space="0" w:color="auto"/>
        <w:bottom w:val="none" w:sz="0" w:space="0" w:color="auto"/>
        <w:right w:val="none" w:sz="0" w:space="0" w:color="auto"/>
      </w:divBdr>
    </w:div>
    <w:div w:id="1522013705">
      <w:bodyDiv w:val="1"/>
      <w:marLeft w:val="0"/>
      <w:marRight w:val="0"/>
      <w:marTop w:val="0"/>
      <w:marBottom w:val="0"/>
      <w:divBdr>
        <w:top w:val="none" w:sz="0" w:space="0" w:color="auto"/>
        <w:left w:val="none" w:sz="0" w:space="0" w:color="auto"/>
        <w:bottom w:val="none" w:sz="0" w:space="0" w:color="auto"/>
        <w:right w:val="none" w:sz="0" w:space="0" w:color="auto"/>
      </w:divBdr>
    </w:div>
    <w:div w:id="1522624405">
      <w:bodyDiv w:val="1"/>
      <w:marLeft w:val="0"/>
      <w:marRight w:val="0"/>
      <w:marTop w:val="0"/>
      <w:marBottom w:val="0"/>
      <w:divBdr>
        <w:top w:val="none" w:sz="0" w:space="0" w:color="auto"/>
        <w:left w:val="none" w:sz="0" w:space="0" w:color="auto"/>
        <w:bottom w:val="none" w:sz="0" w:space="0" w:color="auto"/>
        <w:right w:val="none" w:sz="0" w:space="0" w:color="auto"/>
      </w:divBdr>
    </w:div>
    <w:div w:id="1524661678">
      <w:bodyDiv w:val="1"/>
      <w:marLeft w:val="0"/>
      <w:marRight w:val="0"/>
      <w:marTop w:val="0"/>
      <w:marBottom w:val="0"/>
      <w:divBdr>
        <w:top w:val="none" w:sz="0" w:space="0" w:color="auto"/>
        <w:left w:val="none" w:sz="0" w:space="0" w:color="auto"/>
        <w:bottom w:val="none" w:sz="0" w:space="0" w:color="auto"/>
        <w:right w:val="none" w:sz="0" w:space="0" w:color="auto"/>
      </w:divBdr>
    </w:div>
    <w:div w:id="1525440768">
      <w:bodyDiv w:val="1"/>
      <w:marLeft w:val="0"/>
      <w:marRight w:val="0"/>
      <w:marTop w:val="0"/>
      <w:marBottom w:val="0"/>
      <w:divBdr>
        <w:top w:val="none" w:sz="0" w:space="0" w:color="auto"/>
        <w:left w:val="none" w:sz="0" w:space="0" w:color="auto"/>
        <w:bottom w:val="none" w:sz="0" w:space="0" w:color="auto"/>
        <w:right w:val="none" w:sz="0" w:space="0" w:color="auto"/>
      </w:divBdr>
    </w:div>
    <w:div w:id="1527451131">
      <w:bodyDiv w:val="1"/>
      <w:marLeft w:val="0"/>
      <w:marRight w:val="0"/>
      <w:marTop w:val="0"/>
      <w:marBottom w:val="0"/>
      <w:divBdr>
        <w:top w:val="none" w:sz="0" w:space="0" w:color="auto"/>
        <w:left w:val="none" w:sz="0" w:space="0" w:color="auto"/>
        <w:bottom w:val="none" w:sz="0" w:space="0" w:color="auto"/>
        <w:right w:val="none" w:sz="0" w:space="0" w:color="auto"/>
      </w:divBdr>
    </w:div>
    <w:div w:id="1529484007">
      <w:bodyDiv w:val="1"/>
      <w:marLeft w:val="0"/>
      <w:marRight w:val="0"/>
      <w:marTop w:val="0"/>
      <w:marBottom w:val="0"/>
      <w:divBdr>
        <w:top w:val="none" w:sz="0" w:space="0" w:color="auto"/>
        <w:left w:val="none" w:sz="0" w:space="0" w:color="auto"/>
        <w:bottom w:val="none" w:sz="0" w:space="0" w:color="auto"/>
        <w:right w:val="none" w:sz="0" w:space="0" w:color="auto"/>
      </w:divBdr>
    </w:div>
    <w:div w:id="1530604111">
      <w:bodyDiv w:val="1"/>
      <w:marLeft w:val="0"/>
      <w:marRight w:val="0"/>
      <w:marTop w:val="0"/>
      <w:marBottom w:val="0"/>
      <w:divBdr>
        <w:top w:val="none" w:sz="0" w:space="0" w:color="auto"/>
        <w:left w:val="none" w:sz="0" w:space="0" w:color="auto"/>
        <w:bottom w:val="none" w:sz="0" w:space="0" w:color="auto"/>
        <w:right w:val="none" w:sz="0" w:space="0" w:color="auto"/>
      </w:divBdr>
    </w:div>
    <w:div w:id="1534071215">
      <w:bodyDiv w:val="1"/>
      <w:marLeft w:val="0"/>
      <w:marRight w:val="0"/>
      <w:marTop w:val="0"/>
      <w:marBottom w:val="0"/>
      <w:divBdr>
        <w:top w:val="none" w:sz="0" w:space="0" w:color="auto"/>
        <w:left w:val="none" w:sz="0" w:space="0" w:color="auto"/>
        <w:bottom w:val="none" w:sz="0" w:space="0" w:color="auto"/>
        <w:right w:val="none" w:sz="0" w:space="0" w:color="auto"/>
      </w:divBdr>
    </w:div>
    <w:div w:id="1535313208">
      <w:bodyDiv w:val="1"/>
      <w:marLeft w:val="0"/>
      <w:marRight w:val="0"/>
      <w:marTop w:val="0"/>
      <w:marBottom w:val="0"/>
      <w:divBdr>
        <w:top w:val="none" w:sz="0" w:space="0" w:color="auto"/>
        <w:left w:val="none" w:sz="0" w:space="0" w:color="auto"/>
        <w:bottom w:val="none" w:sz="0" w:space="0" w:color="auto"/>
        <w:right w:val="none" w:sz="0" w:space="0" w:color="auto"/>
      </w:divBdr>
    </w:div>
    <w:div w:id="1535388840">
      <w:bodyDiv w:val="1"/>
      <w:marLeft w:val="0"/>
      <w:marRight w:val="0"/>
      <w:marTop w:val="0"/>
      <w:marBottom w:val="0"/>
      <w:divBdr>
        <w:top w:val="none" w:sz="0" w:space="0" w:color="auto"/>
        <w:left w:val="none" w:sz="0" w:space="0" w:color="auto"/>
        <w:bottom w:val="none" w:sz="0" w:space="0" w:color="auto"/>
        <w:right w:val="none" w:sz="0" w:space="0" w:color="auto"/>
      </w:divBdr>
    </w:div>
    <w:div w:id="1535772853">
      <w:bodyDiv w:val="1"/>
      <w:marLeft w:val="0"/>
      <w:marRight w:val="0"/>
      <w:marTop w:val="0"/>
      <w:marBottom w:val="0"/>
      <w:divBdr>
        <w:top w:val="none" w:sz="0" w:space="0" w:color="auto"/>
        <w:left w:val="none" w:sz="0" w:space="0" w:color="auto"/>
        <w:bottom w:val="none" w:sz="0" w:space="0" w:color="auto"/>
        <w:right w:val="none" w:sz="0" w:space="0" w:color="auto"/>
      </w:divBdr>
    </w:div>
    <w:div w:id="1537619706">
      <w:bodyDiv w:val="1"/>
      <w:marLeft w:val="0"/>
      <w:marRight w:val="0"/>
      <w:marTop w:val="0"/>
      <w:marBottom w:val="0"/>
      <w:divBdr>
        <w:top w:val="none" w:sz="0" w:space="0" w:color="auto"/>
        <w:left w:val="none" w:sz="0" w:space="0" w:color="auto"/>
        <w:bottom w:val="none" w:sz="0" w:space="0" w:color="auto"/>
        <w:right w:val="none" w:sz="0" w:space="0" w:color="auto"/>
      </w:divBdr>
    </w:div>
    <w:div w:id="1538617912">
      <w:bodyDiv w:val="1"/>
      <w:marLeft w:val="0"/>
      <w:marRight w:val="0"/>
      <w:marTop w:val="0"/>
      <w:marBottom w:val="0"/>
      <w:divBdr>
        <w:top w:val="none" w:sz="0" w:space="0" w:color="auto"/>
        <w:left w:val="none" w:sz="0" w:space="0" w:color="auto"/>
        <w:bottom w:val="none" w:sz="0" w:space="0" w:color="auto"/>
        <w:right w:val="none" w:sz="0" w:space="0" w:color="auto"/>
      </w:divBdr>
    </w:div>
    <w:div w:id="1538852660">
      <w:bodyDiv w:val="1"/>
      <w:marLeft w:val="0"/>
      <w:marRight w:val="0"/>
      <w:marTop w:val="0"/>
      <w:marBottom w:val="0"/>
      <w:divBdr>
        <w:top w:val="none" w:sz="0" w:space="0" w:color="auto"/>
        <w:left w:val="none" w:sz="0" w:space="0" w:color="auto"/>
        <w:bottom w:val="none" w:sz="0" w:space="0" w:color="auto"/>
        <w:right w:val="none" w:sz="0" w:space="0" w:color="auto"/>
      </w:divBdr>
    </w:div>
    <w:div w:id="1539009026">
      <w:bodyDiv w:val="1"/>
      <w:marLeft w:val="0"/>
      <w:marRight w:val="0"/>
      <w:marTop w:val="0"/>
      <w:marBottom w:val="0"/>
      <w:divBdr>
        <w:top w:val="none" w:sz="0" w:space="0" w:color="auto"/>
        <w:left w:val="none" w:sz="0" w:space="0" w:color="auto"/>
        <w:bottom w:val="none" w:sz="0" w:space="0" w:color="auto"/>
        <w:right w:val="none" w:sz="0" w:space="0" w:color="auto"/>
      </w:divBdr>
    </w:div>
    <w:div w:id="1540048388">
      <w:bodyDiv w:val="1"/>
      <w:marLeft w:val="0"/>
      <w:marRight w:val="0"/>
      <w:marTop w:val="0"/>
      <w:marBottom w:val="0"/>
      <w:divBdr>
        <w:top w:val="none" w:sz="0" w:space="0" w:color="auto"/>
        <w:left w:val="none" w:sz="0" w:space="0" w:color="auto"/>
        <w:bottom w:val="none" w:sz="0" w:space="0" w:color="auto"/>
        <w:right w:val="none" w:sz="0" w:space="0" w:color="auto"/>
      </w:divBdr>
    </w:div>
    <w:div w:id="1542132191">
      <w:bodyDiv w:val="1"/>
      <w:marLeft w:val="0"/>
      <w:marRight w:val="0"/>
      <w:marTop w:val="0"/>
      <w:marBottom w:val="0"/>
      <w:divBdr>
        <w:top w:val="none" w:sz="0" w:space="0" w:color="auto"/>
        <w:left w:val="none" w:sz="0" w:space="0" w:color="auto"/>
        <w:bottom w:val="none" w:sz="0" w:space="0" w:color="auto"/>
        <w:right w:val="none" w:sz="0" w:space="0" w:color="auto"/>
      </w:divBdr>
    </w:div>
    <w:div w:id="1542136118">
      <w:bodyDiv w:val="1"/>
      <w:marLeft w:val="0"/>
      <w:marRight w:val="0"/>
      <w:marTop w:val="0"/>
      <w:marBottom w:val="0"/>
      <w:divBdr>
        <w:top w:val="none" w:sz="0" w:space="0" w:color="auto"/>
        <w:left w:val="none" w:sz="0" w:space="0" w:color="auto"/>
        <w:bottom w:val="none" w:sz="0" w:space="0" w:color="auto"/>
        <w:right w:val="none" w:sz="0" w:space="0" w:color="auto"/>
      </w:divBdr>
    </w:div>
    <w:div w:id="1546138369">
      <w:bodyDiv w:val="1"/>
      <w:marLeft w:val="0"/>
      <w:marRight w:val="0"/>
      <w:marTop w:val="0"/>
      <w:marBottom w:val="0"/>
      <w:divBdr>
        <w:top w:val="none" w:sz="0" w:space="0" w:color="auto"/>
        <w:left w:val="none" w:sz="0" w:space="0" w:color="auto"/>
        <w:bottom w:val="none" w:sz="0" w:space="0" w:color="auto"/>
        <w:right w:val="none" w:sz="0" w:space="0" w:color="auto"/>
      </w:divBdr>
    </w:div>
    <w:div w:id="1550334779">
      <w:bodyDiv w:val="1"/>
      <w:marLeft w:val="0"/>
      <w:marRight w:val="0"/>
      <w:marTop w:val="0"/>
      <w:marBottom w:val="0"/>
      <w:divBdr>
        <w:top w:val="none" w:sz="0" w:space="0" w:color="auto"/>
        <w:left w:val="none" w:sz="0" w:space="0" w:color="auto"/>
        <w:bottom w:val="none" w:sz="0" w:space="0" w:color="auto"/>
        <w:right w:val="none" w:sz="0" w:space="0" w:color="auto"/>
      </w:divBdr>
    </w:div>
    <w:div w:id="1553157886">
      <w:bodyDiv w:val="1"/>
      <w:marLeft w:val="0"/>
      <w:marRight w:val="0"/>
      <w:marTop w:val="0"/>
      <w:marBottom w:val="0"/>
      <w:divBdr>
        <w:top w:val="none" w:sz="0" w:space="0" w:color="auto"/>
        <w:left w:val="none" w:sz="0" w:space="0" w:color="auto"/>
        <w:bottom w:val="none" w:sz="0" w:space="0" w:color="auto"/>
        <w:right w:val="none" w:sz="0" w:space="0" w:color="auto"/>
      </w:divBdr>
    </w:div>
    <w:div w:id="1553469465">
      <w:bodyDiv w:val="1"/>
      <w:marLeft w:val="0"/>
      <w:marRight w:val="0"/>
      <w:marTop w:val="0"/>
      <w:marBottom w:val="0"/>
      <w:divBdr>
        <w:top w:val="none" w:sz="0" w:space="0" w:color="auto"/>
        <w:left w:val="none" w:sz="0" w:space="0" w:color="auto"/>
        <w:bottom w:val="none" w:sz="0" w:space="0" w:color="auto"/>
        <w:right w:val="none" w:sz="0" w:space="0" w:color="auto"/>
      </w:divBdr>
    </w:div>
    <w:div w:id="1554391679">
      <w:bodyDiv w:val="1"/>
      <w:marLeft w:val="0"/>
      <w:marRight w:val="0"/>
      <w:marTop w:val="0"/>
      <w:marBottom w:val="0"/>
      <w:divBdr>
        <w:top w:val="none" w:sz="0" w:space="0" w:color="auto"/>
        <w:left w:val="none" w:sz="0" w:space="0" w:color="auto"/>
        <w:bottom w:val="none" w:sz="0" w:space="0" w:color="auto"/>
        <w:right w:val="none" w:sz="0" w:space="0" w:color="auto"/>
      </w:divBdr>
    </w:div>
    <w:div w:id="1555196144">
      <w:bodyDiv w:val="1"/>
      <w:marLeft w:val="0"/>
      <w:marRight w:val="0"/>
      <w:marTop w:val="0"/>
      <w:marBottom w:val="0"/>
      <w:divBdr>
        <w:top w:val="none" w:sz="0" w:space="0" w:color="auto"/>
        <w:left w:val="none" w:sz="0" w:space="0" w:color="auto"/>
        <w:bottom w:val="none" w:sz="0" w:space="0" w:color="auto"/>
        <w:right w:val="none" w:sz="0" w:space="0" w:color="auto"/>
      </w:divBdr>
    </w:div>
    <w:div w:id="1557011109">
      <w:bodyDiv w:val="1"/>
      <w:marLeft w:val="0"/>
      <w:marRight w:val="0"/>
      <w:marTop w:val="0"/>
      <w:marBottom w:val="0"/>
      <w:divBdr>
        <w:top w:val="none" w:sz="0" w:space="0" w:color="auto"/>
        <w:left w:val="none" w:sz="0" w:space="0" w:color="auto"/>
        <w:bottom w:val="none" w:sz="0" w:space="0" w:color="auto"/>
        <w:right w:val="none" w:sz="0" w:space="0" w:color="auto"/>
      </w:divBdr>
    </w:div>
    <w:div w:id="1557551228">
      <w:bodyDiv w:val="1"/>
      <w:marLeft w:val="0"/>
      <w:marRight w:val="0"/>
      <w:marTop w:val="0"/>
      <w:marBottom w:val="0"/>
      <w:divBdr>
        <w:top w:val="none" w:sz="0" w:space="0" w:color="auto"/>
        <w:left w:val="none" w:sz="0" w:space="0" w:color="auto"/>
        <w:bottom w:val="none" w:sz="0" w:space="0" w:color="auto"/>
        <w:right w:val="none" w:sz="0" w:space="0" w:color="auto"/>
      </w:divBdr>
    </w:div>
    <w:div w:id="1559245232">
      <w:bodyDiv w:val="1"/>
      <w:marLeft w:val="0"/>
      <w:marRight w:val="0"/>
      <w:marTop w:val="0"/>
      <w:marBottom w:val="0"/>
      <w:divBdr>
        <w:top w:val="none" w:sz="0" w:space="0" w:color="auto"/>
        <w:left w:val="none" w:sz="0" w:space="0" w:color="auto"/>
        <w:bottom w:val="none" w:sz="0" w:space="0" w:color="auto"/>
        <w:right w:val="none" w:sz="0" w:space="0" w:color="auto"/>
      </w:divBdr>
    </w:div>
    <w:div w:id="1560245625">
      <w:bodyDiv w:val="1"/>
      <w:marLeft w:val="0"/>
      <w:marRight w:val="0"/>
      <w:marTop w:val="0"/>
      <w:marBottom w:val="0"/>
      <w:divBdr>
        <w:top w:val="none" w:sz="0" w:space="0" w:color="auto"/>
        <w:left w:val="none" w:sz="0" w:space="0" w:color="auto"/>
        <w:bottom w:val="none" w:sz="0" w:space="0" w:color="auto"/>
        <w:right w:val="none" w:sz="0" w:space="0" w:color="auto"/>
      </w:divBdr>
    </w:div>
    <w:div w:id="1564490372">
      <w:bodyDiv w:val="1"/>
      <w:marLeft w:val="0"/>
      <w:marRight w:val="0"/>
      <w:marTop w:val="0"/>
      <w:marBottom w:val="0"/>
      <w:divBdr>
        <w:top w:val="none" w:sz="0" w:space="0" w:color="auto"/>
        <w:left w:val="none" w:sz="0" w:space="0" w:color="auto"/>
        <w:bottom w:val="none" w:sz="0" w:space="0" w:color="auto"/>
        <w:right w:val="none" w:sz="0" w:space="0" w:color="auto"/>
      </w:divBdr>
    </w:div>
    <w:div w:id="1564825468">
      <w:bodyDiv w:val="1"/>
      <w:marLeft w:val="0"/>
      <w:marRight w:val="0"/>
      <w:marTop w:val="0"/>
      <w:marBottom w:val="0"/>
      <w:divBdr>
        <w:top w:val="none" w:sz="0" w:space="0" w:color="auto"/>
        <w:left w:val="none" w:sz="0" w:space="0" w:color="auto"/>
        <w:bottom w:val="none" w:sz="0" w:space="0" w:color="auto"/>
        <w:right w:val="none" w:sz="0" w:space="0" w:color="auto"/>
      </w:divBdr>
    </w:div>
    <w:div w:id="1566405299">
      <w:bodyDiv w:val="1"/>
      <w:marLeft w:val="0"/>
      <w:marRight w:val="0"/>
      <w:marTop w:val="0"/>
      <w:marBottom w:val="0"/>
      <w:divBdr>
        <w:top w:val="none" w:sz="0" w:space="0" w:color="auto"/>
        <w:left w:val="none" w:sz="0" w:space="0" w:color="auto"/>
        <w:bottom w:val="none" w:sz="0" w:space="0" w:color="auto"/>
        <w:right w:val="none" w:sz="0" w:space="0" w:color="auto"/>
      </w:divBdr>
    </w:div>
    <w:div w:id="1566912992">
      <w:bodyDiv w:val="1"/>
      <w:marLeft w:val="0"/>
      <w:marRight w:val="0"/>
      <w:marTop w:val="0"/>
      <w:marBottom w:val="0"/>
      <w:divBdr>
        <w:top w:val="none" w:sz="0" w:space="0" w:color="auto"/>
        <w:left w:val="none" w:sz="0" w:space="0" w:color="auto"/>
        <w:bottom w:val="none" w:sz="0" w:space="0" w:color="auto"/>
        <w:right w:val="none" w:sz="0" w:space="0" w:color="auto"/>
      </w:divBdr>
    </w:div>
    <w:div w:id="1567766065">
      <w:bodyDiv w:val="1"/>
      <w:marLeft w:val="0"/>
      <w:marRight w:val="0"/>
      <w:marTop w:val="0"/>
      <w:marBottom w:val="0"/>
      <w:divBdr>
        <w:top w:val="none" w:sz="0" w:space="0" w:color="auto"/>
        <w:left w:val="none" w:sz="0" w:space="0" w:color="auto"/>
        <w:bottom w:val="none" w:sz="0" w:space="0" w:color="auto"/>
        <w:right w:val="none" w:sz="0" w:space="0" w:color="auto"/>
      </w:divBdr>
    </w:div>
    <w:div w:id="1568102608">
      <w:bodyDiv w:val="1"/>
      <w:marLeft w:val="0"/>
      <w:marRight w:val="0"/>
      <w:marTop w:val="0"/>
      <w:marBottom w:val="0"/>
      <w:divBdr>
        <w:top w:val="none" w:sz="0" w:space="0" w:color="auto"/>
        <w:left w:val="none" w:sz="0" w:space="0" w:color="auto"/>
        <w:bottom w:val="none" w:sz="0" w:space="0" w:color="auto"/>
        <w:right w:val="none" w:sz="0" w:space="0" w:color="auto"/>
      </w:divBdr>
    </w:div>
    <w:div w:id="1572228757">
      <w:bodyDiv w:val="1"/>
      <w:marLeft w:val="0"/>
      <w:marRight w:val="0"/>
      <w:marTop w:val="0"/>
      <w:marBottom w:val="0"/>
      <w:divBdr>
        <w:top w:val="none" w:sz="0" w:space="0" w:color="auto"/>
        <w:left w:val="none" w:sz="0" w:space="0" w:color="auto"/>
        <w:bottom w:val="none" w:sz="0" w:space="0" w:color="auto"/>
        <w:right w:val="none" w:sz="0" w:space="0" w:color="auto"/>
      </w:divBdr>
    </w:div>
    <w:div w:id="1572500469">
      <w:bodyDiv w:val="1"/>
      <w:marLeft w:val="0"/>
      <w:marRight w:val="0"/>
      <w:marTop w:val="0"/>
      <w:marBottom w:val="0"/>
      <w:divBdr>
        <w:top w:val="none" w:sz="0" w:space="0" w:color="auto"/>
        <w:left w:val="none" w:sz="0" w:space="0" w:color="auto"/>
        <w:bottom w:val="none" w:sz="0" w:space="0" w:color="auto"/>
        <w:right w:val="none" w:sz="0" w:space="0" w:color="auto"/>
      </w:divBdr>
    </w:div>
    <w:div w:id="1575236276">
      <w:bodyDiv w:val="1"/>
      <w:marLeft w:val="0"/>
      <w:marRight w:val="0"/>
      <w:marTop w:val="0"/>
      <w:marBottom w:val="0"/>
      <w:divBdr>
        <w:top w:val="none" w:sz="0" w:space="0" w:color="auto"/>
        <w:left w:val="none" w:sz="0" w:space="0" w:color="auto"/>
        <w:bottom w:val="none" w:sz="0" w:space="0" w:color="auto"/>
        <w:right w:val="none" w:sz="0" w:space="0" w:color="auto"/>
      </w:divBdr>
    </w:div>
    <w:div w:id="1577203758">
      <w:bodyDiv w:val="1"/>
      <w:marLeft w:val="0"/>
      <w:marRight w:val="0"/>
      <w:marTop w:val="0"/>
      <w:marBottom w:val="0"/>
      <w:divBdr>
        <w:top w:val="none" w:sz="0" w:space="0" w:color="auto"/>
        <w:left w:val="none" w:sz="0" w:space="0" w:color="auto"/>
        <w:bottom w:val="none" w:sz="0" w:space="0" w:color="auto"/>
        <w:right w:val="none" w:sz="0" w:space="0" w:color="auto"/>
      </w:divBdr>
    </w:div>
    <w:div w:id="1577589414">
      <w:bodyDiv w:val="1"/>
      <w:marLeft w:val="0"/>
      <w:marRight w:val="0"/>
      <w:marTop w:val="0"/>
      <w:marBottom w:val="0"/>
      <w:divBdr>
        <w:top w:val="none" w:sz="0" w:space="0" w:color="auto"/>
        <w:left w:val="none" w:sz="0" w:space="0" w:color="auto"/>
        <w:bottom w:val="none" w:sz="0" w:space="0" w:color="auto"/>
        <w:right w:val="none" w:sz="0" w:space="0" w:color="auto"/>
      </w:divBdr>
    </w:div>
    <w:div w:id="1578592113">
      <w:bodyDiv w:val="1"/>
      <w:marLeft w:val="0"/>
      <w:marRight w:val="0"/>
      <w:marTop w:val="0"/>
      <w:marBottom w:val="0"/>
      <w:divBdr>
        <w:top w:val="none" w:sz="0" w:space="0" w:color="auto"/>
        <w:left w:val="none" w:sz="0" w:space="0" w:color="auto"/>
        <w:bottom w:val="none" w:sz="0" w:space="0" w:color="auto"/>
        <w:right w:val="none" w:sz="0" w:space="0" w:color="auto"/>
      </w:divBdr>
    </w:div>
    <w:div w:id="1580097211">
      <w:bodyDiv w:val="1"/>
      <w:marLeft w:val="0"/>
      <w:marRight w:val="0"/>
      <w:marTop w:val="0"/>
      <w:marBottom w:val="0"/>
      <w:divBdr>
        <w:top w:val="none" w:sz="0" w:space="0" w:color="auto"/>
        <w:left w:val="none" w:sz="0" w:space="0" w:color="auto"/>
        <w:bottom w:val="none" w:sz="0" w:space="0" w:color="auto"/>
        <w:right w:val="none" w:sz="0" w:space="0" w:color="auto"/>
      </w:divBdr>
    </w:div>
    <w:div w:id="1581015121">
      <w:bodyDiv w:val="1"/>
      <w:marLeft w:val="0"/>
      <w:marRight w:val="0"/>
      <w:marTop w:val="0"/>
      <w:marBottom w:val="0"/>
      <w:divBdr>
        <w:top w:val="none" w:sz="0" w:space="0" w:color="auto"/>
        <w:left w:val="none" w:sz="0" w:space="0" w:color="auto"/>
        <w:bottom w:val="none" w:sz="0" w:space="0" w:color="auto"/>
        <w:right w:val="none" w:sz="0" w:space="0" w:color="auto"/>
      </w:divBdr>
    </w:div>
    <w:div w:id="1582250402">
      <w:bodyDiv w:val="1"/>
      <w:marLeft w:val="0"/>
      <w:marRight w:val="0"/>
      <w:marTop w:val="0"/>
      <w:marBottom w:val="0"/>
      <w:divBdr>
        <w:top w:val="none" w:sz="0" w:space="0" w:color="auto"/>
        <w:left w:val="none" w:sz="0" w:space="0" w:color="auto"/>
        <w:bottom w:val="none" w:sz="0" w:space="0" w:color="auto"/>
        <w:right w:val="none" w:sz="0" w:space="0" w:color="auto"/>
      </w:divBdr>
      <w:divsChild>
        <w:div w:id="53507520">
          <w:marLeft w:val="0"/>
          <w:marRight w:val="0"/>
          <w:marTop w:val="0"/>
          <w:marBottom w:val="0"/>
          <w:divBdr>
            <w:top w:val="none" w:sz="0" w:space="0" w:color="auto"/>
            <w:left w:val="none" w:sz="0" w:space="0" w:color="auto"/>
            <w:bottom w:val="none" w:sz="0" w:space="0" w:color="auto"/>
            <w:right w:val="none" w:sz="0" w:space="0" w:color="auto"/>
          </w:divBdr>
          <w:divsChild>
            <w:div w:id="20397170">
              <w:marLeft w:val="0"/>
              <w:marRight w:val="0"/>
              <w:marTop w:val="0"/>
              <w:marBottom w:val="0"/>
              <w:divBdr>
                <w:top w:val="none" w:sz="0" w:space="0" w:color="auto"/>
                <w:left w:val="none" w:sz="0" w:space="0" w:color="auto"/>
                <w:bottom w:val="none" w:sz="0" w:space="0" w:color="auto"/>
                <w:right w:val="none" w:sz="0" w:space="0" w:color="auto"/>
              </w:divBdr>
            </w:div>
          </w:divsChild>
        </w:div>
        <w:div w:id="64105506">
          <w:marLeft w:val="0"/>
          <w:marRight w:val="0"/>
          <w:marTop w:val="0"/>
          <w:marBottom w:val="0"/>
          <w:divBdr>
            <w:top w:val="none" w:sz="0" w:space="0" w:color="auto"/>
            <w:left w:val="none" w:sz="0" w:space="0" w:color="auto"/>
            <w:bottom w:val="none" w:sz="0" w:space="0" w:color="auto"/>
            <w:right w:val="none" w:sz="0" w:space="0" w:color="auto"/>
          </w:divBdr>
          <w:divsChild>
            <w:div w:id="1062410562">
              <w:marLeft w:val="0"/>
              <w:marRight w:val="0"/>
              <w:marTop w:val="0"/>
              <w:marBottom w:val="0"/>
              <w:divBdr>
                <w:top w:val="none" w:sz="0" w:space="0" w:color="auto"/>
                <w:left w:val="none" w:sz="0" w:space="0" w:color="auto"/>
                <w:bottom w:val="none" w:sz="0" w:space="0" w:color="auto"/>
                <w:right w:val="none" w:sz="0" w:space="0" w:color="auto"/>
              </w:divBdr>
            </w:div>
          </w:divsChild>
        </w:div>
        <w:div w:id="108397071">
          <w:marLeft w:val="0"/>
          <w:marRight w:val="0"/>
          <w:marTop w:val="0"/>
          <w:marBottom w:val="0"/>
          <w:divBdr>
            <w:top w:val="none" w:sz="0" w:space="0" w:color="auto"/>
            <w:left w:val="none" w:sz="0" w:space="0" w:color="auto"/>
            <w:bottom w:val="none" w:sz="0" w:space="0" w:color="auto"/>
            <w:right w:val="none" w:sz="0" w:space="0" w:color="auto"/>
          </w:divBdr>
          <w:divsChild>
            <w:div w:id="1469129400">
              <w:marLeft w:val="0"/>
              <w:marRight w:val="0"/>
              <w:marTop w:val="0"/>
              <w:marBottom w:val="0"/>
              <w:divBdr>
                <w:top w:val="none" w:sz="0" w:space="0" w:color="auto"/>
                <w:left w:val="none" w:sz="0" w:space="0" w:color="auto"/>
                <w:bottom w:val="none" w:sz="0" w:space="0" w:color="auto"/>
                <w:right w:val="none" w:sz="0" w:space="0" w:color="auto"/>
              </w:divBdr>
            </w:div>
          </w:divsChild>
        </w:div>
        <w:div w:id="271715612">
          <w:marLeft w:val="0"/>
          <w:marRight w:val="0"/>
          <w:marTop w:val="0"/>
          <w:marBottom w:val="0"/>
          <w:divBdr>
            <w:top w:val="none" w:sz="0" w:space="0" w:color="auto"/>
            <w:left w:val="none" w:sz="0" w:space="0" w:color="auto"/>
            <w:bottom w:val="none" w:sz="0" w:space="0" w:color="auto"/>
            <w:right w:val="none" w:sz="0" w:space="0" w:color="auto"/>
          </w:divBdr>
          <w:divsChild>
            <w:div w:id="84571458">
              <w:marLeft w:val="0"/>
              <w:marRight w:val="0"/>
              <w:marTop w:val="0"/>
              <w:marBottom w:val="0"/>
              <w:divBdr>
                <w:top w:val="none" w:sz="0" w:space="0" w:color="auto"/>
                <w:left w:val="none" w:sz="0" w:space="0" w:color="auto"/>
                <w:bottom w:val="none" w:sz="0" w:space="0" w:color="auto"/>
                <w:right w:val="none" w:sz="0" w:space="0" w:color="auto"/>
              </w:divBdr>
            </w:div>
          </w:divsChild>
        </w:div>
        <w:div w:id="306471299">
          <w:marLeft w:val="0"/>
          <w:marRight w:val="0"/>
          <w:marTop w:val="0"/>
          <w:marBottom w:val="0"/>
          <w:divBdr>
            <w:top w:val="none" w:sz="0" w:space="0" w:color="auto"/>
            <w:left w:val="none" w:sz="0" w:space="0" w:color="auto"/>
            <w:bottom w:val="none" w:sz="0" w:space="0" w:color="auto"/>
            <w:right w:val="none" w:sz="0" w:space="0" w:color="auto"/>
          </w:divBdr>
          <w:divsChild>
            <w:div w:id="477502256">
              <w:marLeft w:val="0"/>
              <w:marRight w:val="0"/>
              <w:marTop w:val="0"/>
              <w:marBottom w:val="0"/>
              <w:divBdr>
                <w:top w:val="none" w:sz="0" w:space="0" w:color="auto"/>
                <w:left w:val="none" w:sz="0" w:space="0" w:color="auto"/>
                <w:bottom w:val="none" w:sz="0" w:space="0" w:color="auto"/>
                <w:right w:val="none" w:sz="0" w:space="0" w:color="auto"/>
              </w:divBdr>
            </w:div>
          </w:divsChild>
        </w:div>
        <w:div w:id="384644517">
          <w:marLeft w:val="0"/>
          <w:marRight w:val="0"/>
          <w:marTop w:val="0"/>
          <w:marBottom w:val="0"/>
          <w:divBdr>
            <w:top w:val="none" w:sz="0" w:space="0" w:color="auto"/>
            <w:left w:val="none" w:sz="0" w:space="0" w:color="auto"/>
            <w:bottom w:val="none" w:sz="0" w:space="0" w:color="auto"/>
            <w:right w:val="none" w:sz="0" w:space="0" w:color="auto"/>
          </w:divBdr>
          <w:divsChild>
            <w:div w:id="330836602">
              <w:marLeft w:val="0"/>
              <w:marRight w:val="0"/>
              <w:marTop w:val="0"/>
              <w:marBottom w:val="0"/>
              <w:divBdr>
                <w:top w:val="none" w:sz="0" w:space="0" w:color="auto"/>
                <w:left w:val="none" w:sz="0" w:space="0" w:color="auto"/>
                <w:bottom w:val="none" w:sz="0" w:space="0" w:color="auto"/>
                <w:right w:val="none" w:sz="0" w:space="0" w:color="auto"/>
              </w:divBdr>
            </w:div>
          </w:divsChild>
        </w:div>
        <w:div w:id="435372371">
          <w:marLeft w:val="0"/>
          <w:marRight w:val="0"/>
          <w:marTop w:val="0"/>
          <w:marBottom w:val="0"/>
          <w:divBdr>
            <w:top w:val="none" w:sz="0" w:space="0" w:color="auto"/>
            <w:left w:val="none" w:sz="0" w:space="0" w:color="auto"/>
            <w:bottom w:val="none" w:sz="0" w:space="0" w:color="auto"/>
            <w:right w:val="none" w:sz="0" w:space="0" w:color="auto"/>
          </w:divBdr>
          <w:divsChild>
            <w:div w:id="432823830">
              <w:marLeft w:val="0"/>
              <w:marRight w:val="0"/>
              <w:marTop w:val="0"/>
              <w:marBottom w:val="0"/>
              <w:divBdr>
                <w:top w:val="none" w:sz="0" w:space="0" w:color="auto"/>
                <w:left w:val="none" w:sz="0" w:space="0" w:color="auto"/>
                <w:bottom w:val="none" w:sz="0" w:space="0" w:color="auto"/>
                <w:right w:val="none" w:sz="0" w:space="0" w:color="auto"/>
              </w:divBdr>
            </w:div>
          </w:divsChild>
        </w:div>
        <w:div w:id="441387780">
          <w:marLeft w:val="0"/>
          <w:marRight w:val="0"/>
          <w:marTop w:val="0"/>
          <w:marBottom w:val="0"/>
          <w:divBdr>
            <w:top w:val="none" w:sz="0" w:space="0" w:color="auto"/>
            <w:left w:val="none" w:sz="0" w:space="0" w:color="auto"/>
            <w:bottom w:val="none" w:sz="0" w:space="0" w:color="auto"/>
            <w:right w:val="none" w:sz="0" w:space="0" w:color="auto"/>
          </w:divBdr>
          <w:divsChild>
            <w:div w:id="9113278">
              <w:marLeft w:val="0"/>
              <w:marRight w:val="0"/>
              <w:marTop w:val="0"/>
              <w:marBottom w:val="0"/>
              <w:divBdr>
                <w:top w:val="none" w:sz="0" w:space="0" w:color="auto"/>
                <w:left w:val="none" w:sz="0" w:space="0" w:color="auto"/>
                <w:bottom w:val="none" w:sz="0" w:space="0" w:color="auto"/>
                <w:right w:val="none" w:sz="0" w:space="0" w:color="auto"/>
              </w:divBdr>
            </w:div>
          </w:divsChild>
        </w:div>
        <w:div w:id="619579306">
          <w:marLeft w:val="0"/>
          <w:marRight w:val="0"/>
          <w:marTop w:val="0"/>
          <w:marBottom w:val="0"/>
          <w:divBdr>
            <w:top w:val="none" w:sz="0" w:space="0" w:color="auto"/>
            <w:left w:val="none" w:sz="0" w:space="0" w:color="auto"/>
            <w:bottom w:val="none" w:sz="0" w:space="0" w:color="auto"/>
            <w:right w:val="none" w:sz="0" w:space="0" w:color="auto"/>
          </w:divBdr>
          <w:divsChild>
            <w:div w:id="944656277">
              <w:marLeft w:val="0"/>
              <w:marRight w:val="0"/>
              <w:marTop w:val="0"/>
              <w:marBottom w:val="0"/>
              <w:divBdr>
                <w:top w:val="none" w:sz="0" w:space="0" w:color="auto"/>
                <w:left w:val="none" w:sz="0" w:space="0" w:color="auto"/>
                <w:bottom w:val="none" w:sz="0" w:space="0" w:color="auto"/>
                <w:right w:val="none" w:sz="0" w:space="0" w:color="auto"/>
              </w:divBdr>
            </w:div>
          </w:divsChild>
        </w:div>
        <w:div w:id="746390535">
          <w:marLeft w:val="0"/>
          <w:marRight w:val="0"/>
          <w:marTop w:val="0"/>
          <w:marBottom w:val="0"/>
          <w:divBdr>
            <w:top w:val="none" w:sz="0" w:space="0" w:color="auto"/>
            <w:left w:val="none" w:sz="0" w:space="0" w:color="auto"/>
            <w:bottom w:val="none" w:sz="0" w:space="0" w:color="auto"/>
            <w:right w:val="none" w:sz="0" w:space="0" w:color="auto"/>
          </w:divBdr>
          <w:divsChild>
            <w:div w:id="230314041">
              <w:marLeft w:val="0"/>
              <w:marRight w:val="0"/>
              <w:marTop w:val="0"/>
              <w:marBottom w:val="0"/>
              <w:divBdr>
                <w:top w:val="none" w:sz="0" w:space="0" w:color="auto"/>
                <w:left w:val="none" w:sz="0" w:space="0" w:color="auto"/>
                <w:bottom w:val="none" w:sz="0" w:space="0" w:color="auto"/>
                <w:right w:val="none" w:sz="0" w:space="0" w:color="auto"/>
              </w:divBdr>
            </w:div>
          </w:divsChild>
        </w:div>
        <w:div w:id="761873039">
          <w:marLeft w:val="0"/>
          <w:marRight w:val="0"/>
          <w:marTop w:val="0"/>
          <w:marBottom w:val="0"/>
          <w:divBdr>
            <w:top w:val="none" w:sz="0" w:space="0" w:color="auto"/>
            <w:left w:val="none" w:sz="0" w:space="0" w:color="auto"/>
            <w:bottom w:val="none" w:sz="0" w:space="0" w:color="auto"/>
            <w:right w:val="none" w:sz="0" w:space="0" w:color="auto"/>
          </w:divBdr>
          <w:divsChild>
            <w:div w:id="1368868083">
              <w:marLeft w:val="0"/>
              <w:marRight w:val="0"/>
              <w:marTop w:val="0"/>
              <w:marBottom w:val="0"/>
              <w:divBdr>
                <w:top w:val="none" w:sz="0" w:space="0" w:color="auto"/>
                <w:left w:val="none" w:sz="0" w:space="0" w:color="auto"/>
                <w:bottom w:val="none" w:sz="0" w:space="0" w:color="auto"/>
                <w:right w:val="none" w:sz="0" w:space="0" w:color="auto"/>
              </w:divBdr>
            </w:div>
          </w:divsChild>
        </w:div>
        <w:div w:id="1010714187">
          <w:marLeft w:val="0"/>
          <w:marRight w:val="0"/>
          <w:marTop w:val="0"/>
          <w:marBottom w:val="0"/>
          <w:divBdr>
            <w:top w:val="none" w:sz="0" w:space="0" w:color="auto"/>
            <w:left w:val="none" w:sz="0" w:space="0" w:color="auto"/>
            <w:bottom w:val="none" w:sz="0" w:space="0" w:color="auto"/>
            <w:right w:val="none" w:sz="0" w:space="0" w:color="auto"/>
          </w:divBdr>
          <w:divsChild>
            <w:div w:id="1987585398">
              <w:marLeft w:val="0"/>
              <w:marRight w:val="0"/>
              <w:marTop w:val="0"/>
              <w:marBottom w:val="0"/>
              <w:divBdr>
                <w:top w:val="none" w:sz="0" w:space="0" w:color="auto"/>
                <w:left w:val="none" w:sz="0" w:space="0" w:color="auto"/>
                <w:bottom w:val="none" w:sz="0" w:space="0" w:color="auto"/>
                <w:right w:val="none" w:sz="0" w:space="0" w:color="auto"/>
              </w:divBdr>
            </w:div>
          </w:divsChild>
        </w:div>
        <w:div w:id="1020886572">
          <w:marLeft w:val="0"/>
          <w:marRight w:val="0"/>
          <w:marTop w:val="0"/>
          <w:marBottom w:val="0"/>
          <w:divBdr>
            <w:top w:val="none" w:sz="0" w:space="0" w:color="auto"/>
            <w:left w:val="none" w:sz="0" w:space="0" w:color="auto"/>
            <w:bottom w:val="none" w:sz="0" w:space="0" w:color="auto"/>
            <w:right w:val="none" w:sz="0" w:space="0" w:color="auto"/>
          </w:divBdr>
          <w:divsChild>
            <w:div w:id="306327063">
              <w:marLeft w:val="0"/>
              <w:marRight w:val="0"/>
              <w:marTop w:val="0"/>
              <w:marBottom w:val="0"/>
              <w:divBdr>
                <w:top w:val="none" w:sz="0" w:space="0" w:color="auto"/>
                <w:left w:val="none" w:sz="0" w:space="0" w:color="auto"/>
                <w:bottom w:val="none" w:sz="0" w:space="0" w:color="auto"/>
                <w:right w:val="none" w:sz="0" w:space="0" w:color="auto"/>
              </w:divBdr>
            </w:div>
          </w:divsChild>
        </w:div>
        <w:div w:id="1022978783">
          <w:marLeft w:val="0"/>
          <w:marRight w:val="0"/>
          <w:marTop w:val="0"/>
          <w:marBottom w:val="0"/>
          <w:divBdr>
            <w:top w:val="none" w:sz="0" w:space="0" w:color="auto"/>
            <w:left w:val="none" w:sz="0" w:space="0" w:color="auto"/>
            <w:bottom w:val="none" w:sz="0" w:space="0" w:color="auto"/>
            <w:right w:val="none" w:sz="0" w:space="0" w:color="auto"/>
          </w:divBdr>
          <w:divsChild>
            <w:div w:id="571895133">
              <w:marLeft w:val="0"/>
              <w:marRight w:val="0"/>
              <w:marTop w:val="0"/>
              <w:marBottom w:val="0"/>
              <w:divBdr>
                <w:top w:val="none" w:sz="0" w:space="0" w:color="auto"/>
                <w:left w:val="none" w:sz="0" w:space="0" w:color="auto"/>
                <w:bottom w:val="none" w:sz="0" w:space="0" w:color="auto"/>
                <w:right w:val="none" w:sz="0" w:space="0" w:color="auto"/>
              </w:divBdr>
            </w:div>
          </w:divsChild>
        </w:div>
        <w:div w:id="1027829810">
          <w:marLeft w:val="0"/>
          <w:marRight w:val="0"/>
          <w:marTop w:val="0"/>
          <w:marBottom w:val="0"/>
          <w:divBdr>
            <w:top w:val="none" w:sz="0" w:space="0" w:color="auto"/>
            <w:left w:val="none" w:sz="0" w:space="0" w:color="auto"/>
            <w:bottom w:val="none" w:sz="0" w:space="0" w:color="auto"/>
            <w:right w:val="none" w:sz="0" w:space="0" w:color="auto"/>
          </w:divBdr>
          <w:divsChild>
            <w:div w:id="1901596975">
              <w:marLeft w:val="0"/>
              <w:marRight w:val="0"/>
              <w:marTop w:val="0"/>
              <w:marBottom w:val="0"/>
              <w:divBdr>
                <w:top w:val="none" w:sz="0" w:space="0" w:color="auto"/>
                <w:left w:val="none" w:sz="0" w:space="0" w:color="auto"/>
                <w:bottom w:val="none" w:sz="0" w:space="0" w:color="auto"/>
                <w:right w:val="none" w:sz="0" w:space="0" w:color="auto"/>
              </w:divBdr>
            </w:div>
          </w:divsChild>
        </w:div>
        <w:div w:id="1163206598">
          <w:marLeft w:val="0"/>
          <w:marRight w:val="0"/>
          <w:marTop w:val="0"/>
          <w:marBottom w:val="0"/>
          <w:divBdr>
            <w:top w:val="none" w:sz="0" w:space="0" w:color="auto"/>
            <w:left w:val="none" w:sz="0" w:space="0" w:color="auto"/>
            <w:bottom w:val="none" w:sz="0" w:space="0" w:color="auto"/>
            <w:right w:val="none" w:sz="0" w:space="0" w:color="auto"/>
          </w:divBdr>
          <w:divsChild>
            <w:div w:id="604770080">
              <w:marLeft w:val="0"/>
              <w:marRight w:val="0"/>
              <w:marTop w:val="0"/>
              <w:marBottom w:val="0"/>
              <w:divBdr>
                <w:top w:val="none" w:sz="0" w:space="0" w:color="auto"/>
                <w:left w:val="none" w:sz="0" w:space="0" w:color="auto"/>
                <w:bottom w:val="none" w:sz="0" w:space="0" w:color="auto"/>
                <w:right w:val="none" w:sz="0" w:space="0" w:color="auto"/>
              </w:divBdr>
            </w:div>
          </w:divsChild>
        </w:div>
        <w:div w:id="1176116144">
          <w:marLeft w:val="0"/>
          <w:marRight w:val="0"/>
          <w:marTop w:val="0"/>
          <w:marBottom w:val="0"/>
          <w:divBdr>
            <w:top w:val="none" w:sz="0" w:space="0" w:color="auto"/>
            <w:left w:val="none" w:sz="0" w:space="0" w:color="auto"/>
            <w:bottom w:val="none" w:sz="0" w:space="0" w:color="auto"/>
            <w:right w:val="none" w:sz="0" w:space="0" w:color="auto"/>
          </w:divBdr>
          <w:divsChild>
            <w:div w:id="1645697973">
              <w:marLeft w:val="0"/>
              <w:marRight w:val="0"/>
              <w:marTop w:val="0"/>
              <w:marBottom w:val="0"/>
              <w:divBdr>
                <w:top w:val="none" w:sz="0" w:space="0" w:color="auto"/>
                <w:left w:val="none" w:sz="0" w:space="0" w:color="auto"/>
                <w:bottom w:val="none" w:sz="0" w:space="0" w:color="auto"/>
                <w:right w:val="none" w:sz="0" w:space="0" w:color="auto"/>
              </w:divBdr>
            </w:div>
          </w:divsChild>
        </w:div>
        <w:div w:id="1295915878">
          <w:marLeft w:val="0"/>
          <w:marRight w:val="0"/>
          <w:marTop w:val="0"/>
          <w:marBottom w:val="0"/>
          <w:divBdr>
            <w:top w:val="none" w:sz="0" w:space="0" w:color="auto"/>
            <w:left w:val="none" w:sz="0" w:space="0" w:color="auto"/>
            <w:bottom w:val="none" w:sz="0" w:space="0" w:color="auto"/>
            <w:right w:val="none" w:sz="0" w:space="0" w:color="auto"/>
          </w:divBdr>
          <w:divsChild>
            <w:div w:id="1816558182">
              <w:marLeft w:val="0"/>
              <w:marRight w:val="0"/>
              <w:marTop w:val="0"/>
              <w:marBottom w:val="0"/>
              <w:divBdr>
                <w:top w:val="none" w:sz="0" w:space="0" w:color="auto"/>
                <w:left w:val="none" w:sz="0" w:space="0" w:color="auto"/>
                <w:bottom w:val="none" w:sz="0" w:space="0" w:color="auto"/>
                <w:right w:val="none" w:sz="0" w:space="0" w:color="auto"/>
              </w:divBdr>
            </w:div>
          </w:divsChild>
        </w:div>
        <w:div w:id="1378359686">
          <w:marLeft w:val="0"/>
          <w:marRight w:val="0"/>
          <w:marTop w:val="0"/>
          <w:marBottom w:val="0"/>
          <w:divBdr>
            <w:top w:val="none" w:sz="0" w:space="0" w:color="auto"/>
            <w:left w:val="none" w:sz="0" w:space="0" w:color="auto"/>
            <w:bottom w:val="none" w:sz="0" w:space="0" w:color="auto"/>
            <w:right w:val="none" w:sz="0" w:space="0" w:color="auto"/>
          </w:divBdr>
          <w:divsChild>
            <w:div w:id="901480422">
              <w:marLeft w:val="0"/>
              <w:marRight w:val="0"/>
              <w:marTop w:val="0"/>
              <w:marBottom w:val="0"/>
              <w:divBdr>
                <w:top w:val="none" w:sz="0" w:space="0" w:color="auto"/>
                <w:left w:val="none" w:sz="0" w:space="0" w:color="auto"/>
                <w:bottom w:val="none" w:sz="0" w:space="0" w:color="auto"/>
                <w:right w:val="none" w:sz="0" w:space="0" w:color="auto"/>
              </w:divBdr>
            </w:div>
          </w:divsChild>
        </w:div>
        <w:div w:id="1720205611">
          <w:marLeft w:val="0"/>
          <w:marRight w:val="0"/>
          <w:marTop w:val="0"/>
          <w:marBottom w:val="0"/>
          <w:divBdr>
            <w:top w:val="none" w:sz="0" w:space="0" w:color="auto"/>
            <w:left w:val="none" w:sz="0" w:space="0" w:color="auto"/>
            <w:bottom w:val="none" w:sz="0" w:space="0" w:color="auto"/>
            <w:right w:val="none" w:sz="0" w:space="0" w:color="auto"/>
          </w:divBdr>
          <w:divsChild>
            <w:div w:id="1542135823">
              <w:marLeft w:val="0"/>
              <w:marRight w:val="0"/>
              <w:marTop w:val="0"/>
              <w:marBottom w:val="0"/>
              <w:divBdr>
                <w:top w:val="none" w:sz="0" w:space="0" w:color="auto"/>
                <w:left w:val="none" w:sz="0" w:space="0" w:color="auto"/>
                <w:bottom w:val="none" w:sz="0" w:space="0" w:color="auto"/>
                <w:right w:val="none" w:sz="0" w:space="0" w:color="auto"/>
              </w:divBdr>
            </w:div>
          </w:divsChild>
        </w:div>
        <w:div w:id="1939949091">
          <w:marLeft w:val="0"/>
          <w:marRight w:val="0"/>
          <w:marTop w:val="0"/>
          <w:marBottom w:val="0"/>
          <w:divBdr>
            <w:top w:val="none" w:sz="0" w:space="0" w:color="auto"/>
            <w:left w:val="none" w:sz="0" w:space="0" w:color="auto"/>
            <w:bottom w:val="none" w:sz="0" w:space="0" w:color="auto"/>
            <w:right w:val="none" w:sz="0" w:space="0" w:color="auto"/>
          </w:divBdr>
          <w:divsChild>
            <w:div w:id="96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4671">
      <w:bodyDiv w:val="1"/>
      <w:marLeft w:val="0"/>
      <w:marRight w:val="0"/>
      <w:marTop w:val="0"/>
      <w:marBottom w:val="0"/>
      <w:divBdr>
        <w:top w:val="none" w:sz="0" w:space="0" w:color="auto"/>
        <w:left w:val="none" w:sz="0" w:space="0" w:color="auto"/>
        <w:bottom w:val="none" w:sz="0" w:space="0" w:color="auto"/>
        <w:right w:val="none" w:sz="0" w:space="0" w:color="auto"/>
      </w:divBdr>
    </w:div>
    <w:div w:id="1587181033">
      <w:bodyDiv w:val="1"/>
      <w:marLeft w:val="0"/>
      <w:marRight w:val="0"/>
      <w:marTop w:val="0"/>
      <w:marBottom w:val="0"/>
      <w:divBdr>
        <w:top w:val="none" w:sz="0" w:space="0" w:color="auto"/>
        <w:left w:val="none" w:sz="0" w:space="0" w:color="auto"/>
        <w:bottom w:val="none" w:sz="0" w:space="0" w:color="auto"/>
        <w:right w:val="none" w:sz="0" w:space="0" w:color="auto"/>
      </w:divBdr>
    </w:div>
    <w:div w:id="1589466188">
      <w:bodyDiv w:val="1"/>
      <w:marLeft w:val="0"/>
      <w:marRight w:val="0"/>
      <w:marTop w:val="0"/>
      <w:marBottom w:val="0"/>
      <w:divBdr>
        <w:top w:val="none" w:sz="0" w:space="0" w:color="auto"/>
        <w:left w:val="none" w:sz="0" w:space="0" w:color="auto"/>
        <w:bottom w:val="none" w:sz="0" w:space="0" w:color="auto"/>
        <w:right w:val="none" w:sz="0" w:space="0" w:color="auto"/>
      </w:divBdr>
    </w:div>
    <w:div w:id="1589998191">
      <w:bodyDiv w:val="1"/>
      <w:marLeft w:val="0"/>
      <w:marRight w:val="0"/>
      <w:marTop w:val="0"/>
      <w:marBottom w:val="0"/>
      <w:divBdr>
        <w:top w:val="none" w:sz="0" w:space="0" w:color="auto"/>
        <w:left w:val="none" w:sz="0" w:space="0" w:color="auto"/>
        <w:bottom w:val="none" w:sz="0" w:space="0" w:color="auto"/>
        <w:right w:val="none" w:sz="0" w:space="0" w:color="auto"/>
      </w:divBdr>
    </w:div>
    <w:div w:id="1590238999">
      <w:bodyDiv w:val="1"/>
      <w:marLeft w:val="0"/>
      <w:marRight w:val="0"/>
      <w:marTop w:val="0"/>
      <w:marBottom w:val="0"/>
      <w:divBdr>
        <w:top w:val="none" w:sz="0" w:space="0" w:color="auto"/>
        <w:left w:val="none" w:sz="0" w:space="0" w:color="auto"/>
        <w:bottom w:val="none" w:sz="0" w:space="0" w:color="auto"/>
        <w:right w:val="none" w:sz="0" w:space="0" w:color="auto"/>
      </w:divBdr>
    </w:div>
    <w:div w:id="1593466026">
      <w:bodyDiv w:val="1"/>
      <w:marLeft w:val="0"/>
      <w:marRight w:val="0"/>
      <w:marTop w:val="0"/>
      <w:marBottom w:val="0"/>
      <w:divBdr>
        <w:top w:val="none" w:sz="0" w:space="0" w:color="auto"/>
        <w:left w:val="none" w:sz="0" w:space="0" w:color="auto"/>
        <w:bottom w:val="none" w:sz="0" w:space="0" w:color="auto"/>
        <w:right w:val="none" w:sz="0" w:space="0" w:color="auto"/>
      </w:divBdr>
    </w:div>
    <w:div w:id="1595281248">
      <w:bodyDiv w:val="1"/>
      <w:marLeft w:val="0"/>
      <w:marRight w:val="0"/>
      <w:marTop w:val="0"/>
      <w:marBottom w:val="0"/>
      <w:divBdr>
        <w:top w:val="none" w:sz="0" w:space="0" w:color="auto"/>
        <w:left w:val="none" w:sz="0" w:space="0" w:color="auto"/>
        <w:bottom w:val="none" w:sz="0" w:space="0" w:color="auto"/>
        <w:right w:val="none" w:sz="0" w:space="0" w:color="auto"/>
      </w:divBdr>
    </w:div>
    <w:div w:id="1597446567">
      <w:bodyDiv w:val="1"/>
      <w:marLeft w:val="0"/>
      <w:marRight w:val="0"/>
      <w:marTop w:val="0"/>
      <w:marBottom w:val="0"/>
      <w:divBdr>
        <w:top w:val="none" w:sz="0" w:space="0" w:color="auto"/>
        <w:left w:val="none" w:sz="0" w:space="0" w:color="auto"/>
        <w:bottom w:val="none" w:sz="0" w:space="0" w:color="auto"/>
        <w:right w:val="none" w:sz="0" w:space="0" w:color="auto"/>
      </w:divBdr>
    </w:div>
    <w:div w:id="1598170455">
      <w:bodyDiv w:val="1"/>
      <w:marLeft w:val="0"/>
      <w:marRight w:val="0"/>
      <w:marTop w:val="0"/>
      <w:marBottom w:val="0"/>
      <w:divBdr>
        <w:top w:val="none" w:sz="0" w:space="0" w:color="auto"/>
        <w:left w:val="none" w:sz="0" w:space="0" w:color="auto"/>
        <w:bottom w:val="none" w:sz="0" w:space="0" w:color="auto"/>
        <w:right w:val="none" w:sz="0" w:space="0" w:color="auto"/>
      </w:divBdr>
      <w:divsChild>
        <w:div w:id="1022784502">
          <w:marLeft w:val="0"/>
          <w:marRight w:val="0"/>
          <w:marTop w:val="0"/>
          <w:marBottom w:val="0"/>
          <w:divBdr>
            <w:top w:val="none" w:sz="0" w:space="0" w:color="auto"/>
            <w:left w:val="none" w:sz="0" w:space="0" w:color="auto"/>
            <w:bottom w:val="none" w:sz="0" w:space="0" w:color="auto"/>
            <w:right w:val="none" w:sz="0" w:space="0" w:color="auto"/>
          </w:divBdr>
        </w:div>
      </w:divsChild>
    </w:div>
    <w:div w:id="1598559800">
      <w:bodyDiv w:val="1"/>
      <w:marLeft w:val="0"/>
      <w:marRight w:val="0"/>
      <w:marTop w:val="0"/>
      <w:marBottom w:val="0"/>
      <w:divBdr>
        <w:top w:val="none" w:sz="0" w:space="0" w:color="auto"/>
        <w:left w:val="none" w:sz="0" w:space="0" w:color="auto"/>
        <w:bottom w:val="none" w:sz="0" w:space="0" w:color="auto"/>
        <w:right w:val="none" w:sz="0" w:space="0" w:color="auto"/>
      </w:divBdr>
    </w:div>
    <w:div w:id="1599411109">
      <w:bodyDiv w:val="1"/>
      <w:marLeft w:val="0"/>
      <w:marRight w:val="0"/>
      <w:marTop w:val="0"/>
      <w:marBottom w:val="0"/>
      <w:divBdr>
        <w:top w:val="none" w:sz="0" w:space="0" w:color="auto"/>
        <w:left w:val="none" w:sz="0" w:space="0" w:color="auto"/>
        <w:bottom w:val="none" w:sz="0" w:space="0" w:color="auto"/>
        <w:right w:val="none" w:sz="0" w:space="0" w:color="auto"/>
      </w:divBdr>
    </w:div>
    <w:div w:id="1599481317">
      <w:bodyDiv w:val="1"/>
      <w:marLeft w:val="0"/>
      <w:marRight w:val="0"/>
      <w:marTop w:val="0"/>
      <w:marBottom w:val="0"/>
      <w:divBdr>
        <w:top w:val="none" w:sz="0" w:space="0" w:color="auto"/>
        <w:left w:val="none" w:sz="0" w:space="0" w:color="auto"/>
        <w:bottom w:val="none" w:sz="0" w:space="0" w:color="auto"/>
        <w:right w:val="none" w:sz="0" w:space="0" w:color="auto"/>
      </w:divBdr>
    </w:div>
    <w:div w:id="1603299041">
      <w:bodyDiv w:val="1"/>
      <w:marLeft w:val="0"/>
      <w:marRight w:val="0"/>
      <w:marTop w:val="0"/>
      <w:marBottom w:val="0"/>
      <w:divBdr>
        <w:top w:val="none" w:sz="0" w:space="0" w:color="auto"/>
        <w:left w:val="none" w:sz="0" w:space="0" w:color="auto"/>
        <w:bottom w:val="none" w:sz="0" w:space="0" w:color="auto"/>
        <w:right w:val="none" w:sz="0" w:space="0" w:color="auto"/>
      </w:divBdr>
    </w:div>
    <w:div w:id="1605184798">
      <w:bodyDiv w:val="1"/>
      <w:marLeft w:val="0"/>
      <w:marRight w:val="0"/>
      <w:marTop w:val="0"/>
      <w:marBottom w:val="0"/>
      <w:divBdr>
        <w:top w:val="none" w:sz="0" w:space="0" w:color="auto"/>
        <w:left w:val="none" w:sz="0" w:space="0" w:color="auto"/>
        <w:bottom w:val="none" w:sz="0" w:space="0" w:color="auto"/>
        <w:right w:val="none" w:sz="0" w:space="0" w:color="auto"/>
      </w:divBdr>
    </w:div>
    <w:div w:id="1606227445">
      <w:bodyDiv w:val="1"/>
      <w:marLeft w:val="0"/>
      <w:marRight w:val="0"/>
      <w:marTop w:val="0"/>
      <w:marBottom w:val="0"/>
      <w:divBdr>
        <w:top w:val="none" w:sz="0" w:space="0" w:color="auto"/>
        <w:left w:val="none" w:sz="0" w:space="0" w:color="auto"/>
        <w:bottom w:val="none" w:sz="0" w:space="0" w:color="auto"/>
        <w:right w:val="none" w:sz="0" w:space="0" w:color="auto"/>
      </w:divBdr>
    </w:div>
    <w:div w:id="1607496727">
      <w:bodyDiv w:val="1"/>
      <w:marLeft w:val="0"/>
      <w:marRight w:val="0"/>
      <w:marTop w:val="0"/>
      <w:marBottom w:val="0"/>
      <w:divBdr>
        <w:top w:val="none" w:sz="0" w:space="0" w:color="auto"/>
        <w:left w:val="none" w:sz="0" w:space="0" w:color="auto"/>
        <w:bottom w:val="none" w:sz="0" w:space="0" w:color="auto"/>
        <w:right w:val="none" w:sz="0" w:space="0" w:color="auto"/>
      </w:divBdr>
    </w:div>
    <w:div w:id="1608463514">
      <w:bodyDiv w:val="1"/>
      <w:marLeft w:val="0"/>
      <w:marRight w:val="0"/>
      <w:marTop w:val="0"/>
      <w:marBottom w:val="0"/>
      <w:divBdr>
        <w:top w:val="none" w:sz="0" w:space="0" w:color="auto"/>
        <w:left w:val="none" w:sz="0" w:space="0" w:color="auto"/>
        <w:bottom w:val="none" w:sz="0" w:space="0" w:color="auto"/>
        <w:right w:val="none" w:sz="0" w:space="0" w:color="auto"/>
      </w:divBdr>
    </w:div>
    <w:div w:id="1609385199">
      <w:bodyDiv w:val="1"/>
      <w:marLeft w:val="0"/>
      <w:marRight w:val="0"/>
      <w:marTop w:val="0"/>
      <w:marBottom w:val="0"/>
      <w:divBdr>
        <w:top w:val="none" w:sz="0" w:space="0" w:color="auto"/>
        <w:left w:val="none" w:sz="0" w:space="0" w:color="auto"/>
        <w:bottom w:val="none" w:sz="0" w:space="0" w:color="auto"/>
        <w:right w:val="none" w:sz="0" w:space="0" w:color="auto"/>
      </w:divBdr>
    </w:div>
    <w:div w:id="1611352632">
      <w:bodyDiv w:val="1"/>
      <w:marLeft w:val="0"/>
      <w:marRight w:val="0"/>
      <w:marTop w:val="0"/>
      <w:marBottom w:val="0"/>
      <w:divBdr>
        <w:top w:val="none" w:sz="0" w:space="0" w:color="auto"/>
        <w:left w:val="none" w:sz="0" w:space="0" w:color="auto"/>
        <w:bottom w:val="none" w:sz="0" w:space="0" w:color="auto"/>
        <w:right w:val="none" w:sz="0" w:space="0" w:color="auto"/>
      </w:divBdr>
    </w:div>
    <w:div w:id="1611741289">
      <w:bodyDiv w:val="1"/>
      <w:marLeft w:val="0"/>
      <w:marRight w:val="0"/>
      <w:marTop w:val="0"/>
      <w:marBottom w:val="0"/>
      <w:divBdr>
        <w:top w:val="none" w:sz="0" w:space="0" w:color="auto"/>
        <w:left w:val="none" w:sz="0" w:space="0" w:color="auto"/>
        <w:bottom w:val="none" w:sz="0" w:space="0" w:color="auto"/>
        <w:right w:val="none" w:sz="0" w:space="0" w:color="auto"/>
      </w:divBdr>
    </w:div>
    <w:div w:id="1613052429">
      <w:bodyDiv w:val="1"/>
      <w:marLeft w:val="0"/>
      <w:marRight w:val="0"/>
      <w:marTop w:val="0"/>
      <w:marBottom w:val="0"/>
      <w:divBdr>
        <w:top w:val="none" w:sz="0" w:space="0" w:color="auto"/>
        <w:left w:val="none" w:sz="0" w:space="0" w:color="auto"/>
        <w:bottom w:val="none" w:sz="0" w:space="0" w:color="auto"/>
        <w:right w:val="none" w:sz="0" w:space="0" w:color="auto"/>
      </w:divBdr>
    </w:div>
    <w:div w:id="1613443011">
      <w:bodyDiv w:val="1"/>
      <w:marLeft w:val="0"/>
      <w:marRight w:val="0"/>
      <w:marTop w:val="0"/>
      <w:marBottom w:val="0"/>
      <w:divBdr>
        <w:top w:val="none" w:sz="0" w:space="0" w:color="auto"/>
        <w:left w:val="none" w:sz="0" w:space="0" w:color="auto"/>
        <w:bottom w:val="none" w:sz="0" w:space="0" w:color="auto"/>
        <w:right w:val="none" w:sz="0" w:space="0" w:color="auto"/>
      </w:divBdr>
    </w:div>
    <w:div w:id="1614022222">
      <w:bodyDiv w:val="1"/>
      <w:marLeft w:val="0"/>
      <w:marRight w:val="0"/>
      <w:marTop w:val="0"/>
      <w:marBottom w:val="0"/>
      <w:divBdr>
        <w:top w:val="none" w:sz="0" w:space="0" w:color="auto"/>
        <w:left w:val="none" w:sz="0" w:space="0" w:color="auto"/>
        <w:bottom w:val="none" w:sz="0" w:space="0" w:color="auto"/>
        <w:right w:val="none" w:sz="0" w:space="0" w:color="auto"/>
      </w:divBdr>
    </w:div>
    <w:div w:id="1614241104">
      <w:bodyDiv w:val="1"/>
      <w:marLeft w:val="0"/>
      <w:marRight w:val="0"/>
      <w:marTop w:val="0"/>
      <w:marBottom w:val="0"/>
      <w:divBdr>
        <w:top w:val="none" w:sz="0" w:space="0" w:color="auto"/>
        <w:left w:val="none" w:sz="0" w:space="0" w:color="auto"/>
        <w:bottom w:val="none" w:sz="0" w:space="0" w:color="auto"/>
        <w:right w:val="none" w:sz="0" w:space="0" w:color="auto"/>
      </w:divBdr>
    </w:div>
    <w:div w:id="1614482407">
      <w:bodyDiv w:val="1"/>
      <w:marLeft w:val="0"/>
      <w:marRight w:val="0"/>
      <w:marTop w:val="0"/>
      <w:marBottom w:val="0"/>
      <w:divBdr>
        <w:top w:val="none" w:sz="0" w:space="0" w:color="auto"/>
        <w:left w:val="none" w:sz="0" w:space="0" w:color="auto"/>
        <w:bottom w:val="none" w:sz="0" w:space="0" w:color="auto"/>
        <w:right w:val="none" w:sz="0" w:space="0" w:color="auto"/>
      </w:divBdr>
    </w:div>
    <w:div w:id="1615600138">
      <w:bodyDiv w:val="1"/>
      <w:marLeft w:val="0"/>
      <w:marRight w:val="0"/>
      <w:marTop w:val="0"/>
      <w:marBottom w:val="0"/>
      <w:divBdr>
        <w:top w:val="none" w:sz="0" w:space="0" w:color="auto"/>
        <w:left w:val="none" w:sz="0" w:space="0" w:color="auto"/>
        <w:bottom w:val="none" w:sz="0" w:space="0" w:color="auto"/>
        <w:right w:val="none" w:sz="0" w:space="0" w:color="auto"/>
      </w:divBdr>
    </w:div>
    <w:div w:id="1616213695">
      <w:bodyDiv w:val="1"/>
      <w:marLeft w:val="0"/>
      <w:marRight w:val="0"/>
      <w:marTop w:val="0"/>
      <w:marBottom w:val="0"/>
      <w:divBdr>
        <w:top w:val="none" w:sz="0" w:space="0" w:color="auto"/>
        <w:left w:val="none" w:sz="0" w:space="0" w:color="auto"/>
        <w:bottom w:val="none" w:sz="0" w:space="0" w:color="auto"/>
        <w:right w:val="none" w:sz="0" w:space="0" w:color="auto"/>
      </w:divBdr>
    </w:div>
    <w:div w:id="1618368886">
      <w:bodyDiv w:val="1"/>
      <w:marLeft w:val="0"/>
      <w:marRight w:val="0"/>
      <w:marTop w:val="0"/>
      <w:marBottom w:val="0"/>
      <w:divBdr>
        <w:top w:val="none" w:sz="0" w:space="0" w:color="auto"/>
        <w:left w:val="none" w:sz="0" w:space="0" w:color="auto"/>
        <w:bottom w:val="none" w:sz="0" w:space="0" w:color="auto"/>
        <w:right w:val="none" w:sz="0" w:space="0" w:color="auto"/>
      </w:divBdr>
    </w:div>
    <w:div w:id="1618565509">
      <w:bodyDiv w:val="1"/>
      <w:marLeft w:val="0"/>
      <w:marRight w:val="0"/>
      <w:marTop w:val="0"/>
      <w:marBottom w:val="0"/>
      <w:divBdr>
        <w:top w:val="none" w:sz="0" w:space="0" w:color="auto"/>
        <w:left w:val="none" w:sz="0" w:space="0" w:color="auto"/>
        <w:bottom w:val="none" w:sz="0" w:space="0" w:color="auto"/>
        <w:right w:val="none" w:sz="0" w:space="0" w:color="auto"/>
      </w:divBdr>
    </w:div>
    <w:div w:id="1620188079">
      <w:bodyDiv w:val="1"/>
      <w:marLeft w:val="0"/>
      <w:marRight w:val="0"/>
      <w:marTop w:val="0"/>
      <w:marBottom w:val="0"/>
      <w:divBdr>
        <w:top w:val="none" w:sz="0" w:space="0" w:color="auto"/>
        <w:left w:val="none" w:sz="0" w:space="0" w:color="auto"/>
        <w:bottom w:val="none" w:sz="0" w:space="0" w:color="auto"/>
        <w:right w:val="none" w:sz="0" w:space="0" w:color="auto"/>
      </w:divBdr>
    </w:div>
    <w:div w:id="1620532320">
      <w:bodyDiv w:val="1"/>
      <w:marLeft w:val="0"/>
      <w:marRight w:val="0"/>
      <w:marTop w:val="0"/>
      <w:marBottom w:val="0"/>
      <w:divBdr>
        <w:top w:val="none" w:sz="0" w:space="0" w:color="auto"/>
        <w:left w:val="none" w:sz="0" w:space="0" w:color="auto"/>
        <w:bottom w:val="none" w:sz="0" w:space="0" w:color="auto"/>
        <w:right w:val="none" w:sz="0" w:space="0" w:color="auto"/>
      </w:divBdr>
    </w:div>
    <w:div w:id="1620603570">
      <w:bodyDiv w:val="1"/>
      <w:marLeft w:val="0"/>
      <w:marRight w:val="0"/>
      <w:marTop w:val="0"/>
      <w:marBottom w:val="0"/>
      <w:divBdr>
        <w:top w:val="none" w:sz="0" w:space="0" w:color="auto"/>
        <w:left w:val="none" w:sz="0" w:space="0" w:color="auto"/>
        <w:bottom w:val="none" w:sz="0" w:space="0" w:color="auto"/>
        <w:right w:val="none" w:sz="0" w:space="0" w:color="auto"/>
      </w:divBdr>
    </w:div>
    <w:div w:id="1620720212">
      <w:bodyDiv w:val="1"/>
      <w:marLeft w:val="0"/>
      <w:marRight w:val="0"/>
      <w:marTop w:val="0"/>
      <w:marBottom w:val="0"/>
      <w:divBdr>
        <w:top w:val="none" w:sz="0" w:space="0" w:color="auto"/>
        <w:left w:val="none" w:sz="0" w:space="0" w:color="auto"/>
        <w:bottom w:val="none" w:sz="0" w:space="0" w:color="auto"/>
        <w:right w:val="none" w:sz="0" w:space="0" w:color="auto"/>
      </w:divBdr>
    </w:div>
    <w:div w:id="1620840461">
      <w:bodyDiv w:val="1"/>
      <w:marLeft w:val="0"/>
      <w:marRight w:val="0"/>
      <w:marTop w:val="0"/>
      <w:marBottom w:val="0"/>
      <w:divBdr>
        <w:top w:val="none" w:sz="0" w:space="0" w:color="auto"/>
        <w:left w:val="none" w:sz="0" w:space="0" w:color="auto"/>
        <w:bottom w:val="none" w:sz="0" w:space="0" w:color="auto"/>
        <w:right w:val="none" w:sz="0" w:space="0" w:color="auto"/>
      </w:divBdr>
    </w:div>
    <w:div w:id="1624575394">
      <w:bodyDiv w:val="1"/>
      <w:marLeft w:val="0"/>
      <w:marRight w:val="0"/>
      <w:marTop w:val="0"/>
      <w:marBottom w:val="0"/>
      <w:divBdr>
        <w:top w:val="none" w:sz="0" w:space="0" w:color="auto"/>
        <w:left w:val="none" w:sz="0" w:space="0" w:color="auto"/>
        <w:bottom w:val="none" w:sz="0" w:space="0" w:color="auto"/>
        <w:right w:val="none" w:sz="0" w:space="0" w:color="auto"/>
      </w:divBdr>
    </w:div>
    <w:div w:id="1625847485">
      <w:bodyDiv w:val="1"/>
      <w:marLeft w:val="0"/>
      <w:marRight w:val="0"/>
      <w:marTop w:val="0"/>
      <w:marBottom w:val="0"/>
      <w:divBdr>
        <w:top w:val="none" w:sz="0" w:space="0" w:color="auto"/>
        <w:left w:val="none" w:sz="0" w:space="0" w:color="auto"/>
        <w:bottom w:val="none" w:sz="0" w:space="0" w:color="auto"/>
        <w:right w:val="none" w:sz="0" w:space="0" w:color="auto"/>
      </w:divBdr>
    </w:div>
    <w:div w:id="1625963342">
      <w:bodyDiv w:val="1"/>
      <w:marLeft w:val="0"/>
      <w:marRight w:val="0"/>
      <w:marTop w:val="0"/>
      <w:marBottom w:val="0"/>
      <w:divBdr>
        <w:top w:val="none" w:sz="0" w:space="0" w:color="auto"/>
        <w:left w:val="none" w:sz="0" w:space="0" w:color="auto"/>
        <w:bottom w:val="none" w:sz="0" w:space="0" w:color="auto"/>
        <w:right w:val="none" w:sz="0" w:space="0" w:color="auto"/>
      </w:divBdr>
    </w:div>
    <w:div w:id="1626962789">
      <w:bodyDiv w:val="1"/>
      <w:marLeft w:val="0"/>
      <w:marRight w:val="0"/>
      <w:marTop w:val="0"/>
      <w:marBottom w:val="0"/>
      <w:divBdr>
        <w:top w:val="none" w:sz="0" w:space="0" w:color="auto"/>
        <w:left w:val="none" w:sz="0" w:space="0" w:color="auto"/>
        <w:bottom w:val="none" w:sz="0" w:space="0" w:color="auto"/>
        <w:right w:val="none" w:sz="0" w:space="0" w:color="auto"/>
      </w:divBdr>
    </w:div>
    <w:div w:id="1627155929">
      <w:bodyDiv w:val="1"/>
      <w:marLeft w:val="0"/>
      <w:marRight w:val="0"/>
      <w:marTop w:val="0"/>
      <w:marBottom w:val="0"/>
      <w:divBdr>
        <w:top w:val="none" w:sz="0" w:space="0" w:color="auto"/>
        <w:left w:val="none" w:sz="0" w:space="0" w:color="auto"/>
        <w:bottom w:val="none" w:sz="0" w:space="0" w:color="auto"/>
        <w:right w:val="none" w:sz="0" w:space="0" w:color="auto"/>
      </w:divBdr>
    </w:div>
    <w:div w:id="1628048974">
      <w:bodyDiv w:val="1"/>
      <w:marLeft w:val="0"/>
      <w:marRight w:val="0"/>
      <w:marTop w:val="0"/>
      <w:marBottom w:val="0"/>
      <w:divBdr>
        <w:top w:val="none" w:sz="0" w:space="0" w:color="auto"/>
        <w:left w:val="none" w:sz="0" w:space="0" w:color="auto"/>
        <w:bottom w:val="none" w:sz="0" w:space="0" w:color="auto"/>
        <w:right w:val="none" w:sz="0" w:space="0" w:color="auto"/>
      </w:divBdr>
    </w:div>
    <w:div w:id="1628704915">
      <w:bodyDiv w:val="1"/>
      <w:marLeft w:val="0"/>
      <w:marRight w:val="0"/>
      <w:marTop w:val="0"/>
      <w:marBottom w:val="0"/>
      <w:divBdr>
        <w:top w:val="none" w:sz="0" w:space="0" w:color="auto"/>
        <w:left w:val="none" w:sz="0" w:space="0" w:color="auto"/>
        <w:bottom w:val="none" w:sz="0" w:space="0" w:color="auto"/>
        <w:right w:val="none" w:sz="0" w:space="0" w:color="auto"/>
      </w:divBdr>
      <w:divsChild>
        <w:div w:id="1884321474">
          <w:marLeft w:val="0"/>
          <w:marRight w:val="0"/>
          <w:marTop w:val="0"/>
          <w:marBottom w:val="0"/>
          <w:divBdr>
            <w:top w:val="none" w:sz="0" w:space="0" w:color="auto"/>
            <w:left w:val="none" w:sz="0" w:space="0" w:color="auto"/>
            <w:bottom w:val="none" w:sz="0" w:space="0" w:color="auto"/>
            <w:right w:val="none" w:sz="0" w:space="0" w:color="auto"/>
          </w:divBdr>
        </w:div>
      </w:divsChild>
    </w:div>
    <w:div w:id="1631549878">
      <w:bodyDiv w:val="1"/>
      <w:marLeft w:val="0"/>
      <w:marRight w:val="0"/>
      <w:marTop w:val="0"/>
      <w:marBottom w:val="0"/>
      <w:divBdr>
        <w:top w:val="none" w:sz="0" w:space="0" w:color="auto"/>
        <w:left w:val="none" w:sz="0" w:space="0" w:color="auto"/>
        <w:bottom w:val="none" w:sz="0" w:space="0" w:color="auto"/>
        <w:right w:val="none" w:sz="0" w:space="0" w:color="auto"/>
      </w:divBdr>
    </w:div>
    <w:div w:id="1636132764">
      <w:bodyDiv w:val="1"/>
      <w:marLeft w:val="0"/>
      <w:marRight w:val="0"/>
      <w:marTop w:val="0"/>
      <w:marBottom w:val="0"/>
      <w:divBdr>
        <w:top w:val="none" w:sz="0" w:space="0" w:color="auto"/>
        <w:left w:val="none" w:sz="0" w:space="0" w:color="auto"/>
        <w:bottom w:val="none" w:sz="0" w:space="0" w:color="auto"/>
        <w:right w:val="none" w:sz="0" w:space="0" w:color="auto"/>
      </w:divBdr>
    </w:div>
    <w:div w:id="1637107705">
      <w:bodyDiv w:val="1"/>
      <w:marLeft w:val="0"/>
      <w:marRight w:val="0"/>
      <w:marTop w:val="0"/>
      <w:marBottom w:val="0"/>
      <w:divBdr>
        <w:top w:val="none" w:sz="0" w:space="0" w:color="auto"/>
        <w:left w:val="none" w:sz="0" w:space="0" w:color="auto"/>
        <w:bottom w:val="none" w:sz="0" w:space="0" w:color="auto"/>
        <w:right w:val="none" w:sz="0" w:space="0" w:color="auto"/>
      </w:divBdr>
    </w:div>
    <w:div w:id="1637486493">
      <w:bodyDiv w:val="1"/>
      <w:marLeft w:val="0"/>
      <w:marRight w:val="0"/>
      <w:marTop w:val="0"/>
      <w:marBottom w:val="0"/>
      <w:divBdr>
        <w:top w:val="none" w:sz="0" w:space="0" w:color="auto"/>
        <w:left w:val="none" w:sz="0" w:space="0" w:color="auto"/>
        <w:bottom w:val="none" w:sz="0" w:space="0" w:color="auto"/>
        <w:right w:val="none" w:sz="0" w:space="0" w:color="auto"/>
      </w:divBdr>
    </w:div>
    <w:div w:id="1639794979">
      <w:bodyDiv w:val="1"/>
      <w:marLeft w:val="0"/>
      <w:marRight w:val="0"/>
      <w:marTop w:val="0"/>
      <w:marBottom w:val="0"/>
      <w:divBdr>
        <w:top w:val="none" w:sz="0" w:space="0" w:color="auto"/>
        <w:left w:val="none" w:sz="0" w:space="0" w:color="auto"/>
        <w:bottom w:val="none" w:sz="0" w:space="0" w:color="auto"/>
        <w:right w:val="none" w:sz="0" w:space="0" w:color="auto"/>
      </w:divBdr>
    </w:div>
    <w:div w:id="1639846765">
      <w:bodyDiv w:val="1"/>
      <w:marLeft w:val="0"/>
      <w:marRight w:val="0"/>
      <w:marTop w:val="0"/>
      <w:marBottom w:val="0"/>
      <w:divBdr>
        <w:top w:val="none" w:sz="0" w:space="0" w:color="auto"/>
        <w:left w:val="none" w:sz="0" w:space="0" w:color="auto"/>
        <w:bottom w:val="none" w:sz="0" w:space="0" w:color="auto"/>
        <w:right w:val="none" w:sz="0" w:space="0" w:color="auto"/>
      </w:divBdr>
    </w:div>
    <w:div w:id="1642423804">
      <w:bodyDiv w:val="1"/>
      <w:marLeft w:val="0"/>
      <w:marRight w:val="0"/>
      <w:marTop w:val="0"/>
      <w:marBottom w:val="0"/>
      <w:divBdr>
        <w:top w:val="none" w:sz="0" w:space="0" w:color="auto"/>
        <w:left w:val="none" w:sz="0" w:space="0" w:color="auto"/>
        <w:bottom w:val="none" w:sz="0" w:space="0" w:color="auto"/>
        <w:right w:val="none" w:sz="0" w:space="0" w:color="auto"/>
      </w:divBdr>
    </w:div>
    <w:div w:id="1643000264">
      <w:bodyDiv w:val="1"/>
      <w:marLeft w:val="0"/>
      <w:marRight w:val="0"/>
      <w:marTop w:val="0"/>
      <w:marBottom w:val="0"/>
      <w:divBdr>
        <w:top w:val="none" w:sz="0" w:space="0" w:color="auto"/>
        <w:left w:val="none" w:sz="0" w:space="0" w:color="auto"/>
        <w:bottom w:val="none" w:sz="0" w:space="0" w:color="auto"/>
        <w:right w:val="none" w:sz="0" w:space="0" w:color="auto"/>
      </w:divBdr>
    </w:div>
    <w:div w:id="1643538570">
      <w:bodyDiv w:val="1"/>
      <w:marLeft w:val="0"/>
      <w:marRight w:val="0"/>
      <w:marTop w:val="0"/>
      <w:marBottom w:val="0"/>
      <w:divBdr>
        <w:top w:val="none" w:sz="0" w:space="0" w:color="auto"/>
        <w:left w:val="none" w:sz="0" w:space="0" w:color="auto"/>
        <w:bottom w:val="none" w:sz="0" w:space="0" w:color="auto"/>
        <w:right w:val="none" w:sz="0" w:space="0" w:color="auto"/>
      </w:divBdr>
    </w:div>
    <w:div w:id="1644776979">
      <w:bodyDiv w:val="1"/>
      <w:marLeft w:val="0"/>
      <w:marRight w:val="0"/>
      <w:marTop w:val="0"/>
      <w:marBottom w:val="0"/>
      <w:divBdr>
        <w:top w:val="none" w:sz="0" w:space="0" w:color="auto"/>
        <w:left w:val="none" w:sz="0" w:space="0" w:color="auto"/>
        <w:bottom w:val="none" w:sz="0" w:space="0" w:color="auto"/>
        <w:right w:val="none" w:sz="0" w:space="0" w:color="auto"/>
      </w:divBdr>
    </w:div>
    <w:div w:id="1648628332">
      <w:bodyDiv w:val="1"/>
      <w:marLeft w:val="0"/>
      <w:marRight w:val="0"/>
      <w:marTop w:val="0"/>
      <w:marBottom w:val="0"/>
      <w:divBdr>
        <w:top w:val="none" w:sz="0" w:space="0" w:color="auto"/>
        <w:left w:val="none" w:sz="0" w:space="0" w:color="auto"/>
        <w:bottom w:val="none" w:sz="0" w:space="0" w:color="auto"/>
        <w:right w:val="none" w:sz="0" w:space="0" w:color="auto"/>
      </w:divBdr>
    </w:div>
    <w:div w:id="1649701220">
      <w:bodyDiv w:val="1"/>
      <w:marLeft w:val="0"/>
      <w:marRight w:val="0"/>
      <w:marTop w:val="0"/>
      <w:marBottom w:val="0"/>
      <w:divBdr>
        <w:top w:val="none" w:sz="0" w:space="0" w:color="auto"/>
        <w:left w:val="none" w:sz="0" w:space="0" w:color="auto"/>
        <w:bottom w:val="none" w:sz="0" w:space="0" w:color="auto"/>
        <w:right w:val="none" w:sz="0" w:space="0" w:color="auto"/>
      </w:divBdr>
    </w:div>
    <w:div w:id="1650086912">
      <w:bodyDiv w:val="1"/>
      <w:marLeft w:val="0"/>
      <w:marRight w:val="0"/>
      <w:marTop w:val="0"/>
      <w:marBottom w:val="0"/>
      <w:divBdr>
        <w:top w:val="none" w:sz="0" w:space="0" w:color="auto"/>
        <w:left w:val="none" w:sz="0" w:space="0" w:color="auto"/>
        <w:bottom w:val="none" w:sz="0" w:space="0" w:color="auto"/>
        <w:right w:val="none" w:sz="0" w:space="0" w:color="auto"/>
      </w:divBdr>
    </w:div>
    <w:div w:id="1650594210">
      <w:bodyDiv w:val="1"/>
      <w:marLeft w:val="0"/>
      <w:marRight w:val="0"/>
      <w:marTop w:val="0"/>
      <w:marBottom w:val="0"/>
      <w:divBdr>
        <w:top w:val="none" w:sz="0" w:space="0" w:color="auto"/>
        <w:left w:val="none" w:sz="0" w:space="0" w:color="auto"/>
        <w:bottom w:val="none" w:sz="0" w:space="0" w:color="auto"/>
        <w:right w:val="none" w:sz="0" w:space="0" w:color="auto"/>
      </w:divBdr>
    </w:div>
    <w:div w:id="1650935475">
      <w:bodyDiv w:val="1"/>
      <w:marLeft w:val="0"/>
      <w:marRight w:val="0"/>
      <w:marTop w:val="0"/>
      <w:marBottom w:val="0"/>
      <w:divBdr>
        <w:top w:val="none" w:sz="0" w:space="0" w:color="auto"/>
        <w:left w:val="none" w:sz="0" w:space="0" w:color="auto"/>
        <w:bottom w:val="none" w:sz="0" w:space="0" w:color="auto"/>
        <w:right w:val="none" w:sz="0" w:space="0" w:color="auto"/>
      </w:divBdr>
    </w:div>
    <w:div w:id="1651056667">
      <w:bodyDiv w:val="1"/>
      <w:marLeft w:val="0"/>
      <w:marRight w:val="0"/>
      <w:marTop w:val="0"/>
      <w:marBottom w:val="0"/>
      <w:divBdr>
        <w:top w:val="none" w:sz="0" w:space="0" w:color="auto"/>
        <w:left w:val="none" w:sz="0" w:space="0" w:color="auto"/>
        <w:bottom w:val="none" w:sz="0" w:space="0" w:color="auto"/>
        <w:right w:val="none" w:sz="0" w:space="0" w:color="auto"/>
      </w:divBdr>
    </w:div>
    <w:div w:id="1654330112">
      <w:bodyDiv w:val="1"/>
      <w:marLeft w:val="0"/>
      <w:marRight w:val="0"/>
      <w:marTop w:val="0"/>
      <w:marBottom w:val="0"/>
      <w:divBdr>
        <w:top w:val="none" w:sz="0" w:space="0" w:color="auto"/>
        <w:left w:val="none" w:sz="0" w:space="0" w:color="auto"/>
        <w:bottom w:val="none" w:sz="0" w:space="0" w:color="auto"/>
        <w:right w:val="none" w:sz="0" w:space="0" w:color="auto"/>
      </w:divBdr>
    </w:div>
    <w:div w:id="1654720231">
      <w:bodyDiv w:val="1"/>
      <w:marLeft w:val="0"/>
      <w:marRight w:val="0"/>
      <w:marTop w:val="0"/>
      <w:marBottom w:val="0"/>
      <w:divBdr>
        <w:top w:val="none" w:sz="0" w:space="0" w:color="auto"/>
        <w:left w:val="none" w:sz="0" w:space="0" w:color="auto"/>
        <w:bottom w:val="none" w:sz="0" w:space="0" w:color="auto"/>
        <w:right w:val="none" w:sz="0" w:space="0" w:color="auto"/>
      </w:divBdr>
    </w:div>
    <w:div w:id="1655917454">
      <w:bodyDiv w:val="1"/>
      <w:marLeft w:val="0"/>
      <w:marRight w:val="0"/>
      <w:marTop w:val="0"/>
      <w:marBottom w:val="0"/>
      <w:divBdr>
        <w:top w:val="none" w:sz="0" w:space="0" w:color="auto"/>
        <w:left w:val="none" w:sz="0" w:space="0" w:color="auto"/>
        <w:bottom w:val="none" w:sz="0" w:space="0" w:color="auto"/>
        <w:right w:val="none" w:sz="0" w:space="0" w:color="auto"/>
      </w:divBdr>
    </w:div>
    <w:div w:id="1658217765">
      <w:bodyDiv w:val="1"/>
      <w:marLeft w:val="0"/>
      <w:marRight w:val="0"/>
      <w:marTop w:val="0"/>
      <w:marBottom w:val="0"/>
      <w:divBdr>
        <w:top w:val="none" w:sz="0" w:space="0" w:color="auto"/>
        <w:left w:val="none" w:sz="0" w:space="0" w:color="auto"/>
        <w:bottom w:val="none" w:sz="0" w:space="0" w:color="auto"/>
        <w:right w:val="none" w:sz="0" w:space="0" w:color="auto"/>
      </w:divBdr>
    </w:div>
    <w:div w:id="1658879270">
      <w:bodyDiv w:val="1"/>
      <w:marLeft w:val="0"/>
      <w:marRight w:val="0"/>
      <w:marTop w:val="0"/>
      <w:marBottom w:val="0"/>
      <w:divBdr>
        <w:top w:val="none" w:sz="0" w:space="0" w:color="auto"/>
        <w:left w:val="none" w:sz="0" w:space="0" w:color="auto"/>
        <w:bottom w:val="none" w:sz="0" w:space="0" w:color="auto"/>
        <w:right w:val="none" w:sz="0" w:space="0" w:color="auto"/>
      </w:divBdr>
    </w:div>
    <w:div w:id="1659923139">
      <w:bodyDiv w:val="1"/>
      <w:marLeft w:val="0"/>
      <w:marRight w:val="0"/>
      <w:marTop w:val="0"/>
      <w:marBottom w:val="0"/>
      <w:divBdr>
        <w:top w:val="none" w:sz="0" w:space="0" w:color="auto"/>
        <w:left w:val="none" w:sz="0" w:space="0" w:color="auto"/>
        <w:bottom w:val="none" w:sz="0" w:space="0" w:color="auto"/>
        <w:right w:val="none" w:sz="0" w:space="0" w:color="auto"/>
      </w:divBdr>
    </w:div>
    <w:div w:id="1662005064">
      <w:bodyDiv w:val="1"/>
      <w:marLeft w:val="0"/>
      <w:marRight w:val="0"/>
      <w:marTop w:val="0"/>
      <w:marBottom w:val="0"/>
      <w:divBdr>
        <w:top w:val="none" w:sz="0" w:space="0" w:color="auto"/>
        <w:left w:val="none" w:sz="0" w:space="0" w:color="auto"/>
        <w:bottom w:val="none" w:sz="0" w:space="0" w:color="auto"/>
        <w:right w:val="none" w:sz="0" w:space="0" w:color="auto"/>
      </w:divBdr>
    </w:div>
    <w:div w:id="1663584064">
      <w:bodyDiv w:val="1"/>
      <w:marLeft w:val="0"/>
      <w:marRight w:val="0"/>
      <w:marTop w:val="0"/>
      <w:marBottom w:val="0"/>
      <w:divBdr>
        <w:top w:val="none" w:sz="0" w:space="0" w:color="auto"/>
        <w:left w:val="none" w:sz="0" w:space="0" w:color="auto"/>
        <w:bottom w:val="none" w:sz="0" w:space="0" w:color="auto"/>
        <w:right w:val="none" w:sz="0" w:space="0" w:color="auto"/>
      </w:divBdr>
    </w:div>
    <w:div w:id="1665429660">
      <w:bodyDiv w:val="1"/>
      <w:marLeft w:val="0"/>
      <w:marRight w:val="0"/>
      <w:marTop w:val="0"/>
      <w:marBottom w:val="0"/>
      <w:divBdr>
        <w:top w:val="none" w:sz="0" w:space="0" w:color="auto"/>
        <w:left w:val="none" w:sz="0" w:space="0" w:color="auto"/>
        <w:bottom w:val="none" w:sz="0" w:space="0" w:color="auto"/>
        <w:right w:val="none" w:sz="0" w:space="0" w:color="auto"/>
      </w:divBdr>
    </w:div>
    <w:div w:id="1665432688">
      <w:bodyDiv w:val="1"/>
      <w:marLeft w:val="0"/>
      <w:marRight w:val="0"/>
      <w:marTop w:val="0"/>
      <w:marBottom w:val="0"/>
      <w:divBdr>
        <w:top w:val="none" w:sz="0" w:space="0" w:color="auto"/>
        <w:left w:val="none" w:sz="0" w:space="0" w:color="auto"/>
        <w:bottom w:val="none" w:sz="0" w:space="0" w:color="auto"/>
        <w:right w:val="none" w:sz="0" w:space="0" w:color="auto"/>
      </w:divBdr>
    </w:div>
    <w:div w:id="1665737370">
      <w:bodyDiv w:val="1"/>
      <w:marLeft w:val="0"/>
      <w:marRight w:val="0"/>
      <w:marTop w:val="0"/>
      <w:marBottom w:val="0"/>
      <w:divBdr>
        <w:top w:val="none" w:sz="0" w:space="0" w:color="auto"/>
        <w:left w:val="none" w:sz="0" w:space="0" w:color="auto"/>
        <w:bottom w:val="none" w:sz="0" w:space="0" w:color="auto"/>
        <w:right w:val="none" w:sz="0" w:space="0" w:color="auto"/>
      </w:divBdr>
    </w:div>
    <w:div w:id="1667589766">
      <w:bodyDiv w:val="1"/>
      <w:marLeft w:val="0"/>
      <w:marRight w:val="0"/>
      <w:marTop w:val="0"/>
      <w:marBottom w:val="0"/>
      <w:divBdr>
        <w:top w:val="none" w:sz="0" w:space="0" w:color="auto"/>
        <w:left w:val="none" w:sz="0" w:space="0" w:color="auto"/>
        <w:bottom w:val="none" w:sz="0" w:space="0" w:color="auto"/>
        <w:right w:val="none" w:sz="0" w:space="0" w:color="auto"/>
      </w:divBdr>
    </w:div>
    <w:div w:id="1668824860">
      <w:bodyDiv w:val="1"/>
      <w:marLeft w:val="0"/>
      <w:marRight w:val="0"/>
      <w:marTop w:val="0"/>
      <w:marBottom w:val="0"/>
      <w:divBdr>
        <w:top w:val="none" w:sz="0" w:space="0" w:color="auto"/>
        <w:left w:val="none" w:sz="0" w:space="0" w:color="auto"/>
        <w:bottom w:val="none" w:sz="0" w:space="0" w:color="auto"/>
        <w:right w:val="none" w:sz="0" w:space="0" w:color="auto"/>
      </w:divBdr>
    </w:div>
    <w:div w:id="1669601318">
      <w:bodyDiv w:val="1"/>
      <w:marLeft w:val="0"/>
      <w:marRight w:val="0"/>
      <w:marTop w:val="0"/>
      <w:marBottom w:val="0"/>
      <w:divBdr>
        <w:top w:val="none" w:sz="0" w:space="0" w:color="auto"/>
        <w:left w:val="none" w:sz="0" w:space="0" w:color="auto"/>
        <w:bottom w:val="none" w:sz="0" w:space="0" w:color="auto"/>
        <w:right w:val="none" w:sz="0" w:space="0" w:color="auto"/>
      </w:divBdr>
    </w:div>
    <w:div w:id="1670448077">
      <w:bodyDiv w:val="1"/>
      <w:marLeft w:val="0"/>
      <w:marRight w:val="0"/>
      <w:marTop w:val="0"/>
      <w:marBottom w:val="0"/>
      <w:divBdr>
        <w:top w:val="none" w:sz="0" w:space="0" w:color="auto"/>
        <w:left w:val="none" w:sz="0" w:space="0" w:color="auto"/>
        <w:bottom w:val="none" w:sz="0" w:space="0" w:color="auto"/>
        <w:right w:val="none" w:sz="0" w:space="0" w:color="auto"/>
      </w:divBdr>
    </w:div>
    <w:div w:id="1670517165">
      <w:bodyDiv w:val="1"/>
      <w:marLeft w:val="0"/>
      <w:marRight w:val="0"/>
      <w:marTop w:val="0"/>
      <w:marBottom w:val="0"/>
      <w:divBdr>
        <w:top w:val="none" w:sz="0" w:space="0" w:color="auto"/>
        <w:left w:val="none" w:sz="0" w:space="0" w:color="auto"/>
        <w:bottom w:val="none" w:sz="0" w:space="0" w:color="auto"/>
        <w:right w:val="none" w:sz="0" w:space="0" w:color="auto"/>
      </w:divBdr>
    </w:div>
    <w:div w:id="1671636871">
      <w:bodyDiv w:val="1"/>
      <w:marLeft w:val="0"/>
      <w:marRight w:val="0"/>
      <w:marTop w:val="0"/>
      <w:marBottom w:val="0"/>
      <w:divBdr>
        <w:top w:val="none" w:sz="0" w:space="0" w:color="auto"/>
        <w:left w:val="none" w:sz="0" w:space="0" w:color="auto"/>
        <w:bottom w:val="none" w:sz="0" w:space="0" w:color="auto"/>
        <w:right w:val="none" w:sz="0" w:space="0" w:color="auto"/>
      </w:divBdr>
      <w:divsChild>
        <w:div w:id="537160377">
          <w:marLeft w:val="0"/>
          <w:marRight w:val="0"/>
          <w:marTop w:val="0"/>
          <w:marBottom w:val="0"/>
          <w:divBdr>
            <w:top w:val="none" w:sz="0" w:space="0" w:color="auto"/>
            <w:left w:val="none" w:sz="0" w:space="0" w:color="auto"/>
            <w:bottom w:val="none" w:sz="0" w:space="0" w:color="auto"/>
            <w:right w:val="none" w:sz="0" w:space="0" w:color="auto"/>
          </w:divBdr>
        </w:div>
      </w:divsChild>
    </w:div>
    <w:div w:id="1672022900">
      <w:bodyDiv w:val="1"/>
      <w:marLeft w:val="0"/>
      <w:marRight w:val="0"/>
      <w:marTop w:val="0"/>
      <w:marBottom w:val="0"/>
      <w:divBdr>
        <w:top w:val="none" w:sz="0" w:space="0" w:color="auto"/>
        <w:left w:val="none" w:sz="0" w:space="0" w:color="auto"/>
        <w:bottom w:val="none" w:sz="0" w:space="0" w:color="auto"/>
        <w:right w:val="none" w:sz="0" w:space="0" w:color="auto"/>
      </w:divBdr>
    </w:div>
    <w:div w:id="1672099501">
      <w:bodyDiv w:val="1"/>
      <w:marLeft w:val="0"/>
      <w:marRight w:val="0"/>
      <w:marTop w:val="0"/>
      <w:marBottom w:val="0"/>
      <w:divBdr>
        <w:top w:val="none" w:sz="0" w:space="0" w:color="auto"/>
        <w:left w:val="none" w:sz="0" w:space="0" w:color="auto"/>
        <w:bottom w:val="none" w:sz="0" w:space="0" w:color="auto"/>
        <w:right w:val="none" w:sz="0" w:space="0" w:color="auto"/>
      </w:divBdr>
    </w:div>
    <w:div w:id="1673684865">
      <w:bodyDiv w:val="1"/>
      <w:marLeft w:val="0"/>
      <w:marRight w:val="0"/>
      <w:marTop w:val="0"/>
      <w:marBottom w:val="0"/>
      <w:divBdr>
        <w:top w:val="none" w:sz="0" w:space="0" w:color="auto"/>
        <w:left w:val="none" w:sz="0" w:space="0" w:color="auto"/>
        <w:bottom w:val="none" w:sz="0" w:space="0" w:color="auto"/>
        <w:right w:val="none" w:sz="0" w:space="0" w:color="auto"/>
      </w:divBdr>
    </w:div>
    <w:div w:id="1674261576">
      <w:bodyDiv w:val="1"/>
      <w:marLeft w:val="0"/>
      <w:marRight w:val="0"/>
      <w:marTop w:val="0"/>
      <w:marBottom w:val="0"/>
      <w:divBdr>
        <w:top w:val="none" w:sz="0" w:space="0" w:color="auto"/>
        <w:left w:val="none" w:sz="0" w:space="0" w:color="auto"/>
        <w:bottom w:val="none" w:sz="0" w:space="0" w:color="auto"/>
        <w:right w:val="none" w:sz="0" w:space="0" w:color="auto"/>
      </w:divBdr>
    </w:div>
    <w:div w:id="1675721781">
      <w:bodyDiv w:val="1"/>
      <w:marLeft w:val="0"/>
      <w:marRight w:val="0"/>
      <w:marTop w:val="0"/>
      <w:marBottom w:val="0"/>
      <w:divBdr>
        <w:top w:val="none" w:sz="0" w:space="0" w:color="auto"/>
        <w:left w:val="none" w:sz="0" w:space="0" w:color="auto"/>
        <w:bottom w:val="none" w:sz="0" w:space="0" w:color="auto"/>
        <w:right w:val="none" w:sz="0" w:space="0" w:color="auto"/>
      </w:divBdr>
    </w:div>
    <w:div w:id="1676112889">
      <w:bodyDiv w:val="1"/>
      <w:marLeft w:val="0"/>
      <w:marRight w:val="0"/>
      <w:marTop w:val="0"/>
      <w:marBottom w:val="0"/>
      <w:divBdr>
        <w:top w:val="none" w:sz="0" w:space="0" w:color="auto"/>
        <w:left w:val="none" w:sz="0" w:space="0" w:color="auto"/>
        <w:bottom w:val="none" w:sz="0" w:space="0" w:color="auto"/>
        <w:right w:val="none" w:sz="0" w:space="0" w:color="auto"/>
      </w:divBdr>
    </w:div>
    <w:div w:id="1677415563">
      <w:bodyDiv w:val="1"/>
      <w:marLeft w:val="0"/>
      <w:marRight w:val="0"/>
      <w:marTop w:val="0"/>
      <w:marBottom w:val="0"/>
      <w:divBdr>
        <w:top w:val="none" w:sz="0" w:space="0" w:color="auto"/>
        <w:left w:val="none" w:sz="0" w:space="0" w:color="auto"/>
        <w:bottom w:val="none" w:sz="0" w:space="0" w:color="auto"/>
        <w:right w:val="none" w:sz="0" w:space="0" w:color="auto"/>
      </w:divBdr>
    </w:div>
    <w:div w:id="1678189466">
      <w:bodyDiv w:val="1"/>
      <w:marLeft w:val="0"/>
      <w:marRight w:val="0"/>
      <w:marTop w:val="0"/>
      <w:marBottom w:val="0"/>
      <w:divBdr>
        <w:top w:val="none" w:sz="0" w:space="0" w:color="auto"/>
        <w:left w:val="none" w:sz="0" w:space="0" w:color="auto"/>
        <w:bottom w:val="none" w:sz="0" w:space="0" w:color="auto"/>
        <w:right w:val="none" w:sz="0" w:space="0" w:color="auto"/>
      </w:divBdr>
    </w:div>
    <w:div w:id="1682121788">
      <w:bodyDiv w:val="1"/>
      <w:marLeft w:val="0"/>
      <w:marRight w:val="0"/>
      <w:marTop w:val="0"/>
      <w:marBottom w:val="0"/>
      <w:divBdr>
        <w:top w:val="none" w:sz="0" w:space="0" w:color="auto"/>
        <w:left w:val="none" w:sz="0" w:space="0" w:color="auto"/>
        <w:bottom w:val="none" w:sz="0" w:space="0" w:color="auto"/>
        <w:right w:val="none" w:sz="0" w:space="0" w:color="auto"/>
      </w:divBdr>
    </w:div>
    <w:div w:id="1682664420">
      <w:bodyDiv w:val="1"/>
      <w:marLeft w:val="0"/>
      <w:marRight w:val="0"/>
      <w:marTop w:val="0"/>
      <w:marBottom w:val="0"/>
      <w:divBdr>
        <w:top w:val="none" w:sz="0" w:space="0" w:color="auto"/>
        <w:left w:val="none" w:sz="0" w:space="0" w:color="auto"/>
        <w:bottom w:val="none" w:sz="0" w:space="0" w:color="auto"/>
        <w:right w:val="none" w:sz="0" w:space="0" w:color="auto"/>
      </w:divBdr>
    </w:div>
    <w:div w:id="1686325949">
      <w:bodyDiv w:val="1"/>
      <w:marLeft w:val="0"/>
      <w:marRight w:val="0"/>
      <w:marTop w:val="0"/>
      <w:marBottom w:val="0"/>
      <w:divBdr>
        <w:top w:val="none" w:sz="0" w:space="0" w:color="auto"/>
        <w:left w:val="none" w:sz="0" w:space="0" w:color="auto"/>
        <w:bottom w:val="none" w:sz="0" w:space="0" w:color="auto"/>
        <w:right w:val="none" w:sz="0" w:space="0" w:color="auto"/>
      </w:divBdr>
    </w:div>
    <w:div w:id="1686907186">
      <w:bodyDiv w:val="1"/>
      <w:marLeft w:val="0"/>
      <w:marRight w:val="0"/>
      <w:marTop w:val="0"/>
      <w:marBottom w:val="0"/>
      <w:divBdr>
        <w:top w:val="none" w:sz="0" w:space="0" w:color="auto"/>
        <w:left w:val="none" w:sz="0" w:space="0" w:color="auto"/>
        <w:bottom w:val="none" w:sz="0" w:space="0" w:color="auto"/>
        <w:right w:val="none" w:sz="0" w:space="0" w:color="auto"/>
      </w:divBdr>
    </w:div>
    <w:div w:id="1686981779">
      <w:bodyDiv w:val="1"/>
      <w:marLeft w:val="0"/>
      <w:marRight w:val="0"/>
      <w:marTop w:val="0"/>
      <w:marBottom w:val="0"/>
      <w:divBdr>
        <w:top w:val="none" w:sz="0" w:space="0" w:color="auto"/>
        <w:left w:val="none" w:sz="0" w:space="0" w:color="auto"/>
        <w:bottom w:val="none" w:sz="0" w:space="0" w:color="auto"/>
        <w:right w:val="none" w:sz="0" w:space="0" w:color="auto"/>
      </w:divBdr>
    </w:div>
    <w:div w:id="1688674705">
      <w:bodyDiv w:val="1"/>
      <w:marLeft w:val="0"/>
      <w:marRight w:val="0"/>
      <w:marTop w:val="0"/>
      <w:marBottom w:val="0"/>
      <w:divBdr>
        <w:top w:val="none" w:sz="0" w:space="0" w:color="auto"/>
        <w:left w:val="none" w:sz="0" w:space="0" w:color="auto"/>
        <w:bottom w:val="none" w:sz="0" w:space="0" w:color="auto"/>
        <w:right w:val="none" w:sz="0" w:space="0" w:color="auto"/>
      </w:divBdr>
    </w:div>
    <w:div w:id="1695613090">
      <w:bodyDiv w:val="1"/>
      <w:marLeft w:val="0"/>
      <w:marRight w:val="0"/>
      <w:marTop w:val="0"/>
      <w:marBottom w:val="0"/>
      <w:divBdr>
        <w:top w:val="none" w:sz="0" w:space="0" w:color="auto"/>
        <w:left w:val="none" w:sz="0" w:space="0" w:color="auto"/>
        <w:bottom w:val="none" w:sz="0" w:space="0" w:color="auto"/>
        <w:right w:val="none" w:sz="0" w:space="0" w:color="auto"/>
      </w:divBdr>
    </w:div>
    <w:div w:id="1700546465">
      <w:bodyDiv w:val="1"/>
      <w:marLeft w:val="0"/>
      <w:marRight w:val="0"/>
      <w:marTop w:val="0"/>
      <w:marBottom w:val="0"/>
      <w:divBdr>
        <w:top w:val="none" w:sz="0" w:space="0" w:color="auto"/>
        <w:left w:val="none" w:sz="0" w:space="0" w:color="auto"/>
        <w:bottom w:val="none" w:sz="0" w:space="0" w:color="auto"/>
        <w:right w:val="none" w:sz="0" w:space="0" w:color="auto"/>
      </w:divBdr>
    </w:div>
    <w:div w:id="1704404302">
      <w:bodyDiv w:val="1"/>
      <w:marLeft w:val="0"/>
      <w:marRight w:val="0"/>
      <w:marTop w:val="0"/>
      <w:marBottom w:val="0"/>
      <w:divBdr>
        <w:top w:val="none" w:sz="0" w:space="0" w:color="auto"/>
        <w:left w:val="none" w:sz="0" w:space="0" w:color="auto"/>
        <w:bottom w:val="none" w:sz="0" w:space="0" w:color="auto"/>
        <w:right w:val="none" w:sz="0" w:space="0" w:color="auto"/>
      </w:divBdr>
    </w:div>
    <w:div w:id="1705213055">
      <w:bodyDiv w:val="1"/>
      <w:marLeft w:val="0"/>
      <w:marRight w:val="0"/>
      <w:marTop w:val="0"/>
      <w:marBottom w:val="0"/>
      <w:divBdr>
        <w:top w:val="none" w:sz="0" w:space="0" w:color="auto"/>
        <w:left w:val="none" w:sz="0" w:space="0" w:color="auto"/>
        <w:bottom w:val="none" w:sz="0" w:space="0" w:color="auto"/>
        <w:right w:val="none" w:sz="0" w:space="0" w:color="auto"/>
      </w:divBdr>
    </w:div>
    <w:div w:id="1705323524">
      <w:bodyDiv w:val="1"/>
      <w:marLeft w:val="0"/>
      <w:marRight w:val="0"/>
      <w:marTop w:val="0"/>
      <w:marBottom w:val="0"/>
      <w:divBdr>
        <w:top w:val="none" w:sz="0" w:space="0" w:color="auto"/>
        <w:left w:val="none" w:sz="0" w:space="0" w:color="auto"/>
        <w:bottom w:val="none" w:sz="0" w:space="0" w:color="auto"/>
        <w:right w:val="none" w:sz="0" w:space="0" w:color="auto"/>
      </w:divBdr>
    </w:div>
    <w:div w:id="1705786033">
      <w:bodyDiv w:val="1"/>
      <w:marLeft w:val="0"/>
      <w:marRight w:val="0"/>
      <w:marTop w:val="0"/>
      <w:marBottom w:val="0"/>
      <w:divBdr>
        <w:top w:val="none" w:sz="0" w:space="0" w:color="auto"/>
        <w:left w:val="none" w:sz="0" w:space="0" w:color="auto"/>
        <w:bottom w:val="none" w:sz="0" w:space="0" w:color="auto"/>
        <w:right w:val="none" w:sz="0" w:space="0" w:color="auto"/>
      </w:divBdr>
    </w:div>
    <w:div w:id="1706324509">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09717353">
      <w:bodyDiv w:val="1"/>
      <w:marLeft w:val="0"/>
      <w:marRight w:val="0"/>
      <w:marTop w:val="0"/>
      <w:marBottom w:val="0"/>
      <w:divBdr>
        <w:top w:val="none" w:sz="0" w:space="0" w:color="auto"/>
        <w:left w:val="none" w:sz="0" w:space="0" w:color="auto"/>
        <w:bottom w:val="none" w:sz="0" w:space="0" w:color="auto"/>
        <w:right w:val="none" w:sz="0" w:space="0" w:color="auto"/>
      </w:divBdr>
    </w:div>
    <w:div w:id="1710034556">
      <w:bodyDiv w:val="1"/>
      <w:marLeft w:val="0"/>
      <w:marRight w:val="0"/>
      <w:marTop w:val="0"/>
      <w:marBottom w:val="0"/>
      <w:divBdr>
        <w:top w:val="none" w:sz="0" w:space="0" w:color="auto"/>
        <w:left w:val="none" w:sz="0" w:space="0" w:color="auto"/>
        <w:bottom w:val="none" w:sz="0" w:space="0" w:color="auto"/>
        <w:right w:val="none" w:sz="0" w:space="0" w:color="auto"/>
      </w:divBdr>
    </w:div>
    <w:div w:id="1710062665">
      <w:bodyDiv w:val="1"/>
      <w:marLeft w:val="0"/>
      <w:marRight w:val="0"/>
      <w:marTop w:val="0"/>
      <w:marBottom w:val="0"/>
      <w:divBdr>
        <w:top w:val="none" w:sz="0" w:space="0" w:color="auto"/>
        <w:left w:val="none" w:sz="0" w:space="0" w:color="auto"/>
        <w:bottom w:val="none" w:sz="0" w:space="0" w:color="auto"/>
        <w:right w:val="none" w:sz="0" w:space="0" w:color="auto"/>
      </w:divBdr>
    </w:div>
    <w:div w:id="1710883312">
      <w:bodyDiv w:val="1"/>
      <w:marLeft w:val="0"/>
      <w:marRight w:val="0"/>
      <w:marTop w:val="0"/>
      <w:marBottom w:val="0"/>
      <w:divBdr>
        <w:top w:val="none" w:sz="0" w:space="0" w:color="auto"/>
        <w:left w:val="none" w:sz="0" w:space="0" w:color="auto"/>
        <w:bottom w:val="none" w:sz="0" w:space="0" w:color="auto"/>
        <w:right w:val="none" w:sz="0" w:space="0" w:color="auto"/>
      </w:divBdr>
    </w:div>
    <w:div w:id="1711033728">
      <w:bodyDiv w:val="1"/>
      <w:marLeft w:val="0"/>
      <w:marRight w:val="0"/>
      <w:marTop w:val="0"/>
      <w:marBottom w:val="0"/>
      <w:divBdr>
        <w:top w:val="none" w:sz="0" w:space="0" w:color="auto"/>
        <w:left w:val="none" w:sz="0" w:space="0" w:color="auto"/>
        <w:bottom w:val="none" w:sz="0" w:space="0" w:color="auto"/>
        <w:right w:val="none" w:sz="0" w:space="0" w:color="auto"/>
      </w:divBdr>
    </w:div>
    <w:div w:id="1712656520">
      <w:bodyDiv w:val="1"/>
      <w:marLeft w:val="0"/>
      <w:marRight w:val="0"/>
      <w:marTop w:val="0"/>
      <w:marBottom w:val="0"/>
      <w:divBdr>
        <w:top w:val="none" w:sz="0" w:space="0" w:color="auto"/>
        <w:left w:val="none" w:sz="0" w:space="0" w:color="auto"/>
        <w:bottom w:val="none" w:sz="0" w:space="0" w:color="auto"/>
        <w:right w:val="none" w:sz="0" w:space="0" w:color="auto"/>
      </w:divBdr>
    </w:div>
    <w:div w:id="1713841734">
      <w:bodyDiv w:val="1"/>
      <w:marLeft w:val="0"/>
      <w:marRight w:val="0"/>
      <w:marTop w:val="0"/>
      <w:marBottom w:val="0"/>
      <w:divBdr>
        <w:top w:val="none" w:sz="0" w:space="0" w:color="auto"/>
        <w:left w:val="none" w:sz="0" w:space="0" w:color="auto"/>
        <w:bottom w:val="none" w:sz="0" w:space="0" w:color="auto"/>
        <w:right w:val="none" w:sz="0" w:space="0" w:color="auto"/>
      </w:divBdr>
    </w:div>
    <w:div w:id="1713842337">
      <w:bodyDiv w:val="1"/>
      <w:marLeft w:val="0"/>
      <w:marRight w:val="0"/>
      <w:marTop w:val="0"/>
      <w:marBottom w:val="0"/>
      <w:divBdr>
        <w:top w:val="none" w:sz="0" w:space="0" w:color="auto"/>
        <w:left w:val="none" w:sz="0" w:space="0" w:color="auto"/>
        <w:bottom w:val="none" w:sz="0" w:space="0" w:color="auto"/>
        <w:right w:val="none" w:sz="0" w:space="0" w:color="auto"/>
      </w:divBdr>
    </w:div>
    <w:div w:id="1713845441">
      <w:bodyDiv w:val="1"/>
      <w:marLeft w:val="0"/>
      <w:marRight w:val="0"/>
      <w:marTop w:val="0"/>
      <w:marBottom w:val="0"/>
      <w:divBdr>
        <w:top w:val="none" w:sz="0" w:space="0" w:color="auto"/>
        <w:left w:val="none" w:sz="0" w:space="0" w:color="auto"/>
        <w:bottom w:val="none" w:sz="0" w:space="0" w:color="auto"/>
        <w:right w:val="none" w:sz="0" w:space="0" w:color="auto"/>
      </w:divBdr>
    </w:div>
    <w:div w:id="1717194351">
      <w:bodyDiv w:val="1"/>
      <w:marLeft w:val="0"/>
      <w:marRight w:val="0"/>
      <w:marTop w:val="0"/>
      <w:marBottom w:val="0"/>
      <w:divBdr>
        <w:top w:val="none" w:sz="0" w:space="0" w:color="auto"/>
        <w:left w:val="none" w:sz="0" w:space="0" w:color="auto"/>
        <w:bottom w:val="none" w:sz="0" w:space="0" w:color="auto"/>
        <w:right w:val="none" w:sz="0" w:space="0" w:color="auto"/>
      </w:divBdr>
    </w:div>
    <w:div w:id="1720519396">
      <w:bodyDiv w:val="1"/>
      <w:marLeft w:val="0"/>
      <w:marRight w:val="0"/>
      <w:marTop w:val="0"/>
      <w:marBottom w:val="0"/>
      <w:divBdr>
        <w:top w:val="none" w:sz="0" w:space="0" w:color="auto"/>
        <w:left w:val="none" w:sz="0" w:space="0" w:color="auto"/>
        <w:bottom w:val="none" w:sz="0" w:space="0" w:color="auto"/>
        <w:right w:val="none" w:sz="0" w:space="0" w:color="auto"/>
      </w:divBdr>
    </w:div>
    <w:div w:id="1721784018">
      <w:bodyDiv w:val="1"/>
      <w:marLeft w:val="0"/>
      <w:marRight w:val="0"/>
      <w:marTop w:val="0"/>
      <w:marBottom w:val="0"/>
      <w:divBdr>
        <w:top w:val="none" w:sz="0" w:space="0" w:color="auto"/>
        <w:left w:val="none" w:sz="0" w:space="0" w:color="auto"/>
        <w:bottom w:val="none" w:sz="0" w:space="0" w:color="auto"/>
        <w:right w:val="none" w:sz="0" w:space="0" w:color="auto"/>
      </w:divBdr>
    </w:div>
    <w:div w:id="1722048794">
      <w:bodyDiv w:val="1"/>
      <w:marLeft w:val="0"/>
      <w:marRight w:val="0"/>
      <w:marTop w:val="0"/>
      <w:marBottom w:val="0"/>
      <w:divBdr>
        <w:top w:val="none" w:sz="0" w:space="0" w:color="auto"/>
        <w:left w:val="none" w:sz="0" w:space="0" w:color="auto"/>
        <w:bottom w:val="none" w:sz="0" w:space="0" w:color="auto"/>
        <w:right w:val="none" w:sz="0" w:space="0" w:color="auto"/>
      </w:divBdr>
    </w:div>
    <w:div w:id="1724719272">
      <w:bodyDiv w:val="1"/>
      <w:marLeft w:val="0"/>
      <w:marRight w:val="0"/>
      <w:marTop w:val="0"/>
      <w:marBottom w:val="0"/>
      <w:divBdr>
        <w:top w:val="none" w:sz="0" w:space="0" w:color="auto"/>
        <w:left w:val="none" w:sz="0" w:space="0" w:color="auto"/>
        <w:bottom w:val="none" w:sz="0" w:space="0" w:color="auto"/>
        <w:right w:val="none" w:sz="0" w:space="0" w:color="auto"/>
      </w:divBdr>
    </w:div>
    <w:div w:id="1725910219">
      <w:bodyDiv w:val="1"/>
      <w:marLeft w:val="0"/>
      <w:marRight w:val="0"/>
      <w:marTop w:val="0"/>
      <w:marBottom w:val="0"/>
      <w:divBdr>
        <w:top w:val="none" w:sz="0" w:space="0" w:color="auto"/>
        <w:left w:val="none" w:sz="0" w:space="0" w:color="auto"/>
        <w:bottom w:val="none" w:sz="0" w:space="0" w:color="auto"/>
        <w:right w:val="none" w:sz="0" w:space="0" w:color="auto"/>
      </w:divBdr>
    </w:div>
    <w:div w:id="1728796917">
      <w:bodyDiv w:val="1"/>
      <w:marLeft w:val="0"/>
      <w:marRight w:val="0"/>
      <w:marTop w:val="0"/>
      <w:marBottom w:val="0"/>
      <w:divBdr>
        <w:top w:val="none" w:sz="0" w:space="0" w:color="auto"/>
        <w:left w:val="none" w:sz="0" w:space="0" w:color="auto"/>
        <w:bottom w:val="none" w:sz="0" w:space="0" w:color="auto"/>
        <w:right w:val="none" w:sz="0" w:space="0" w:color="auto"/>
      </w:divBdr>
    </w:div>
    <w:div w:id="1732725671">
      <w:bodyDiv w:val="1"/>
      <w:marLeft w:val="0"/>
      <w:marRight w:val="0"/>
      <w:marTop w:val="0"/>
      <w:marBottom w:val="0"/>
      <w:divBdr>
        <w:top w:val="none" w:sz="0" w:space="0" w:color="auto"/>
        <w:left w:val="none" w:sz="0" w:space="0" w:color="auto"/>
        <w:bottom w:val="none" w:sz="0" w:space="0" w:color="auto"/>
        <w:right w:val="none" w:sz="0" w:space="0" w:color="auto"/>
      </w:divBdr>
    </w:div>
    <w:div w:id="1733196368">
      <w:bodyDiv w:val="1"/>
      <w:marLeft w:val="0"/>
      <w:marRight w:val="0"/>
      <w:marTop w:val="0"/>
      <w:marBottom w:val="0"/>
      <w:divBdr>
        <w:top w:val="none" w:sz="0" w:space="0" w:color="auto"/>
        <w:left w:val="none" w:sz="0" w:space="0" w:color="auto"/>
        <w:bottom w:val="none" w:sz="0" w:space="0" w:color="auto"/>
        <w:right w:val="none" w:sz="0" w:space="0" w:color="auto"/>
      </w:divBdr>
    </w:div>
    <w:div w:id="1734038182">
      <w:bodyDiv w:val="1"/>
      <w:marLeft w:val="0"/>
      <w:marRight w:val="0"/>
      <w:marTop w:val="0"/>
      <w:marBottom w:val="0"/>
      <w:divBdr>
        <w:top w:val="none" w:sz="0" w:space="0" w:color="auto"/>
        <w:left w:val="none" w:sz="0" w:space="0" w:color="auto"/>
        <w:bottom w:val="none" w:sz="0" w:space="0" w:color="auto"/>
        <w:right w:val="none" w:sz="0" w:space="0" w:color="auto"/>
      </w:divBdr>
    </w:div>
    <w:div w:id="1735547700">
      <w:bodyDiv w:val="1"/>
      <w:marLeft w:val="0"/>
      <w:marRight w:val="0"/>
      <w:marTop w:val="0"/>
      <w:marBottom w:val="0"/>
      <w:divBdr>
        <w:top w:val="none" w:sz="0" w:space="0" w:color="auto"/>
        <w:left w:val="none" w:sz="0" w:space="0" w:color="auto"/>
        <w:bottom w:val="none" w:sz="0" w:space="0" w:color="auto"/>
        <w:right w:val="none" w:sz="0" w:space="0" w:color="auto"/>
      </w:divBdr>
    </w:div>
    <w:div w:id="1737170443">
      <w:bodyDiv w:val="1"/>
      <w:marLeft w:val="0"/>
      <w:marRight w:val="0"/>
      <w:marTop w:val="0"/>
      <w:marBottom w:val="0"/>
      <w:divBdr>
        <w:top w:val="none" w:sz="0" w:space="0" w:color="auto"/>
        <w:left w:val="none" w:sz="0" w:space="0" w:color="auto"/>
        <w:bottom w:val="none" w:sz="0" w:space="0" w:color="auto"/>
        <w:right w:val="none" w:sz="0" w:space="0" w:color="auto"/>
      </w:divBdr>
    </w:div>
    <w:div w:id="1737624386">
      <w:bodyDiv w:val="1"/>
      <w:marLeft w:val="0"/>
      <w:marRight w:val="0"/>
      <w:marTop w:val="0"/>
      <w:marBottom w:val="0"/>
      <w:divBdr>
        <w:top w:val="none" w:sz="0" w:space="0" w:color="auto"/>
        <w:left w:val="none" w:sz="0" w:space="0" w:color="auto"/>
        <w:bottom w:val="none" w:sz="0" w:space="0" w:color="auto"/>
        <w:right w:val="none" w:sz="0" w:space="0" w:color="auto"/>
      </w:divBdr>
    </w:div>
    <w:div w:id="1737849950">
      <w:bodyDiv w:val="1"/>
      <w:marLeft w:val="0"/>
      <w:marRight w:val="0"/>
      <w:marTop w:val="0"/>
      <w:marBottom w:val="0"/>
      <w:divBdr>
        <w:top w:val="none" w:sz="0" w:space="0" w:color="auto"/>
        <w:left w:val="none" w:sz="0" w:space="0" w:color="auto"/>
        <w:bottom w:val="none" w:sz="0" w:space="0" w:color="auto"/>
        <w:right w:val="none" w:sz="0" w:space="0" w:color="auto"/>
      </w:divBdr>
    </w:div>
    <w:div w:id="1739549519">
      <w:bodyDiv w:val="1"/>
      <w:marLeft w:val="0"/>
      <w:marRight w:val="0"/>
      <w:marTop w:val="0"/>
      <w:marBottom w:val="0"/>
      <w:divBdr>
        <w:top w:val="none" w:sz="0" w:space="0" w:color="auto"/>
        <w:left w:val="none" w:sz="0" w:space="0" w:color="auto"/>
        <w:bottom w:val="none" w:sz="0" w:space="0" w:color="auto"/>
        <w:right w:val="none" w:sz="0" w:space="0" w:color="auto"/>
      </w:divBdr>
    </w:div>
    <w:div w:id="1739864069">
      <w:bodyDiv w:val="1"/>
      <w:marLeft w:val="0"/>
      <w:marRight w:val="0"/>
      <w:marTop w:val="0"/>
      <w:marBottom w:val="0"/>
      <w:divBdr>
        <w:top w:val="none" w:sz="0" w:space="0" w:color="auto"/>
        <w:left w:val="none" w:sz="0" w:space="0" w:color="auto"/>
        <w:bottom w:val="none" w:sz="0" w:space="0" w:color="auto"/>
        <w:right w:val="none" w:sz="0" w:space="0" w:color="auto"/>
      </w:divBdr>
    </w:div>
    <w:div w:id="1741322983">
      <w:bodyDiv w:val="1"/>
      <w:marLeft w:val="0"/>
      <w:marRight w:val="0"/>
      <w:marTop w:val="0"/>
      <w:marBottom w:val="0"/>
      <w:divBdr>
        <w:top w:val="none" w:sz="0" w:space="0" w:color="auto"/>
        <w:left w:val="none" w:sz="0" w:space="0" w:color="auto"/>
        <w:bottom w:val="none" w:sz="0" w:space="0" w:color="auto"/>
        <w:right w:val="none" w:sz="0" w:space="0" w:color="auto"/>
      </w:divBdr>
    </w:div>
    <w:div w:id="1742674009">
      <w:bodyDiv w:val="1"/>
      <w:marLeft w:val="0"/>
      <w:marRight w:val="0"/>
      <w:marTop w:val="0"/>
      <w:marBottom w:val="0"/>
      <w:divBdr>
        <w:top w:val="none" w:sz="0" w:space="0" w:color="auto"/>
        <w:left w:val="none" w:sz="0" w:space="0" w:color="auto"/>
        <w:bottom w:val="none" w:sz="0" w:space="0" w:color="auto"/>
        <w:right w:val="none" w:sz="0" w:space="0" w:color="auto"/>
      </w:divBdr>
    </w:div>
    <w:div w:id="1744330695">
      <w:bodyDiv w:val="1"/>
      <w:marLeft w:val="0"/>
      <w:marRight w:val="0"/>
      <w:marTop w:val="0"/>
      <w:marBottom w:val="0"/>
      <w:divBdr>
        <w:top w:val="none" w:sz="0" w:space="0" w:color="auto"/>
        <w:left w:val="none" w:sz="0" w:space="0" w:color="auto"/>
        <w:bottom w:val="none" w:sz="0" w:space="0" w:color="auto"/>
        <w:right w:val="none" w:sz="0" w:space="0" w:color="auto"/>
      </w:divBdr>
    </w:div>
    <w:div w:id="1744372565">
      <w:bodyDiv w:val="1"/>
      <w:marLeft w:val="0"/>
      <w:marRight w:val="0"/>
      <w:marTop w:val="0"/>
      <w:marBottom w:val="0"/>
      <w:divBdr>
        <w:top w:val="none" w:sz="0" w:space="0" w:color="auto"/>
        <w:left w:val="none" w:sz="0" w:space="0" w:color="auto"/>
        <w:bottom w:val="none" w:sz="0" w:space="0" w:color="auto"/>
        <w:right w:val="none" w:sz="0" w:space="0" w:color="auto"/>
      </w:divBdr>
    </w:div>
    <w:div w:id="1744914423">
      <w:bodyDiv w:val="1"/>
      <w:marLeft w:val="0"/>
      <w:marRight w:val="0"/>
      <w:marTop w:val="0"/>
      <w:marBottom w:val="0"/>
      <w:divBdr>
        <w:top w:val="none" w:sz="0" w:space="0" w:color="auto"/>
        <w:left w:val="none" w:sz="0" w:space="0" w:color="auto"/>
        <w:bottom w:val="none" w:sz="0" w:space="0" w:color="auto"/>
        <w:right w:val="none" w:sz="0" w:space="0" w:color="auto"/>
      </w:divBdr>
    </w:div>
    <w:div w:id="1748385672">
      <w:bodyDiv w:val="1"/>
      <w:marLeft w:val="0"/>
      <w:marRight w:val="0"/>
      <w:marTop w:val="0"/>
      <w:marBottom w:val="0"/>
      <w:divBdr>
        <w:top w:val="none" w:sz="0" w:space="0" w:color="auto"/>
        <w:left w:val="none" w:sz="0" w:space="0" w:color="auto"/>
        <w:bottom w:val="none" w:sz="0" w:space="0" w:color="auto"/>
        <w:right w:val="none" w:sz="0" w:space="0" w:color="auto"/>
      </w:divBdr>
    </w:div>
    <w:div w:id="1750611939">
      <w:bodyDiv w:val="1"/>
      <w:marLeft w:val="0"/>
      <w:marRight w:val="0"/>
      <w:marTop w:val="0"/>
      <w:marBottom w:val="0"/>
      <w:divBdr>
        <w:top w:val="none" w:sz="0" w:space="0" w:color="auto"/>
        <w:left w:val="none" w:sz="0" w:space="0" w:color="auto"/>
        <w:bottom w:val="none" w:sz="0" w:space="0" w:color="auto"/>
        <w:right w:val="none" w:sz="0" w:space="0" w:color="auto"/>
      </w:divBdr>
    </w:div>
    <w:div w:id="1752502614">
      <w:bodyDiv w:val="1"/>
      <w:marLeft w:val="0"/>
      <w:marRight w:val="0"/>
      <w:marTop w:val="0"/>
      <w:marBottom w:val="0"/>
      <w:divBdr>
        <w:top w:val="none" w:sz="0" w:space="0" w:color="auto"/>
        <w:left w:val="none" w:sz="0" w:space="0" w:color="auto"/>
        <w:bottom w:val="none" w:sz="0" w:space="0" w:color="auto"/>
        <w:right w:val="none" w:sz="0" w:space="0" w:color="auto"/>
      </w:divBdr>
    </w:div>
    <w:div w:id="1752700408">
      <w:bodyDiv w:val="1"/>
      <w:marLeft w:val="0"/>
      <w:marRight w:val="0"/>
      <w:marTop w:val="0"/>
      <w:marBottom w:val="0"/>
      <w:divBdr>
        <w:top w:val="none" w:sz="0" w:space="0" w:color="auto"/>
        <w:left w:val="none" w:sz="0" w:space="0" w:color="auto"/>
        <w:bottom w:val="none" w:sz="0" w:space="0" w:color="auto"/>
        <w:right w:val="none" w:sz="0" w:space="0" w:color="auto"/>
      </w:divBdr>
    </w:div>
    <w:div w:id="1753962570">
      <w:bodyDiv w:val="1"/>
      <w:marLeft w:val="0"/>
      <w:marRight w:val="0"/>
      <w:marTop w:val="0"/>
      <w:marBottom w:val="0"/>
      <w:divBdr>
        <w:top w:val="none" w:sz="0" w:space="0" w:color="auto"/>
        <w:left w:val="none" w:sz="0" w:space="0" w:color="auto"/>
        <w:bottom w:val="none" w:sz="0" w:space="0" w:color="auto"/>
        <w:right w:val="none" w:sz="0" w:space="0" w:color="auto"/>
      </w:divBdr>
    </w:div>
    <w:div w:id="1755399732">
      <w:bodyDiv w:val="1"/>
      <w:marLeft w:val="0"/>
      <w:marRight w:val="0"/>
      <w:marTop w:val="0"/>
      <w:marBottom w:val="0"/>
      <w:divBdr>
        <w:top w:val="none" w:sz="0" w:space="0" w:color="auto"/>
        <w:left w:val="none" w:sz="0" w:space="0" w:color="auto"/>
        <w:bottom w:val="none" w:sz="0" w:space="0" w:color="auto"/>
        <w:right w:val="none" w:sz="0" w:space="0" w:color="auto"/>
      </w:divBdr>
    </w:div>
    <w:div w:id="1755515314">
      <w:bodyDiv w:val="1"/>
      <w:marLeft w:val="0"/>
      <w:marRight w:val="0"/>
      <w:marTop w:val="0"/>
      <w:marBottom w:val="0"/>
      <w:divBdr>
        <w:top w:val="none" w:sz="0" w:space="0" w:color="auto"/>
        <w:left w:val="none" w:sz="0" w:space="0" w:color="auto"/>
        <w:bottom w:val="none" w:sz="0" w:space="0" w:color="auto"/>
        <w:right w:val="none" w:sz="0" w:space="0" w:color="auto"/>
      </w:divBdr>
    </w:div>
    <w:div w:id="1756825099">
      <w:bodyDiv w:val="1"/>
      <w:marLeft w:val="0"/>
      <w:marRight w:val="0"/>
      <w:marTop w:val="0"/>
      <w:marBottom w:val="0"/>
      <w:divBdr>
        <w:top w:val="none" w:sz="0" w:space="0" w:color="auto"/>
        <w:left w:val="none" w:sz="0" w:space="0" w:color="auto"/>
        <w:bottom w:val="none" w:sz="0" w:space="0" w:color="auto"/>
        <w:right w:val="none" w:sz="0" w:space="0" w:color="auto"/>
      </w:divBdr>
    </w:div>
    <w:div w:id="1763915779">
      <w:bodyDiv w:val="1"/>
      <w:marLeft w:val="0"/>
      <w:marRight w:val="0"/>
      <w:marTop w:val="0"/>
      <w:marBottom w:val="0"/>
      <w:divBdr>
        <w:top w:val="none" w:sz="0" w:space="0" w:color="auto"/>
        <w:left w:val="none" w:sz="0" w:space="0" w:color="auto"/>
        <w:bottom w:val="none" w:sz="0" w:space="0" w:color="auto"/>
        <w:right w:val="none" w:sz="0" w:space="0" w:color="auto"/>
      </w:divBdr>
    </w:div>
    <w:div w:id="1763917799">
      <w:bodyDiv w:val="1"/>
      <w:marLeft w:val="0"/>
      <w:marRight w:val="0"/>
      <w:marTop w:val="0"/>
      <w:marBottom w:val="0"/>
      <w:divBdr>
        <w:top w:val="none" w:sz="0" w:space="0" w:color="auto"/>
        <w:left w:val="none" w:sz="0" w:space="0" w:color="auto"/>
        <w:bottom w:val="none" w:sz="0" w:space="0" w:color="auto"/>
        <w:right w:val="none" w:sz="0" w:space="0" w:color="auto"/>
      </w:divBdr>
    </w:div>
    <w:div w:id="1765881336">
      <w:bodyDiv w:val="1"/>
      <w:marLeft w:val="0"/>
      <w:marRight w:val="0"/>
      <w:marTop w:val="0"/>
      <w:marBottom w:val="0"/>
      <w:divBdr>
        <w:top w:val="none" w:sz="0" w:space="0" w:color="auto"/>
        <w:left w:val="none" w:sz="0" w:space="0" w:color="auto"/>
        <w:bottom w:val="none" w:sz="0" w:space="0" w:color="auto"/>
        <w:right w:val="none" w:sz="0" w:space="0" w:color="auto"/>
      </w:divBdr>
    </w:div>
    <w:div w:id="1768038769">
      <w:bodyDiv w:val="1"/>
      <w:marLeft w:val="0"/>
      <w:marRight w:val="0"/>
      <w:marTop w:val="0"/>
      <w:marBottom w:val="0"/>
      <w:divBdr>
        <w:top w:val="none" w:sz="0" w:space="0" w:color="auto"/>
        <w:left w:val="none" w:sz="0" w:space="0" w:color="auto"/>
        <w:bottom w:val="none" w:sz="0" w:space="0" w:color="auto"/>
        <w:right w:val="none" w:sz="0" w:space="0" w:color="auto"/>
      </w:divBdr>
    </w:div>
    <w:div w:id="1768113443">
      <w:bodyDiv w:val="1"/>
      <w:marLeft w:val="0"/>
      <w:marRight w:val="0"/>
      <w:marTop w:val="0"/>
      <w:marBottom w:val="0"/>
      <w:divBdr>
        <w:top w:val="none" w:sz="0" w:space="0" w:color="auto"/>
        <w:left w:val="none" w:sz="0" w:space="0" w:color="auto"/>
        <w:bottom w:val="none" w:sz="0" w:space="0" w:color="auto"/>
        <w:right w:val="none" w:sz="0" w:space="0" w:color="auto"/>
      </w:divBdr>
    </w:div>
    <w:div w:id="1768621914">
      <w:bodyDiv w:val="1"/>
      <w:marLeft w:val="0"/>
      <w:marRight w:val="0"/>
      <w:marTop w:val="0"/>
      <w:marBottom w:val="0"/>
      <w:divBdr>
        <w:top w:val="none" w:sz="0" w:space="0" w:color="auto"/>
        <w:left w:val="none" w:sz="0" w:space="0" w:color="auto"/>
        <w:bottom w:val="none" w:sz="0" w:space="0" w:color="auto"/>
        <w:right w:val="none" w:sz="0" w:space="0" w:color="auto"/>
      </w:divBdr>
    </w:div>
    <w:div w:id="1768650563">
      <w:bodyDiv w:val="1"/>
      <w:marLeft w:val="0"/>
      <w:marRight w:val="0"/>
      <w:marTop w:val="0"/>
      <w:marBottom w:val="0"/>
      <w:divBdr>
        <w:top w:val="none" w:sz="0" w:space="0" w:color="auto"/>
        <w:left w:val="none" w:sz="0" w:space="0" w:color="auto"/>
        <w:bottom w:val="none" w:sz="0" w:space="0" w:color="auto"/>
        <w:right w:val="none" w:sz="0" w:space="0" w:color="auto"/>
      </w:divBdr>
    </w:div>
    <w:div w:id="1769884781">
      <w:bodyDiv w:val="1"/>
      <w:marLeft w:val="0"/>
      <w:marRight w:val="0"/>
      <w:marTop w:val="0"/>
      <w:marBottom w:val="0"/>
      <w:divBdr>
        <w:top w:val="none" w:sz="0" w:space="0" w:color="auto"/>
        <w:left w:val="none" w:sz="0" w:space="0" w:color="auto"/>
        <w:bottom w:val="none" w:sz="0" w:space="0" w:color="auto"/>
        <w:right w:val="none" w:sz="0" w:space="0" w:color="auto"/>
      </w:divBdr>
    </w:div>
    <w:div w:id="1770539028">
      <w:bodyDiv w:val="1"/>
      <w:marLeft w:val="0"/>
      <w:marRight w:val="0"/>
      <w:marTop w:val="0"/>
      <w:marBottom w:val="0"/>
      <w:divBdr>
        <w:top w:val="none" w:sz="0" w:space="0" w:color="auto"/>
        <w:left w:val="none" w:sz="0" w:space="0" w:color="auto"/>
        <w:bottom w:val="none" w:sz="0" w:space="0" w:color="auto"/>
        <w:right w:val="none" w:sz="0" w:space="0" w:color="auto"/>
      </w:divBdr>
    </w:div>
    <w:div w:id="1770738047">
      <w:bodyDiv w:val="1"/>
      <w:marLeft w:val="0"/>
      <w:marRight w:val="0"/>
      <w:marTop w:val="0"/>
      <w:marBottom w:val="0"/>
      <w:divBdr>
        <w:top w:val="none" w:sz="0" w:space="0" w:color="auto"/>
        <w:left w:val="none" w:sz="0" w:space="0" w:color="auto"/>
        <w:bottom w:val="none" w:sz="0" w:space="0" w:color="auto"/>
        <w:right w:val="none" w:sz="0" w:space="0" w:color="auto"/>
      </w:divBdr>
    </w:div>
    <w:div w:id="1773546096">
      <w:bodyDiv w:val="1"/>
      <w:marLeft w:val="0"/>
      <w:marRight w:val="0"/>
      <w:marTop w:val="0"/>
      <w:marBottom w:val="0"/>
      <w:divBdr>
        <w:top w:val="none" w:sz="0" w:space="0" w:color="auto"/>
        <w:left w:val="none" w:sz="0" w:space="0" w:color="auto"/>
        <w:bottom w:val="none" w:sz="0" w:space="0" w:color="auto"/>
        <w:right w:val="none" w:sz="0" w:space="0" w:color="auto"/>
      </w:divBdr>
    </w:div>
    <w:div w:id="1777872011">
      <w:bodyDiv w:val="1"/>
      <w:marLeft w:val="0"/>
      <w:marRight w:val="0"/>
      <w:marTop w:val="0"/>
      <w:marBottom w:val="0"/>
      <w:divBdr>
        <w:top w:val="none" w:sz="0" w:space="0" w:color="auto"/>
        <w:left w:val="none" w:sz="0" w:space="0" w:color="auto"/>
        <w:bottom w:val="none" w:sz="0" w:space="0" w:color="auto"/>
        <w:right w:val="none" w:sz="0" w:space="0" w:color="auto"/>
      </w:divBdr>
    </w:div>
    <w:div w:id="1778519321">
      <w:bodyDiv w:val="1"/>
      <w:marLeft w:val="0"/>
      <w:marRight w:val="0"/>
      <w:marTop w:val="0"/>
      <w:marBottom w:val="0"/>
      <w:divBdr>
        <w:top w:val="none" w:sz="0" w:space="0" w:color="auto"/>
        <w:left w:val="none" w:sz="0" w:space="0" w:color="auto"/>
        <w:bottom w:val="none" w:sz="0" w:space="0" w:color="auto"/>
        <w:right w:val="none" w:sz="0" w:space="0" w:color="auto"/>
      </w:divBdr>
    </w:div>
    <w:div w:id="1778671854">
      <w:bodyDiv w:val="1"/>
      <w:marLeft w:val="0"/>
      <w:marRight w:val="0"/>
      <w:marTop w:val="0"/>
      <w:marBottom w:val="0"/>
      <w:divBdr>
        <w:top w:val="none" w:sz="0" w:space="0" w:color="auto"/>
        <w:left w:val="none" w:sz="0" w:space="0" w:color="auto"/>
        <w:bottom w:val="none" w:sz="0" w:space="0" w:color="auto"/>
        <w:right w:val="none" w:sz="0" w:space="0" w:color="auto"/>
      </w:divBdr>
    </w:div>
    <w:div w:id="1778912867">
      <w:bodyDiv w:val="1"/>
      <w:marLeft w:val="0"/>
      <w:marRight w:val="0"/>
      <w:marTop w:val="0"/>
      <w:marBottom w:val="0"/>
      <w:divBdr>
        <w:top w:val="none" w:sz="0" w:space="0" w:color="auto"/>
        <w:left w:val="none" w:sz="0" w:space="0" w:color="auto"/>
        <w:bottom w:val="none" w:sz="0" w:space="0" w:color="auto"/>
        <w:right w:val="none" w:sz="0" w:space="0" w:color="auto"/>
      </w:divBdr>
    </w:div>
    <w:div w:id="1779107737">
      <w:bodyDiv w:val="1"/>
      <w:marLeft w:val="0"/>
      <w:marRight w:val="0"/>
      <w:marTop w:val="0"/>
      <w:marBottom w:val="0"/>
      <w:divBdr>
        <w:top w:val="none" w:sz="0" w:space="0" w:color="auto"/>
        <w:left w:val="none" w:sz="0" w:space="0" w:color="auto"/>
        <w:bottom w:val="none" w:sz="0" w:space="0" w:color="auto"/>
        <w:right w:val="none" w:sz="0" w:space="0" w:color="auto"/>
      </w:divBdr>
    </w:div>
    <w:div w:id="1786650501">
      <w:bodyDiv w:val="1"/>
      <w:marLeft w:val="0"/>
      <w:marRight w:val="0"/>
      <w:marTop w:val="0"/>
      <w:marBottom w:val="0"/>
      <w:divBdr>
        <w:top w:val="none" w:sz="0" w:space="0" w:color="auto"/>
        <w:left w:val="none" w:sz="0" w:space="0" w:color="auto"/>
        <w:bottom w:val="none" w:sz="0" w:space="0" w:color="auto"/>
        <w:right w:val="none" w:sz="0" w:space="0" w:color="auto"/>
      </w:divBdr>
    </w:div>
    <w:div w:id="1790397408">
      <w:bodyDiv w:val="1"/>
      <w:marLeft w:val="0"/>
      <w:marRight w:val="0"/>
      <w:marTop w:val="0"/>
      <w:marBottom w:val="0"/>
      <w:divBdr>
        <w:top w:val="none" w:sz="0" w:space="0" w:color="auto"/>
        <w:left w:val="none" w:sz="0" w:space="0" w:color="auto"/>
        <w:bottom w:val="none" w:sz="0" w:space="0" w:color="auto"/>
        <w:right w:val="none" w:sz="0" w:space="0" w:color="auto"/>
      </w:divBdr>
    </w:div>
    <w:div w:id="1795370288">
      <w:bodyDiv w:val="1"/>
      <w:marLeft w:val="0"/>
      <w:marRight w:val="0"/>
      <w:marTop w:val="0"/>
      <w:marBottom w:val="0"/>
      <w:divBdr>
        <w:top w:val="none" w:sz="0" w:space="0" w:color="auto"/>
        <w:left w:val="none" w:sz="0" w:space="0" w:color="auto"/>
        <w:bottom w:val="none" w:sz="0" w:space="0" w:color="auto"/>
        <w:right w:val="none" w:sz="0" w:space="0" w:color="auto"/>
      </w:divBdr>
    </w:div>
    <w:div w:id="1795708156">
      <w:bodyDiv w:val="1"/>
      <w:marLeft w:val="0"/>
      <w:marRight w:val="0"/>
      <w:marTop w:val="0"/>
      <w:marBottom w:val="0"/>
      <w:divBdr>
        <w:top w:val="none" w:sz="0" w:space="0" w:color="auto"/>
        <w:left w:val="none" w:sz="0" w:space="0" w:color="auto"/>
        <w:bottom w:val="none" w:sz="0" w:space="0" w:color="auto"/>
        <w:right w:val="none" w:sz="0" w:space="0" w:color="auto"/>
      </w:divBdr>
    </w:div>
    <w:div w:id="1795975994">
      <w:bodyDiv w:val="1"/>
      <w:marLeft w:val="0"/>
      <w:marRight w:val="0"/>
      <w:marTop w:val="0"/>
      <w:marBottom w:val="0"/>
      <w:divBdr>
        <w:top w:val="none" w:sz="0" w:space="0" w:color="auto"/>
        <w:left w:val="none" w:sz="0" w:space="0" w:color="auto"/>
        <w:bottom w:val="none" w:sz="0" w:space="0" w:color="auto"/>
        <w:right w:val="none" w:sz="0" w:space="0" w:color="auto"/>
      </w:divBdr>
    </w:div>
    <w:div w:id="1797408448">
      <w:bodyDiv w:val="1"/>
      <w:marLeft w:val="0"/>
      <w:marRight w:val="0"/>
      <w:marTop w:val="0"/>
      <w:marBottom w:val="0"/>
      <w:divBdr>
        <w:top w:val="none" w:sz="0" w:space="0" w:color="auto"/>
        <w:left w:val="none" w:sz="0" w:space="0" w:color="auto"/>
        <w:bottom w:val="none" w:sz="0" w:space="0" w:color="auto"/>
        <w:right w:val="none" w:sz="0" w:space="0" w:color="auto"/>
      </w:divBdr>
    </w:div>
    <w:div w:id="1802575864">
      <w:bodyDiv w:val="1"/>
      <w:marLeft w:val="0"/>
      <w:marRight w:val="0"/>
      <w:marTop w:val="0"/>
      <w:marBottom w:val="0"/>
      <w:divBdr>
        <w:top w:val="none" w:sz="0" w:space="0" w:color="auto"/>
        <w:left w:val="none" w:sz="0" w:space="0" w:color="auto"/>
        <w:bottom w:val="none" w:sz="0" w:space="0" w:color="auto"/>
        <w:right w:val="none" w:sz="0" w:space="0" w:color="auto"/>
      </w:divBdr>
    </w:div>
    <w:div w:id="1804495987">
      <w:bodyDiv w:val="1"/>
      <w:marLeft w:val="0"/>
      <w:marRight w:val="0"/>
      <w:marTop w:val="0"/>
      <w:marBottom w:val="0"/>
      <w:divBdr>
        <w:top w:val="none" w:sz="0" w:space="0" w:color="auto"/>
        <w:left w:val="none" w:sz="0" w:space="0" w:color="auto"/>
        <w:bottom w:val="none" w:sz="0" w:space="0" w:color="auto"/>
        <w:right w:val="none" w:sz="0" w:space="0" w:color="auto"/>
      </w:divBdr>
    </w:div>
    <w:div w:id="1804692656">
      <w:bodyDiv w:val="1"/>
      <w:marLeft w:val="0"/>
      <w:marRight w:val="0"/>
      <w:marTop w:val="0"/>
      <w:marBottom w:val="0"/>
      <w:divBdr>
        <w:top w:val="none" w:sz="0" w:space="0" w:color="auto"/>
        <w:left w:val="none" w:sz="0" w:space="0" w:color="auto"/>
        <w:bottom w:val="none" w:sz="0" w:space="0" w:color="auto"/>
        <w:right w:val="none" w:sz="0" w:space="0" w:color="auto"/>
      </w:divBdr>
    </w:div>
    <w:div w:id="1805810291">
      <w:bodyDiv w:val="1"/>
      <w:marLeft w:val="0"/>
      <w:marRight w:val="0"/>
      <w:marTop w:val="0"/>
      <w:marBottom w:val="0"/>
      <w:divBdr>
        <w:top w:val="none" w:sz="0" w:space="0" w:color="auto"/>
        <w:left w:val="none" w:sz="0" w:space="0" w:color="auto"/>
        <w:bottom w:val="none" w:sz="0" w:space="0" w:color="auto"/>
        <w:right w:val="none" w:sz="0" w:space="0" w:color="auto"/>
      </w:divBdr>
    </w:div>
    <w:div w:id="1807577872">
      <w:bodyDiv w:val="1"/>
      <w:marLeft w:val="0"/>
      <w:marRight w:val="0"/>
      <w:marTop w:val="0"/>
      <w:marBottom w:val="0"/>
      <w:divBdr>
        <w:top w:val="none" w:sz="0" w:space="0" w:color="auto"/>
        <w:left w:val="none" w:sz="0" w:space="0" w:color="auto"/>
        <w:bottom w:val="none" w:sz="0" w:space="0" w:color="auto"/>
        <w:right w:val="none" w:sz="0" w:space="0" w:color="auto"/>
      </w:divBdr>
    </w:div>
    <w:div w:id="1808933124">
      <w:bodyDiv w:val="1"/>
      <w:marLeft w:val="0"/>
      <w:marRight w:val="0"/>
      <w:marTop w:val="0"/>
      <w:marBottom w:val="0"/>
      <w:divBdr>
        <w:top w:val="none" w:sz="0" w:space="0" w:color="auto"/>
        <w:left w:val="none" w:sz="0" w:space="0" w:color="auto"/>
        <w:bottom w:val="none" w:sz="0" w:space="0" w:color="auto"/>
        <w:right w:val="none" w:sz="0" w:space="0" w:color="auto"/>
      </w:divBdr>
    </w:div>
    <w:div w:id="1810901129">
      <w:bodyDiv w:val="1"/>
      <w:marLeft w:val="0"/>
      <w:marRight w:val="0"/>
      <w:marTop w:val="0"/>
      <w:marBottom w:val="0"/>
      <w:divBdr>
        <w:top w:val="none" w:sz="0" w:space="0" w:color="auto"/>
        <w:left w:val="none" w:sz="0" w:space="0" w:color="auto"/>
        <w:bottom w:val="none" w:sz="0" w:space="0" w:color="auto"/>
        <w:right w:val="none" w:sz="0" w:space="0" w:color="auto"/>
      </w:divBdr>
    </w:div>
    <w:div w:id="1811626999">
      <w:bodyDiv w:val="1"/>
      <w:marLeft w:val="0"/>
      <w:marRight w:val="0"/>
      <w:marTop w:val="0"/>
      <w:marBottom w:val="0"/>
      <w:divBdr>
        <w:top w:val="none" w:sz="0" w:space="0" w:color="auto"/>
        <w:left w:val="none" w:sz="0" w:space="0" w:color="auto"/>
        <w:bottom w:val="none" w:sz="0" w:space="0" w:color="auto"/>
        <w:right w:val="none" w:sz="0" w:space="0" w:color="auto"/>
      </w:divBdr>
    </w:div>
    <w:div w:id="1813012955">
      <w:bodyDiv w:val="1"/>
      <w:marLeft w:val="0"/>
      <w:marRight w:val="0"/>
      <w:marTop w:val="0"/>
      <w:marBottom w:val="0"/>
      <w:divBdr>
        <w:top w:val="none" w:sz="0" w:space="0" w:color="auto"/>
        <w:left w:val="none" w:sz="0" w:space="0" w:color="auto"/>
        <w:bottom w:val="none" w:sz="0" w:space="0" w:color="auto"/>
        <w:right w:val="none" w:sz="0" w:space="0" w:color="auto"/>
      </w:divBdr>
    </w:div>
    <w:div w:id="1814641290">
      <w:bodyDiv w:val="1"/>
      <w:marLeft w:val="0"/>
      <w:marRight w:val="0"/>
      <w:marTop w:val="0"/>
      <w:marBottom w:val="0"/>
      <w:divBdr>
        <w:top w:val="none" w:sz="0" w:space="0" w:color="auto"/>
        <w:left w:val="none" w:sz="0" w:space="0" w:color="auto"/>
        <w:bottom w:val="none" w:sz="0" w:space="0" w:color="auto"/>
        <w:right w:val="none" w:sz="0" w:space="0" w:color="auto"/>
      </w:divBdr>
    </w:div>
    <w:div w:id="1815178563">
      <w:bodyDiv w:val="1"/>
      <w:marLeft w:val="0"/>
      <w:marRight w:val="0"/>
      <w:marTop w:val="0"/>
      <w:marBottom w:val="0"/>
      <w:divBdr>
        <w:top w:val="none" w:sz="0" w:space="0" w:color="auto"/>
        <w:left w:val="none" w:sz="0" w:space="0" w:color="auto"/>
        <w:bottom w:val="none" w:sz="0" w:space="0" w:color="auto"/>
        <w:right w:val="none" w:sz="0" w:space="0" w:color="auto"/>
      </w:divBdr>
    </w:div>
    <w:div w:id="1816331758">
      <w:bodyDiv w:val="1"/>
      <w:marLeft w:val="0"/>
      <w:marRight w:val="0"/>
      <w:marTop w:val="0"/>
      <w:marBottom w:val="0"/>
      <w:divBdr>
        <w:top w:val="none" w:sz="0" w:space="0" w:color="auto"/>
        <w:left w:val="none" w:sz="0" w:space="0" w:color="auto"/>
        <w:bottom w:val="none" w:sz="0" w:space="0" w:color="auto"/>
        <w:right w:val="none" w:sz="0" w:space="0" w:color="auto"/>
      </w:divBdr>
    </w:div>
    <w:div w:id="1816485425">
      <w:bodyDiv w:val="1"/>
      <w:marLeft w:val="0"/>
      <w:marRight w:val="0"/>
      <w:marTop w:val="0"/>
      <w:marBottom w:val="0"/>
      <w:divBdr>
        <w:top w:val="none" w:sz="0" w:space="0" w:color="auto"/>
        <w:left w:val="none" w:sz="0" w:space="0" w:color="auto"/>
        <w:bottom w:val="none" w:sz="0" w:space="0" w:color="auto"/>
        <w:right w:val="none" w:sz="0" w:space="0" w:color="auto"/>
      </w:divBdr>
    </w:div>
    <w:div w:id="1821195450">
      <w:bodyDiv w:val="1"/>
      <w:marLeft w:val="0"/>
      <w:marRight w:val="0"/>
      <w:marTop w:val="0"/>
      <w:marBottom w:val="0"/>
      <w:divBdr>
        <w:top w:val="none" w:sz="0" w:space="0" w:color="auto"/>
        <w:left w:val="none" w:sz="0" w:space="0" w:color="auto"/>
        <w:bottom w:val="none" w:sz="0" w:space="0" w:color="auto"/>
        <w:right w:val="none" w:sz="0" w:space="0" w:color="auto"/>
      </w:divBdr>
    </w:div>
    <w:div w:id="1821338303">
      <w:bodyDiv w:val="1"/>
      <w:marLeft w:val="0"/>
      <w:marRight w:val="0"/>
      <w:marTop w:val="0"/>
      <w:marBottom w:val="0"/>
      <w:divBdr>
        <w:top w:val="none" w:sz="0" w:space="0" w:color="auto"/>
        <w:left w:val="none" w:sz="0" w:space="0" w:color="auto"/>
        <w:bottom w:val="none" w:sz="0" w:space="0" w:color="auto"/>
        <w:right w:val="none" w:sz="0" w:space="0" w:color="auto"/>
      </w:divBdr>
    </w:div>
    <w:div w:id="1821925664">
      <w:bodyDiv w:val="1"/>
      <w:marLeft w:val="0"/>
      <w:marRight w:val="0"/>
      <w:marTop w:val="0"/>
      <w:marBottom w:val="0"/>
      <w:divBdr>
        <w:top w:val="none" w:sz="0" w:space="0" w:color="auto"/>
        <w:left w:val="none" w:sz="0" w:space="0" w:color="auto"/>
        <w:bottom w:val="none" w:sz="0" w:space="0" w:color="auto"/>
        <w:right w:val="none" w:sz="0" w:space="0" w:color="auto"/>
      </w:divBdr>
    </w:div>
    <w:div w:id="1822502183">
      <w:bodyDiv w:val="1"/>
      <w:marLeft w:val="0"/>
      <w:marRight w:val="0"/>
      <w:marTop w:val="0"/>
      <w:marBottom w:val="0"/>
      <w:divBdr>
        <w:top w:val="none" w:sz="0" w:space="0" w:color="auto"/>
        <w:left w:val="none" w:sz="0" w:space="0" w:color="auto"/>
        <w:bottom w:val="none" w:sz="0" w:space="0" w:color="auto"/>
        <w:right w:val="none" w:sz="0" w:space="0" w:color="auto"/>
      </w:divBdr>
    </w:div>
    <w:div w:id="1822892408">
      <w:bodyDiv w:val="1"/>
      <w:marLeft w:val="0"/>
      <w:marRight w:val="0"/>
      <w:marTop w:val="0"/>
      <w:marBottom w:val="0"/>
      <w:divBdr>
        <w:top w:val="none" w:sz="0" w:space="0" w:color="auto"/>
        <w:left w:val="none" w:sz="0" w:space="0" w:color="auto"/>
        <w:bottom w:val="none" w:sz="0" w:space="0" w:color="auto"/>
        <w:right w:val="none" w:sz="0" w:space="0" w:color="auto"/>
      </w:divBdr>
    </w:div>
    <w:div w:id="1824010103">
      <w:bodyDiv w:val="1"/>
      <w:marLeft w:val="0"/>
      <w:marRight w:val="0"/>
      <w:marTop w:val="0"/>
      <w:marBottom w:val="0"/>
      <w:divBdr>
        <w:top w:val="none" w:sz="0" w:space="0" w:color="auto"/>
        <w:left w:val="none" w:sz="0" w:space="0" w:color="auto"/>
        <w:bottom w:val="none" w:sz="0" w:space="0" w:color="auto"/>
        <w:right w:val="none" w:sz="0" w:space="0" w:color="auto"/>
      </w:divBdr>
    </w:div>
    <w:div w:id="1826781796">
      <w:bodyDiv w:val="1"/>
      <w:marLeft w:val="0"/>
      <w:marRight w:val="0"/>
      <w:marTop w:val="0"/>
      <w:marBottom w:val="0"/>
      <w:divBdr>
        <w:top w:val="none" w:sz="0" w:space="0" w:color="auto"/>
        <w:left w:val="none" w:sz="0" w:space="0" w:color="auto"/>
        <w:bottom w:val="none" w:sz="0" w:space="0" w:color="auto"/>
        <w:right w:val="none" w:sz="0" w:space="0" w:color="auto"/>
      </w:divBdr>
    </w:div>
    <w:div w:id="1828282401">
      <w:bodyDiv w:val="1"/>
      <w:marLeft w:val="0"/>
      <w:marRight w:val="0"/>
      <w:marTop w:val="0"/>
      <w:marBottom w:val="0"/>
      <w:divBdr>
        <w:top w:val="none" w:sz="0" w:space="0" w:color="auto"/>
        <w:left w:val="none" w:sz="0" w:space="0" w:color="auto"/>
        <w:bottom w:val="none" w:sz="0" w:space="0" w:color="auto"/>
        <w:right w:val="none" w:sz="0" w:space="0" w:color="auto"/>
      </w:divBdr>
    </w:div>
    <w:div w:id="1831090797">
      <w:bodyDiv w:val="1"/>
      <w:marLeft w:val="0"/>
      <w:marRight w:val="0"/>
      <w:marTop w:val="0"/>
      <w:marBottom w:val="0"/>
      <w:divBdr>
        <w:top w:val="none" w:sz="0" w:space="0" w:color="auto"/>
        <w:left w:val="none" w:sz="0" w:space="0" w:color="auto"/>
        <w:bottom w:val="none" w:sz="0" w:space="0" w:color="auto"/>
        <w:right w:val="none" w:sz="0" w:space="0" w:color="auto"/>
      </w:divBdr>
    </w:div>
    <w:div w:id="1834221666">
      <w:bodyDiv w:val="1"/>
      <w:marLeft w:val="0"/>
      <w:marRight w:val="0"/>
      <w:marTop w:val="0"/>
      <w:marBottom w:val="0"/>
      <w:divBdr>
        <w:top w:val="none" w:sz="0" w:space="0" w:color="auto"/>
        <w:left w:val="none" w:sz="0" w:space="0" w:color="auto"/>
        <w:bottom w:val="none" w:sz="0" w:space="0" w:color="auto"/>
        <w:right w:val="none" w:sz="0" w:space="0" w:color="auto"/>
      </w:divBdr>
    </w:div>
    <w:div w:id="1835146253">
      <w:bodyDiv w:val="1"/>
      <w:marLeft w:val="0"/>
      <w:marRight w:val="0"/>
      <w:marTop w:val="0"/>
      <w:marBottom w:val="0"/>
      <w:divBdr>
        <w:top w:val="none" w:sz="0" w:space="0" w:color="auto"/>
        <w:left w:val="none" w:sz="0" w:space="0" w:color="auto"/>
        <w:bottom w:val="none" w:sz="0" w:space="0" w:color="auto"/>
        <w:right w:val="none" w:sz="0" w:space="0" w:color="auto"/>
      </w:divBdr>
    </w:div>
    <w:div w:id="1835295276">
      <w:bodyDiv w:val="1"/>
      <w:marLeft w:val="0"/>
      <w:marRight w:val="0"/>
      <w:marTop w:val="0"/>
      <w:marBottom w:val="0"/>
      <w:divBdr>
        <w:top w:val="none" w:sz="0" w:space="0" w:color="auto"/>
        <w:left w:val="none" w:sz="0" w:space="0" w:color="auto"/>
        <w:bottom w:val="none" w:sz="0" w:space="0" w:color="auto"/>
        <w:right w:val="none" w:sz="0" w:space="0" w:color="auto"/>
      </w:divBdr>
    </w:div>
    <w:div w:id="1837186876">
      <w:bodyDiv w:val="1"/>
      <w:marLeft w:val="0"/>
      <w:marRight w:val="0"/>
      <w:marTop w:val="0"/>
      <w:marBottom w:val="0"/>
      <w:divBdr>
        <w:top w:val="none" w:sz="0" w:space="0" w:color="auto"/>
        <w:left w:val="none" w:sz="0" w:space="0" w:color="auto"/>
        <w:bottom w:val="none" w:sz="0" w:space="0" w:color="auto"/>
        <w:right w:val="none" w:sz="0" w:space="0" w:color="auto"/>
      </w:divBdr>
    </w:div>
    <w:div w:id="1837921772">
      <w:bodyDiv w:val="1"/>
      <w:marLeft w:val="0"/>
      <w:marRight w:val="0"/>
      <w:marTop w:val="0"/>
      <w:marBottom w:val="0"/>
      <w:divBdr>
        <w:top w:val="none" w:sz="0" w:space="0" w:color="auto"/>
        <w:left w:val="none" w:sz="0" w:space="0" w:color="auto"/>
        <w:bottom w:val="none" w:sz="0" w:space="0" w:color="auto"/>
        <w:right w:val="none" w:sz="0" w:space="0" w:color="auto"/>
      </w:divBdr>
    </w:div>
    <w:div w:id="1838184871">
      <w:bodyDiv w:val="1"/>
      <w:marLeft w:val="0"/>
      <w:marRight w:val="0"/>
      <w:marTop w:val="0"/>
      <w:marBottom w:val="0"/>
      <w:divBdr>
        <w:top w:val="none" w:sz="0" w:space="0" w:color="auto"/>
        <w:left w:val="none" w:sz="0" w:space="0" w:color="auto"/>
        <w:bottom w:val="none" w:sz="0" w:space="0" w:color="auto"/>
        <w:right w:val="none" w:sz="0" w:space="0" w:color="auto"/>
      </w:divBdr>
    </w:div>
    <w:div w:id="1838495125">
      <w:bodyDiv w:val="1"/>
      <w:marLeft w:val="0"/>
      <w:marRight w:val="0"/>
      <w:marTop w:val="0"/>
      <w:marBottom w:val="0"/>
      <w:divBdr>
        <w:top w:val="none" w:sz="0" w:space="0" w:color="auto"/>
        <w:left w:val="none" w:sz="0" w:space="0" w:color="auto"/>
        <w:bottom w:val="none" w:sz="0" w:space="0" w:color="auto"/>
        <w:right w:val="none" w:sz="0" w:space="0" w:color="auto"/>
      </w:divBdr>
    </w:div>
    <w:div w:id="1838884569">
      <w:bodyDiv w:val="1"/>
      <w:marLeft w:val="0"/>
      <w:marRight w:val="0"/>
      <w:marTop w:val="0"/>
      <w:marBottom w:val="0"/>
      <w:divBdr>
        <w:top w:val="none" w:sz="0" w:space="0" w:color="auto"/>
        <w:left w:val="none" w:sz="0" w:space="0" w:color="auto"/>
        <w:bottom w:val="none" w:sz="0" w:space="0" w:color="auto"/>
        <w:right w:val="none" w:sz="0" w:space="0" w:color="auto"/>
      </w:divBdr>
    </w:div>
    <w:div w:id="1839810807">
      <w:bodyDiv w:val="1"/>
      <w:marLeft w:val="0"/>
      <w:marRight w:val="0"/>
      <w:marTop w:val="0"/>
      <w:marBottom w:val="0"/>
      <w:divBdr>
        <w:top w:val="none" w:sz="0" w:space="0" w:color="auto"/>
        <w:left w:val="none" w:sz="0" w:space="0" w:color="auto"/>
        <w:bottom w:val="none" w:sz="0" w:space="0" w:color="auto"/>
        <w:right w:val="none" w:sz="0" w:space="0" w:color="auto"/>
      </w:divBdr>
    </w:div>
    <w:div w:id="1840272506">
      <w:bodyDiv w:val="1"/>
      <w:marLeft w:val="0"/>
      <w:marRight w:val="0"/>
      <w:marTop w:val="0"/>
      <w:marBottom w:val="0"/>
      <w:divBdr>
        <w:top w:val="none" w:sz="0" w:space="0" w:color="auto"/>
        <w:left w:val="none" w:sz="0" w:space="0" w:color="auto"/>
        <w:bottom w:val="none" w:sz="0" w:space="0" w:color="auto"/>
        <w:right w:val="none" w:sz="0" w:space="0" w:color="auto"/>
      </w:divBdr>
    </w:div>
    <w:div w:id="1840731667">
      <w:bodyDiv w:val="1"/>
      <w:marLeft w:val="0"/>
      <w:marRight w:val="0"/>
      <w:marTop w:val="0"/>
      <w:marBottom w:val="0"/>
      <w:divBdr>
        <w:top w:val="none" w:sz="0" w:space="0" w:color="auto"/>
        <w:left w:val="none" w:sz="0" w:space="0" w:color="auto"/>
        <w:bottom w:val="none" w:sz="0" w:space="0" w:color="auto"/>
        <w:right w:val="none" w:sz="0" w:space="0" w:color="auto"/>
      </w:divBdr>
    </w:div>
    <w:div w:id="1840735024">
      <w:bodyDiv w:val="1"/>
      <w:marLeft w:val="0"/>
      <w:marRight w:val="0"/>
      <w:marTop w:val="0"/>
      <w:marBottom w:val="0"/>
      <w:divBdr>
        <w:top w:val="none" w:sz="0" w:space="0" w:color="auto"/>
        <w:left w:val="none" w:sz="0" w:space="0" w:color="auto"/>
        <w:bottom w:val="none" w:sz="0" w:space="0" w:color="auto"/>
        <w:right w:val="none" w:sz="0" w:space="0" w:color="auto"/>
      </w:divBdr>
    </w:div>
    <w:div w:id="1841849368">
      <w:bodyDiv w:val="1"/>
      <w:marLeft w:val="0"/>
      <w:marRight w:val="0"/>
      <w:marTop w:val="0"/>
      <w:marBottom w:val="0"/>
      <w:divBdr>
        <w:top w:val="none" w:sz="0" w:space="0" w:color="auto"/>
        <w:left w:val="none" w:sz="0" w:space="0" w:color="auto"/>
        <w:bottom w:val="none" w:sz="0" w:space="0" w:color="auto"/>
        <w:right w:val="none" w:sz="0" w:space="0" w:color="auto"/>
      </w:divBdr>
    </w:div>
    <w:div w:id="1844780498">
      <w:bodyDiv w:val="1"/>
      <w:marLeft w:val="0"/>
      <w:marRight w:val="0"/>
      <w:marTop w:val="0"/>
      <w:marBottom w:val="0"/>
      <w:divBdr>
        <w:top w:val="none" w:sz="0" w:space="0" w:color="auto"/>
        <w:left w:val="none" w:sz="0" w:space="0" w:color="auto"/>
        <w:bottom w:val="none" w:sz="0" w:space="0" w:color="auto"/>
        <w:right w:val="none" w:sz="0" w:space="0" w:color="auto"/>
      </w:divBdr>
    </w:div>
    <w:div w:id="1845972736">
      <w:bodyDiv w:val="1"/>
      <w:marLeft w:val="0"/>
      <w:marRight w:val="0"/>
      <w:marTop w:val="0"/>
      <w:marBottom w:val="0"/>
      <w:divBdr>
        <w:top w:val="none" w:sz="0" w:space="0" w:color="auto"/>
        <w:left w:val="none" w:sz="0" w:space="0" w:color="auto"/>
        <w:bottom w:val="none" w:sz="0" w:space="0" w:color="auto"/>
        <w:right w:val="none" w:sz="0" w:space="0" w:color="auto"/>
      </w:divBdr>
    </w:div>
    <w:div w:id="1848248234">
      <w:bodyDiv w:val="1"/>
      <w:marLeft w:val="0"/>
      <w:marRight w:val="0"/>
      <w:marTop w:val="0"/>
      <w:marBottom w:val="0"/>
      <w:divBdr>
        <w:top w:val="none" w:sz="0" w:space="0" w:color="auto"/>
        <w:left w:val="none" w:sz="0" w:space="0" w:color="auto"/>
        <w:bottom w:val="none" w:sz="0" w:space="0" w:color="auto"/>
        <w:right w:val="none" w:sz="0" w:space="0" w:color="auto"/>
      </w:divBdr>
    </w:div>
    <w:div w:id="1848445103">
      <w:bodyDiv w:val="1"/>
      <w:marLeft w:val="0"/>
      <w:marRight w:val="0"/>
      <w:marTop w:val="0"/>
      <w:marBottom w:val="0"/>
      <w:divBdr>
        <w:top w:val="none" w:sz="0" w:space="0" w:color="auto"/>
        <w:left w:val="none" w:sz="0" w:space="0" w:color="auto"/>
        <w:bottom w:val="none" w:sz="0" w:space="0" w:color="auto"/>
        <w:right w:val="none" w:sz="0" w:space="0" w:color="auto"/>
      </w:divBdr>
    </w:div>
    <w:div w:id="1849637915">
      <w:bodyDiv w:val="1"/>
      <w:marLeft w:val="0"/>
      <w:marRight w:val="0"/>
      <w:marTop w:val="0"/>
      <w:marBottom w:val="0"/>
      <w:divBdr>
        <w:top w:val="none" w:sz="0" w:space="0" w:color="auto"/>
        <w:left w:val="none" w:sz="0" w:space="0" w:color="auto"/>
        <w:bottom w:val="none" w:sz="0" w:space="0" w:color="auto"/>
        <w:right w:val="none" w:sz="0" w:space="0" w:color="auto"/>
      </w:divBdr>
    </w:div>
    <w:div w:id="1854537783">
      <w:bodyDiv w:val="1"/>
      <w:marLeft w:val="0"/>
      <w:marRight w:val="0"/>
      <w:marTop w:val="0"/>
      <w:marBottom w:val="0"/>
      <w:divBdr>
        <w:top w:val="none" w:sz="0" w:space="0" w:color="auto"/>
        <w:left w:val="none" w:sz="0" w:space="0" w:color="auto"/>
        <w:bottom w:val="none" w:sz="0" w:space="0" w:color="auto"/>
        <w:right w:val="none" w:sz="0" w:space="0" w:color="auto"/>
      </w:divBdr>
    </w:div>
    <w:div w:id="1854610259">
      <w:bodyDiv w:val="1"/>
      <w:marLeft w:val="0"/>
      <w:marRight w:val="0"/>
      <w:marTop w:val="0"/>
      <w:marBottom w:val="0"/>
      <w:divBdr>
        <w:top w:val="none" w:sz="0" w:space="0" w:color="auto"/>
        <w:left w:val="none" w:sz="0" w:space="0" w:color="auto"/>
        <w:bottom w:val="none" w:sz="0" w:space="0" w:color="auto"/>
        <w:right w:val="none" w:sz="0" w:space="0" w:color="auto"/>
      </w:divBdr>
    </w:div>
    <w:div w:id="1856648066">
      <w:bodyDiv w:val="1"/>
      <w:marLeft w:val="0"/>
      <w:marRight w:val="0"/>
      <w:marTop w:val="0"/>
      <w:marBottom w:val="0"/>
      <w:divBdr>
        <w:top w:val="none" w:sz="0" w:space="0" w:color="auto"/>
        <w:left w:val="none" w:sz="0" w:space="0" w:color="auto"/>
        <w:bottom w:val="none" w:sz="0" w:space="0" w:color="auto"/>
        <w:right w:val="none" w:sz="0" w:space="0" w:color="auto"/>
      </w:divBdr>
    </w:div>
    <w:div w:id="1856773314">
      <w:bodyDiv w:val="1"/>
      <w:marLeft w:val="0"/>
      <w:marRight w:val="0"/>
      <w:marTop w:val="0"/>
      <w:marBottom w:val="0"/>
      <w:divBdr>
        <w:top w:val="none" w:sz="0" w:space="0" w:color="auto"/>
        <w:left w:val="none" w:sz="0" w:space="0" w:color="auto"/>
        <w:bottom w:val="none" w:sz="0" w:space="0" w:color="auto"/>
        <w:right w:val="none" w:sz="0" w:space="0" w:color="auto"/>
      </w:divBdr>
    </w:div>
    <w:div w:id="1857889256">
      <w:bodyDiv w:val="1"/>
      <w:marLeft w:val="0"/>
      <w:marRight w:val="0"/>
      <w:marTop w:val="0"/>
      <w:marBottom w:val="0"/>
      <w:divBdr>
        <w:top w:val="none" w:sz="0" w:space="0" w:color="auto"/>
        <w:left w:val="none" w:sz="0" w:space="0" w:color="auto"/>
        <w:bottom w:val="none" w:sz="0" w:space="0" w:color="auto"/>
        <w:right w:val="none" w:sz="0" w:space="0" w:color="auto"/>
      </w:divBdr>
    </w:div>
    <w:div w:id="1861814841">
      <w:bodyDiv w:val="1"/>
      <w:marLeft w:val="0"/>
      <w:marRight w:val="0"/>
      <w:marTop w:val="0"/>
      <w:marBottom w:val="0"/>
      <w:divBdr>
        <w:top w:val="none" w:sz="0" w:space="0" w:color="auto"/>
        <w:left w:val="none" w:sz="0" w:space="0" w:color="auto"/>
        <w:bottom w:val="none" w:sz="0" w:space="0" w:color="auto"/>
        <w:right w:val="none" w:sz="0" w:space="0" w:color="auto"/>
      </w:divBdr>
    </w:div>
    <w:div w:id="1862621148">
      <w:bodyDiv w:val="1"/>
      <w:marLeft w:val="0"/>
      <w:marRight w:val="0"/>
      <w:marTop w:val="0"/>
      <w:marBottom w:val="0"/>
      <w:divBdr>
        <w:top w:val="none" w:sz="0" w:space="0" w:color="auto"/>
        <w:left w:val="none" w:sz="0" w:space="0" w:color="auto"/>
        <w:bottom w:val="none" w:sz="0" w:space="0" w:color="auto"/>
        <w:right w:val="none" w:sz="0" w:space="0" w:color="auto"/>
      </w:divBdr>
    </w:div>
    <w:div w:id="1862622378">
      <w:bodyDiv w:val="1"/>
      <w:marLeft w:val="0"/>
      <w:marRight w:val="0"/>
      <w:marTop w:val="0"/>
      <w:marBottom w:val="0"/>
      <w:divBdr>
        <w:top w:val="none" w:sz="0" w:space="0" w:color="auto"/>
        <w:left w:val="none" w:sz="0" w:space="0" w:color="auto"/>
        <w:bottom w:val="none" w:sz="0" w:space="0" w:color="auto"/>
        <w:right w:val="none" w:sz="0" w:space="0" w:color="auto"/>
      </w:divBdr>
    </w:div>
    <w:div w:id="1863472224">
      <w:bodyDiv w:val="1"/>
      <w:marLeft w:val="0"/>
      <w:marRight w:val="0"/>
      <w:marTop w:val="0"/>
      <w:marBottom w:val="0"/>
      <w:divBdr>
        <w:top w:val="none" w:sz="0" w:space="0" w:color="auto"/>
        <w:left w:val="none" w:sz="0" w:space="0" w:color="auto"/>
        <w:bottom w:val="none" w:sz="0" w:space="0" w:color="auto"/>
        <w:right w:val="none" w:sz="0" w:space="0" w:color="auto"/>
      </w:divBdr>
    </w:div>
    <w:div w:id="1863978887">
      <w:bodyDiv w:val="1"/>
      <w:marLeft w:val="0"/>
      <w:marRight w:val="0"/>
      <w:marTop w:val="0"/>
      <w:marBottom w:val="0"/>
      <w:divBdr>
        <w:top w:val="none" w:sz="0" w:space="0" w:color="auto"/>
        <w:left w:val="none" w:sz="0" w:space="0" w:color="auto"/>
        <w:bottom w:val="none" w:sz="0" w:space="0" w:color="auto"/>
        <w:right w:val="none" w:sz="0" w:space="0" w:color="auto"/>
      </w:divBdr>
    </w:div>
    <w:div w:id="1864443055">
      <w:bodyDiv w:val="1"/>
      <w:marLeft w:val="0"/>
      <w:marRight w:val="0"/>
      <w:marTop w:val="0"/>
      <w:marBottom w:val="0"/>
      <w:divBdr>
        <w:top w:val="none" w:sz="0" w:space="0" w:color="auto"/>
        <w:left w:val="none" w:sz="0" w:space="0" w:color="auto"/>
        <w:bottom w:val="none" w:sz="0" w:space="0" w:color="auto"/>
        <w:right w:val="none" w:sz="0" w:space="0" w:color="auto"/>
      </w:divBdr>
    </w:div>
    <w:div w:id="1868911285">
      <w:bodyDiv w:val="1"/>
      <w:marLeft w:val="0"/>
      <w:marRight w:val="0"/>
      <w:marTop w:val="0"/>
      <w:marBottom w:val="0"/>
      <w:divBdr>
        <w:top w:val="none" w:sz="0" w:space="0" w:color="auto"/>
        <w:left w:val="none" w:sz="0" w:space="0" w:color="auto"/>
        <w:bottom w:val="none" w:sz="0" w:space="0" w:color="auto"/>
        <w:right w:val="none" w:sz="0" w:space="0" w:color="auto"/>
      </w:divBdr>
    </w:div>
    <w:div w:id="1869221063">
      <w:bodyDiv w:val="1"/>
      <w:marLeft w:val="0"/>
      <w:marRight w:val="0"/>
      <w:marTop w:val="0"/>
      <w:marBottom w:val="0"/>
      <w:divBdr>
        <w:top w:val="none" w:sz="0" w:space="0" w:color="auto"/>
        <w:left w:val="none" w:sz="0" w:space="0" w:color="auto"/>
        <w:bottom w:val="none" w:sz="0" w:space="0" w:color="auto"/>
        <w:right w:val="none" w:sz="0" w:space="0" w:color="auto"/>
      </w:divBdr>
    </w:div>
    <w:div w:id="1869250499">
      <w:bodyDiv w:val="1"/>
      <w:marLeft w:val="0"/>
      <w:marRight w:val="0"/>
      <w:marTop w:val="0"/>
      <w:marBottom w:val="0"/>
      <w:divBdr>
        <w:top w:val="none" w:sz="0" w:space="0" w:color="auto"/>
        <w:left w:val="none" w:sz="0" w:space="0" w:color="auto"/>
        <w:bottom w:val="none" w:sz="0" w:space="0" w:color="auto"/>
        <w:right w:val="none" w:sz="0" w:space="0" w:color="auto"/>
      </w:divBdr>
    </w:div>
    <w:div w:id="1869684818">
      <w:bodyDiv w:val="1"/>
      <w:marLeft w:val="0"/>
      <w:marRight w:val="0"/>
      <w:marTop w:val="0"/>
      <w:marBottom w:val="0"/>
      <w:divBdr>
        <w:top w:val="none" w:sz="0" w:space="0" w:color="auto"/>
        <w:left w:val="none" w:sz="0" w:space="0" w:color="auto"/>
        <w:bottom w:val="none" w:sz="0" w:space="0" w:color="auto"/>
        <w:right w:val="none" w:sz="0" w:space="0" w:color="auto"/>
      </w:divBdr>
    </w:div>
    <w:div w:id="1869873639">
      <w:bodyDiv w:val="1"/>
      <w:marLeft w:val="0"/>
      <w:marRight w:val="0"/>
      <w:marTop w:val="0"/>
      <w:marBottom w:val="0"/>
      <w:divBdr>
        <w:top w:val="none" w:sz="0" w:space="0" w:color="auto"/>
        <w:left w:val="none" w:sz="0" w:space="0" w:color="auto"/>
        <w:bottom w:val="none" w:sz="0" w:space="0" w:color="auto"/>
        <w:right w:val="none" w:sz="0" w:space="0" w:color="auto"/>
      </w:divBdr>
    </w:div>
    <w:div w:id="1870143280">
      <w:bodyDiv w:val="1"/>
      <w:marLeft w:val="0"/>
      <w:marRight w:val="0"/>
      <w:marTop w:val="0"/>
      <w:marBottom w:val="0"/>
      <w:divBdr>
        <w:top w:val="none" w:sz="0" w:space="0" w:color="auto"/>
        <w:left w:val="none" w:sz="0" w:space="0" w:color="auto"/>
        <w:bottom w:val="none" w:sz="0" w:space="0" w:color="auto"/>
        <w:right w:val="none" w:sz="0" w:space="0" w:color="auto"/>
      </w:divBdr>
    </w:div>
    <w:div w:id="1870795906">
      <w:bodyDiv w:val="1"/>
      <w:marLeft w:val="0"/>
      <w:marRight w:val="0"/>
      <w:marTop w:val="0"/>
      <w:marBottom w:val="0"/>
      <w:divBdr>
        <w:top w:val="none" w:sz="0" w:space="0" w:color="auto"/>
        <w:left w:val="none" w:sz="0" w:space="0" w:color="auto"/>
        <w:bottom w:val="none" w:sz="0" w:space="0" w:color="auto"/>
        <w:right w:val="none" w:sz="0" w:space="0" w:color="auto"/>
      </w:divBdr>
    </w:div>
    <w:div w:id="1874226603">
      <w:bodyDiv w:val="1"/>
      <w:marLeft w:val="0"/>
      <w:marRight w:val="0"/>
      <w:marTop w:val="0"/>
      <w:marBottom w:val="0"/>
      <w:divBdr>
        <w:top w:val="none" w:sz="0" w:space="0" w:color="auto"/>
        <w:left w:val="none" w:sz="0" w:space="0" w:color="auto"/>
        <w:bottom w:val="none" w:sz="0" w:space="0" w:color="auto"/>
        <w:right w:val="none" w:sz="0" w:space="0" w:color="auto"/>
      </w:divBdr>
    </w:div>
    <w:div w:id="1878927375">
      <w:bodyDiv w:val="1"/>
      <w:marLeft w:val="0"/>
      <w:marRight w:val="0"/>
      <w:marTop w:val="0"/>
      <w:marBottom w:val="0"/>
      <w:divBdr>
        <w:top w:val="none" w:sz="0" w:space="0" w:color="auto"/>
        <w:left w:val="none" w:sz="0" w:space="0" w:color="auto"/>
        <w:bottom w:val="none" w:sz="0" w:space="0" w:color="auto"/>
        <w:right w:val="none" w:sz="0" w:space="0" w:color="auto"/>
      </w:divBdr>
    </w:div>
    <w:div w:id="1879272444">
      <w:bodyDiv w:val="1"/>
      <w:marLeft w:val="0"/>
      <w:marRight w:val="0"/>
      <w:marTop w:val="0"/>
      <w:marBottom w:val="0"/>
      <w:divBdr>
        <w:top w:val="none" w:sz="0" w:space="0" w:color="auto"/>
        <w:left w:val="none" w:sz="0" w:space="0" w:color="auto"/>
        <w:bottom w:val="none" w:sz="0" w:space="0" w:color="auto"/>
        <w:right w:val="none" w:sz="0" w:space="0" w:color="auto"/>
      </w:divBdr>
    </w:div>
    <w:div w:id="1879664923">
      <w:bodyDiv w:val="1"/>
      <w:marLeft w:val="0"/>
      <w:marRight w:val="0"/>
      <w:marTop w:val="0"/>
      <w:marBottom w:val="0"/>
      <w:divBdr>
        <w:top w:val="none" w:sz="0" w:space="0" w:color="auto"/>
        <w:left w:val="none" w:sz="0" w:space="0" w:color="auto"/>
        <w:bottom w:val="none" w:sz="0" w:space="0" w:color="auto"/>
        <w:right w:val="none" w:sz="0" w:space="0" w:color="auto"/>
      </w:divBdr>
    </w:div>
    <w:div w:id="1883639832">
      <w:bodyDiv w:val="1"/>
      <w:marLeft w:val="0"/>
      <w:marRight w:val="0"/>
      <w:marTop w:val="0"/>
      <w:marBottom w:val="0"/>
      <w:divBdr>
        <w:top w:val="none" w:sz="0" w:space="0" w:color="auto"/>
        <w:left w:val="none" w:sz="0" w:space="0" w:color="auto"/>
        <w:bottom w:val="none" w:sz="0" w:space="0" w:color="auto"/>
        <w:right w:val="none" w:sz="0" w:space="0" w:color="auto"/>
      </w:divBdr>
    </w:div>
    <w:div w:id="1888102334">
      <w:bodyDiv w:val="1"/>
      <w:marLeft w:val="0"/>
      <w:marRight w:val="0"/>
      <w:marTop w:val="0"/>
      <w:marBottom w:val="0"/>
      <w:divBdr>
        <w:top w:val="none" w:sz="0" w:space="0" w:color="auto"/>
        <w:left w:val="none" w:sz="0" w:space="0" w:color="auto"/>
        <w:bottom w:val="none" w:sz="0" w:space="0" w:color="auto"/>
        <w:right w:val="none" w:sz="0" w:space="0" w:color="auto"/>
      </w:divBdr>
    </w:div>
    <w:div w:id="1890415335">
      <w:bodyDiv w:val="1"/>
      <w:marLeft w:val="0"/>
      <w:marRight w:val="0"/>
      <w:marTop w:val="0"/>
      <w:marBottom w:val="0"/>
      <w:divBdr>
        <w:top w:val="none" w:sz="0" w:space="0" w:color="auto"/>
        <w:left w:val="none" w:sz="0" w:space="0" w:color="auto"/>
        <w:bottom w:val="none" w:sz="0" w:space="0" w:color="auto"/>
        <w:right w:val="none" w:sz="0" w:space="0" w:color="auto"/>
      </w:divBdr>
    </w:div>
    <w:div w:id="1892570290">
      <w:bodyDiv w:val="1"/>
      <w:marLeft w:val="0"/>
      <w:marRight w:val="0"/>
      <w:marTop w:val="0"/>
      <w:marBottom w:val="0"/>
      <w:divBdr>
        <w:top w:val="none" w:sz="0" w:space="0" w:color="auto"/>
        <w:left w:val="none" w:sz="0" w:space="0" w:color="auto"/>
        <w:bottom w:val="none" w:sz="0" w:space="0" w:color="auto"/>
        <w:right w:val="none" w:sz="0" w:space="0" w:color="auto"/>
      </w:divBdr>
    </w:div>
    <w:div w:id="1893034186">
      <w:bodyDiv w:val="1"/>
      <w:marLeft w:val="0"/>
      <w:marRight w:val="0"/>
      <w:marTop w:val="0"/>
      <w:marBottom w:val="0"/>
      <w:divBdr>
        <w:top w:val="none" w:sz="0" w:space="0" w:color="auto"/>
        <w:left w:val="none" w:sz="0" w:space="0" w:color="auto"/>
        <w:bottom w:val="none" w:sz="0" w:space="0" w:color="auto"/>
        <w:right w:val="none" w:sz="0" w:space="0" w:color="auto"/>
      </w:divBdr>
    </w:div>
    <w:div w:id="1893729919">
      <w:bodyDiv w:val="1"/>
      <w:marLeft w:val="0"/>
      <w:marRight w:val="0"/>
      <w:marTop w:val="0"/>
      <w:marBottom w:val="0"/>
      <w:divBdr>
        <w:top w:val="none" w:sz="0" w:space="0" w:color="auto"/>
        <w:left w:val="none" w:sz="0" w:space="0" w:color="auto"/>
        <w:bottom w:val="none" w:sz="0" w:space="0" w:color="auto"/>
        <w:right w:val="none" w:sz="0" w:space="0" w:color="auto"/>
      </w:divBdr>
    </w:div>
    <w:div w:id="1893731088">
      <w:bodyDiv w:val="1"/>
      <w:marLeft w:val="0"/>
      <w:marRight w:val="0"/>
      <w:marTop w:val="0"/>
      <w:marBottom w:val="0"/>
      <w:divBdr>
        <w:top w:val="none" w:sz="0" w:space="0" w:color="auto"/>
        <w:left w:val="none" w:sz="0" w:space="0" w:color="auto"/>
        <w:bottom w:val="none" w:sz="0" w:space="0" w:color="auto"/>
        <w:right w:val="none" w:sz="0" w:space="0" w:color="auto"/>
      </w:divBdr>
    </w:div>
    <w:div w:id="1894539376">
      <w:bodyDiv w:val="1"/>
      <w:marLeft w:val="0"/>
      <w:marRight w:val="0"/>
      <w:marTop w:val="0"/>
      <w:marBottom w:val="0"/>
      <w:divBdr>
        <w:top w:val="none" w:sz="0" w:space="0" w:color="auto"/>
        <w:left w:val="none" w:sz="0" w:space="0" w:color="auto"/>
        <w:bottom w:val="none" w:sz="0" w:space="0" w:color="auto"/>
        <w:right w:val="none" w:sz="0" w:space="0" w:color="auto"/>
      </w:divBdr>
    </w:div>
    <w:div w:id="1897159475">
      <w:bodyDiv w:val="1"/>
      <w:marLeft w:val="0"/>
      <w:marRight w:val="0"/>
      <w:marTop w:val="0"/>
      <w:marBottom w:val="0"/>
      <w:divBdr>
        <w:top w:val="none" w:sz="0" w:space="0" w:color="auto"/>
        <w:left w:val="none" w:sz="0" w:space="0" w:color="auto"/>
        <w:bottom w:val="none" w:sz="0" w:space="0" w:color="auto"/>
        <w:right w:val="none" w:sz="0" w:space="0" w:color="auto"/>
      </w:divBdr>
    </w:div>
    <w:div w:id="1897663964">
      <w:bodyDiv w:val="1"/>
      <w:marLeft w:val="0"/>
      <w:marRight w:val="0"/>
      <w:marTop w:val="0"/>
      <w:marBottom w:val="0"/>
      <w:divBdr>
        <w:top w:val="none" w:sz="0" w:space="0" w:color="auto"/>
        <w:left w:val="none" w:sz="0" w:space="0" w:color="auto"/>
        <w:bottom w:val="none" w:sz="0" w:space="0" w:color="auto"/>
        <w:right w:val="none" w:sz="0" w:space="0" w:color="auto"/>
      </w:divBdr>
    </w:div>
    <w:div w:id="1898936094">
      <w:bodyDiv w:val="1"/>
      <w:marLeft w:val="0"/>
      <w:marRight w:val="0"/>
      <w:marTop w:val="0"/>
      <w:marBottom w:val="0"/>
      <w:divBdr>
        <w:top w:val="none" w:sz="0" w:space="0" w:color="auto"/>
        <w:left w:val="none" w:sz="0" w:space="0" w:color="auto"/>
        <w:bottom w:val="none" w:sz="0" w:space="0" w:color="auto"/>
        <w:right w:val="none" w:sz="0" w:space="0" w:color="auto"/>
      </w:divBdr>
    </w:div>
    <w:div w:id="1899827605">
      <w:bodyDiv w:val="1"/>
      <w:marLeft w:val="0"/>
      <w:marRight w:val="0"/>
      <w:marTop w:val="0"/>
      <w:marBottom w:val="0"/>
      <w:divBdr>
        <w:top w:val="none" w:sz="0" w:space="0" w:color="auto"/>
        <w:left w:val="none" w:sz="0" w:space="0" w:color="auto"/>
        <w:bottom w:val="none" w:sz="0" w:space="0" w:color="auto"/>
        <w:right w:val="none" w:sz="0" w:space="0" w:color="auto"/>
      </w:divBdr>
    </w:div>
    <w:div w:id="1900702022">
      <w:bodyDiv w:val="1"/>
      <w:marLeft w:val="0"/>
      <w:marRight w:val="0"/>
      <w:marTop w:val="0"/>
      <w:marBottom w:val="0"/>
      <w:divBdr>
        <w:top w:val="none" w:sz="0" w:space="0" w:color="auto"/>
        <w:left w:val="none" w:sz="0" w:space="0" w:color="auto"/>
        <w:bottom w:val="none" w:sz="0" w:space="0" w:color="auto"/>
        <w:right w:val="none" w:sz="0" w:space="0" w:color="auto"/>
      </w:divBdr>
    </w:div>
    <w:div w:id="1900897236">
      <w:bodyDiv w:val="1"/>
      <w:marLeft w:val="0"/>
      <w:marRight w:val="0"/>
      <w:marTop w:val="0"/>
      <w:marBottom w:val="0"/>
      <w:divBdr>
        <w:top w:val="none" w:sz="0" w:space="0" w:color="auto"/>
        <w:left w:val="none" w:sz="0" w:space="0" w:color="auto"/>
        <w:bottom w:val="none" w:sz="0" w:space="0" w:color="auto"/>
        <w:right w:val="none" w:sz="0" w:space="0" w:color="auto"/>
      </w:divBdr>
    </w:div>
    <w:div w:id="1903325696">
      <w:bodyDiv w:val="1"/>
      <w:marLeft w:val="0"/>
      <w:marRight w:val="0"/>
      <w:marTop w:val="0"/>
      <w:marBottom w:val="0"/>
      <w:divBdr>
        <w:top w:val="none" w:sz="0" w:space="0" w:color="auto"/>
        <w:left w:val="none" w:sz="0" w:space="0" w:color="auto"/>
        <w:bottom w:val="none" w:sz="0" w:space="0" w:color="auto"/>
        <w:right w:val="none" w:sz="0" w:space="0" w:color="auto"/>
      </w:divBdr>
    </w:div>
    <w:div w:id="1905480620">
      <w:bodyDiv w:val="1"/>
      <w:marLeft w:val="0"/>
      <w:marRight w:val="0"/>
      <w:marTop w:val="0"/>
      <w:marBottom w:val="0"/>
      <w:divBdr>
        <w:top w:val="none" w:sz="0" w:space="0" w:color="auto"/>
        <w:left w:val="none" w:sz="0" w:space="0" w:color="auto"/>
        <w:bottom w:val="none" w:sz="0" w:space="0" w:color="auto"/>
        <w:right w:val="none" w:sz="0" w:space="0" w:color="auto"/>
      </w:divBdr>
    </w:div>
    <w:div w:id="1907957023">
      <w:bodyDiv w:val="1"/>
      <w:marLeft w:val="0"/>
      <w:marRight w:val="0"/>
      <w:marTop w:val="0"/>
      <w:marBottom w:val="0"/>
      <w:divBdr>
        <w:top w:val="none" w:sz="0" w:space="0" w:color="auto"/>
        <w:left w:val="none" w:sz="0" w:space="0" w:color="auto"/>
        <w:bottom w:val="none" w:sz="0" w:space="0" w:color="auto"/>
        <w:right w:val="none" w:sz="0" w:space="0" w:color="auto"/>
      </w:divBdr>
    </w:div>
    <w:div w:id="1910798760">
      <w:bodyDiv w:val="1"/>
      <w:marLeft w:val="0"/>
      <w:marRight w:val="0"/>
      <w:marTop w:val="0"/>
      <w:marBottom w:val="0"/>
      <w:divBdr>
        <w:top w:val="none" w:sz="0" w:space="0" w:color="auto"/>
        <w:left w:val="none" w:sz="0" w:space="0" w:color="auto"/>
        <w:bottom w:val="none" w:sz="0" w:space="0" w:color="auto"/>
        <w:right w:val="none" w:sz="0" w:space="0" w:color="auto"/>
      </w:divBdr>
    </w:div>
    <w:div w:id="1911232208">
      <w:bodyDiv w:val="1"/>
      <w:marLeft w:val="0"/>
      <w:marRight w:val="0"/>
      <w:marTop w:val="0"/>
      <w:marBottom w:val="0"/>
      <w:divBdr>
        <w:top w:val="none" w:sz="0" w:space="0" w:color="auto"/>
        <w:left w:val="none" w:sz="0" w:space="0" w:color="auto"/>
        <w:bottom w:val="none" w:sz="0" w:space="0" w:color="auto"/>
        <w:right w:val="none" w:sz="0" w:space="0" w:color="auto"/>
      </w:divBdr>
    </w:div>
    <w:div w:id="1914389896">
      <w:bodyDiv w:val="1"/>
      <w:marLeft w:val="0"/>
      <w:marRight w:val="0"/>
      <w:marTop w:val="0"/>
      <w:marBottom w:val="0"/>
      <w:divBdr>
        <w:top w:val="none" w:sz="0" w:space="0" w:color="auto"/>
        <w:left w:val="none" w:sz="0" w:space="0" w:color="auto"/>
        <w:bottom w:val="none" w:sz="0" w:space="0" w:color="auto"/>
        <w:right w:val="none" w:sz="0" w:space="0" w:color="auto"/>
      </w:divBdr>
    </w:div>
    <w:div w:id="1915166599">
      <w:bodyDiv w:val="1"/>
      <w:marLeft w:val="0"/>
      <w:marRight w:val="0"/>
      <w:marTop w:val="0"/>
      <w:marBottom w:val="0"/>
      <w:divBdr>
        <w:top w:val="none" w:sz="0" w:space="0" w:color="auto"/>
        <w:left w:val="none" w:sz="0" w:space="0" w:color="auto"/>
        <w:bottom w:val="none" w:sz="0" w:space="0" w:color="auto"/>
        <w:right w:val="none" w:sz="0" w:space="0" w:color="auto"/>
      </w:divBdr>
    </w:div>
    <w:div w:id="1917324776">
      <w:bodyDiv w:val="1"/>
      <w:marLeft w:val="0"/>
      <w:marRight w:val="0"/>
      <w:marTop w:val="0"/>
      <w:marBottom w:val="0"/>
      <w:divBdr>
        <w:top w:val="none" w:sz="0" w:space="0" w:color="auto"/>
        <w:left w:val="none" w:sz="0" w:space="0" w:color="auto"/>
        <w:bottom w:val="none" w:sz="0" w:space="0" w:color="auto"/>
        <w:right w:val="none" w:sz="0" w:space="0" w:color="auto"/>
      </w:divBdr>
    </w:div>
    <w:div w:id="1918246859">
      <w:bodyDiv w:val="1"/>
      <w:marLeft w:val="0"/>
      <w:marRight w:val="0"/>
      <w:marTop w:val="0"/>
      <w:marBottom w:val="0"/>
      <w:divBdr>
        <w:top w:val="none" w:sz="0" w:space="0" w:color="auto"/>
        <w:left w:val="none" w:sz="0" w:space="0" w:color="auto"/>
        <w:bottom w:val="none" w:sz="0" w:space="0" w:color="auto"/>
        <w:right w:val="none" w:sz="0" w:space="0" w:color="auto"/>
      </w:divBdr>
    </w:div>
    <w:div w:id="1921137908">
      <w:bodyDiv w:val="1"/>
      <w:marLeft w:val="0"/>
      <w:marRight w:val="0"/>
      <w:marTop w:val="0"/>
      <w:marBottom w:val="0"/>
      <w:divBdr>
        <w:top w:val="none" w:sz="0" w:space="0" w:color="auto"/>
        <w:left w:val="none" w:sz="0" w:space="0" w:color="auto"/>
        <w:bottom w:val="none" w:sz="0" w:space="0" w:color="auto"/>
        <w:right w:val="none" w:sz="0" w:space="0" w:color="auto"/>
      </w:divBdr>
    </w:div>
    <w:div w:id="1921985363">
      <w:bodyDiv w:val="1"/>
      <w:marLeft w:val="0"/>
      <w:marRight w:val="0"/>
      <w:marTop w:val="0"/>
      <w:marBottom w:val="0"/>
      <w:divBdr>
        <w:top w:val="none" w:sz="0" w:space="0" w:color="auto"/>
        <w:left w:val="none" w:sz="0" w:space="0" w:color="auto"/>
        <w:bottom w:val="none" w:sz="0" w:space="0" w:color="auto"/>
        <w:right w:val="none" w:sz="0" w:space="0" w:color="auto"/>
      </w:divBdr>
    </w:div>
    <w:div w:id="1922911289">
      <w:bodyDiv w:val="1"/>
      <w:marLeft w:val="0"/>
      <w:marRight w:val="0"/>
      <w:marTop w:val="0"/>
      <w:marBottom w:val="0"/>
      <w:divBdr>
        <w:top w:val="none" w:sz="0" w:space="0" w:color="auto"/>
        <w:left w:val="none" w:sz="0" w:space="0" w:color="auto"/>
        <w:bottom w:val="none" w:sz="0" w:space="0" w:color="auto"/>
        <w:right w:val="none" w:sz="0" w:space="0" w:color="auto"/>
      </w:divBdr>
    </w:div>
    <w:div w:id="1923686105">
      <w:bodyDiv w:val="1"/>
      <w:marLeft w:val="0"/>
      <w:marRight w:val="0"/>
      <w:marTop w:val="0"/>
      <w:marBottom w:val="0"/>
      <w:divBdr>
        <w:top w:val="none" w:sz="0" w:space="0" w:color="auto"/>
        <w:left w:val="none" w:sz="0" w:space="0" w:color="auto"/>
        <w:bottom w:val="none" w:sz="0" w:space="0" w:color="auto"/>
        <w:right w:val="none" w:sz="0" w:space="0" w:color="auto"/>
      </w:divBdr>
    </w:div>
    <w:div w:id="1924409478">
      <w:bodyDiv w:val="1"/>
      <w:marLeft w:val="0"/>
      <w:marRight w:val="0"/>
      <w:marTop w:val="0"/>
      <w:marBottom w:val="0"/>
      <w:divBdr>
        <w:top w:val="none" w:sz="0" w:space="0" w:color="auto"/>
        <w:left w:val="none" w:sz="0" w:space="0" w:color="auto"/>
        <w:bottom w:val="none" w:sz="0" w:space="0" w:color="auto"/>
        <w:right w:val="none" w:sz="0" w:space="0" w:color="auto"/>
      </w:divBdr>
    </w:div>
    <w:div w:id="1925259634">
      <w:bodyDiv w:val="1"/>
      <w:marLeft w:val="0"/>
      <w:marRight w:val="0"/>
      <w:marTop w:val="0"/>
      <w:marBottom w:val="0"/>
      <w:divBdr>
        <w:top w:val="none" w:sz="0" w:space="0" w:color="auto"/>
        <w:left w:val="none" w:sz="0" w:space="0" w:color="auto"/>
        <w:bottom w:val="none" w:sz="0" w:space="0" w:color="auto"/>
        <w:right w:val="none" w:sz="0" w:space="0" w:color="auto"/>
      </w:divBdr>
    </w:div>
    <w:div w:id="1925413511">
      <w:bodyDiv w:val="1"/>
      <w:marLeft w:val="0"/>
      <w:marRight w:val="0"/>
      <w:marTop w:val="0"/>
      <w:marBottom w:val="0"/>
      <w:divBdr>
        <w:top w:val="none" w:sz="0" w:space="0" w:color="auto"/>
        <w:left w:val="none" w:sz="0" w:space="0" w:color="auto"/>
        <w:bottom w:val="none" w:sz="0" w:space="0" w:color="auto"/>
        <w:right w:val="none" w:sz="0" w:space="0" w:color="auto"/>
      </w:divBdr>
    </w:div>
    <w:div w:id="1925844198">
      <w:bodyDiv w:val="1"/>
      <w:marLeft w:val="0"/>
      <w:marRight w:val="0"/>
      <w:marTop w:val="0"/>
      <w:marBottom w:val="0"/>
      <w:divBdr>
        <w:top w:val="none" w:sz="0" w:space="0" w:color="auto"/>
        <w:left w:val="none" w:sz="0" w:space="0" w:color="auto"/>
        <w:bottom w:val="none" w:sz="0" w:space="0" w:color="auto"/>
        <w:right w:val="none" w:sz="0" w:space="0" w:color="auto"/>
      </w:divBdr>
    </w:div>
    <w:div w:id="1926645967">
      <w:bodyDiv w:val="1"/>
      <w:marLeft w:val="0"/>
      <w:marRight w:val="0"/>
      <w:marTop w:val="0"/>
      <w:marBottom w:val="0"/>
      <w:divBdr>
        <w:top w:val="none" w:sz="0" w:space="0" w:color="auto"/>
        <w:left w:val="none" w:sz="0" w:space="0" w:color="auto"/>
        <w:bottom w:val="none" w:sz="0" w:space="0" w:color="auto"/>
        <w:right w:val="none" w:sz="0" w:space="0" w:color="auto"/>
      </w:divBdr>
    </w:div>
    <w:div w:id="1928494293">
      <w:bodyDiv w:val="1"/>
      <w:marLeft w:val="0"/>
      <w:marRight w:val="0"/>
      <w:marTop w:val="0"/>
      <w:marBottom w:val="0"/>
      <w:divBdr>
        <w:top w:val="none" w:sz="0" w:space="0" w:color="auto"/>
        <w:left w:val="none" w:sz="0" w:space="0" w:color="auto"/>
        <w:bottom w:val="none" w:sz="0" w:space="0" w:color="auto"/>
        <w:right w:val="none" w:sz="0" w:space="0" w:color="auto"/>
      </w:divBdr>
    </w:div>
    <w:div w:id="1930312397">
      <w:bodyDiv w:val="1"/>
      <w:marLeft w:val="0"/>
      <w:marRight w:val="0"/>
      <w:marTop w:val="0"/>
      <w:marBottom w:val="0"/>
      <w:divBdr>
        <w:top w:val="none" w:sz="0" w:space="0" w:color="auto"/>
        <w:left w:val="none" w:sz="0" w:space="0" w:color="auto"/>
        <w:bottom w:val="none" w:sz="0" w:space="0" w:color="auto"/>
        <w:right w:val="none" w:sz="0" w:space="0" w:color="auto"/>
      </w:divBdr>
    </w:div>
    <w:div w:id="1934699949">
      <w:bodyDiv w:val="1"/>
      <w:marLeft w:val="0"/>
      <w:marRight w:val="0"/>
      <w:marTop w:val="0"/>
      <w:marBottom w:val="0"/>
      <w:divBdr>
        <w:top w:val="none" w:sz="0" w:space="0" w:color="auto"/>
        <w:left w:val="none" w:sz="0" w:space="0" w:color="auto"/>
        <w:bottom w:val="none" w:sz="0" w:space="0" w:color="auto"/>
        <w:right w:val="none" w:sz="0" w:space="0" w:color="auto"/>
      </w:divBdr>
    </w:div>
    <w:div w:id="1937013507">
      <w:bodyDiv w:val="1"/>
      <w:marLeft w:val="0"/>
      <w:marRight w:val="0"/>
      <w:marTop w:val="0"/>
      <w:marBottom w:val="0"/>
      <w:divBdr>
        <w:top w:val="none" w:sz="0" w:space="0" w:color="auto"/>
        <w:left w:val="none" w:sz="0" w:space="0" w:color="auto"/>
        <w:bottom w:val="none" w:sz="0" w:space="0" w:color="auto"/>
        <w:right w:val="none" w:sz="0" w:space="0" w:color="auto"/>
      </w:divBdr>
    </w:div>
    <w:div w:id="1940789275">
      <w:bodyDiv w:val="1"/>
      <w:marLeft w:val="0"/>
      <w:marRight w:val="0"/>
      <w:marTop w:val="0"/>
      <w:marBottom w:val="0"/>
      <w:divBdr>
        <w:top w:val="none" w:sz="0" w:space="0" w:color="auto"/>
        <w:left w:val="none" w:sz="0" w:space="0" w:color="auto"/>
        <w:bottom w:val="none" w:sz="0" w:space="0" w:color="auto"/>
        <w:right w:val="none" w:sz="0" w:space="0" w:color="auto"/>
      </w:divBdr>
      <w:divsChild>
        <w:div w:id="1142502708">
          <w:marLeft w:val="0"/>
          <w:marRight w:val="0"/>
          <w:marTop w:val="0"/>
          <w:marBottom w:val="0"/>
          <w:divBdr>
            <w:top w:val="none" w:sz="0" w:space="0" w:color="auto"/>
            <w:left w:val="none" w:sz="0" w:space="0" w:color="auto"/>
            <w:bottom w:val="none" w:sz="0" w:space="0" w:color="auto"/>
            <w:right w:val="none" w:sz="0" w:space="0" w:color="auto"/>
          </w:divBdr>
          <w:divsChild>
            <w:div w:id="1804151439">
              <w:marLeft w:val="0"/>
              <w:marRight w:val="0"/>
              <w:marTop w:val="0"/>
              <w:marBottom w:val="0"/>
              <w:divBdr>
                <w:top w:val="none" w:sz="0" w:space="0" w:color="auto"/>
                <w:left w:val="none" w:sz="0" w:space="0" w:color="auto"/>
                <w:bottom w:val="none" w:sz="0" w:space="0" w:color="auto"/>
                <w:right w:val="none" w:sz="0" w:space="0" w:color="auto"/>
              </w:divBdr>
            </w:div>
          </w:divsChild>
        </w:div>
        <w:div w:id="2091847991">
          <w:marLeft w:val="0"/>
          <w:marRight w:val="0"/>
          <w:marTop w:val="0"/>
          <w:marBottom w:val="0"/>
          <w:divBdr>
            <w:top w:val="none" w:sz="0" w:space="0" w:color="auto"/>
            <w:left w:val="none" w:sz="0" w:space="0" w:color="auto"/>
            <w:bottom w:val="none" w:sz="0" w:space="0" w:color="auto"/>
            <w:right w:val="none" w:sz="0" w:space="0" w:color="auto"/>
          </w:divBdr>
          <w:divsChild>
            <w:div w:id="4530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8922">
      <w:bodyDiv w:val="1"/>
      <w:marLeft w:val="0"/>
      <w:marRight w:val="0"/>
      <w:marTop w:val="0"/>
      <w:marBottom w:val="0"/>
      <w:divBdr>
        <w:top w:val="none" w:sz="0" w:space="0" w:color="auto"/>
        <w:left w:val="none" w:sz="0" w:space="0" w:color="auto"/>
        <w:bottom w:val="none" w:sz="0" w:space="0" w:color="auto"/>
        <w:right w:val="none" w:sz="0" w:space="0" w:color="auto"/>
      </w:divBdr>
    </w:div>
    <w:div w:id="1943688746">
      <w:bodyDiv w:val="1"/>
      <w:marLeft w:val="0"/>
      <w:marRight w:val="0"/>
      <w:marTop w:val="0"/>
      <w:marBottom w:val="0"/>
      <w:divBdr>
        <w:top w:val="none" w:sz="0" w:space="0" w:color="auto"/>
        <w:left w:val="none" w:sz="0" w:space="0" w:color="auto"/>
        <w:bottom w:val="none" w:sz="0" w:space="0" w:color="auto"/>
        <w:right w:val="none" w:sz="0" w:space="0" w:color="auto"/>
      </w:divBdr>
    </w:div>
    <w:div w:id="1944459122">
      <w:bodyDiv w:val="1"/>
      <w:marLeft w:val="0"/>
      <w:marRight w:val="0"/>
      <w:marTop w:val="0"/>
      <w:marBottom w:val="0"/>
      <w:divBdr>
        <w:top w:val="none" w:sz="0" w:space="0" w:color="auto"/>
        <w:left w:val="none" w:sz="0" w:space="0" w:color="auto"/>
        <w:bottom w:val="none" w:sz="0" w:space="0" w:color="auto"/>
        <w:right w:val="none" w:sz="0" w:space="0" w:color="auto"/>
      </w:divBdr>
    </w:div>
    <w:div w:id="1944923024">
      <w:bodyDiv w:val="1"/>
      <w:marLeft w:val="0"/>
      <w:marRight w:val="0"/>
      <w:marTop w:val="0"/>
      <w:marBottom w:val="0"/>
      <w:divBdr>
        <w:top w:val="none" w:sz="0" w:space="0" w:color="auto"/>
        <w:left w:val="none" w:sz="0" w:space="0" w:color="auto"/>
        <w:bottom w:val="none" w:sz="0" w:space="0" w:color="auto"/>
        <w:right w:val="none" w:sz="0" w:space="0" w:color="auto"/>
      </w:divBdr>
    </w:div>
    <w:div w:id="1947231958">
      <w:bodyDiv w:val="1"/>
      <w:marLeft w:val="0"/>
      <w:marRight w:val="0"/>
      <w:marTop w:val="0"/>
      <w:marBottom w:val="0"/>
      <w:divBdr>
        <w:top w:val="none" w:sz="0" w:space="0" w:color="auto"/>
        <w:left w:val="none" w:sz="0" w:space="0" w:color="auto"/>
        <w:bottom w:val="none" w:sz="0" w:space="0" w:color="auto"/>
        <w:right w:val="none" w:sz="0" w:space="0" w:color="auto"/>
      </w:divBdr>
    </w:div>
    <w:div w:id="1948390055">
      <w:bodyDiv w:val="1"/>
      <w:marLeft w:val="0"/>
      <w:marRight w:val="0"/>
      <w:marTop w:val="0"/>
      <w:marBottom w:val="0"/>
      <w:divBdr>
        <w:top w:val="none" w:sz="0" w:space="0" w:color="auto"/>
        <w:left w:val="none" w:sz="0" w:space="0" w:color="auto"/>
        <w:bottom w:val="none" w:sz="0" w:space="0" w:color="auto"/>
        <w:right w:val="none" w:sz="0" w:space="0" w:color="auto"/>
      </w:divBdr>
    </w:div>
    <w:div w:id="1952392614">
      <w:bodyDiv w:val="1"/>
      <w:marLeft w:val="0"/>
      <w:marRight w:val="0"/>
      <w:marTop w:val="0"/>
      <w:marBottom w:val="0"/>
      <w:divBdr>
        <w:top w:val="none" w:sz="0" w:space="0" w:color="auto"/>
        <w:left w:val="none" w:sz="0" w:space="0" w:color="auto"/>
        <w:bottom w:val="none" w:sz="0" w:space="0" w:color="auto"/>
        <w:right w:val="none" w:sz="0" w:space="0" w:color="auto"/>
      </w:divBdr>
    </w:div>
    <w:div w:id="1952588454">
      <w:bodyDiv w:val="1"/>
      <w:marLeft w:val="0"/>
      <w:marRight w:val="0"/>
      <w:marTop w:val="0"/>
      <w:marBottom w:val="0"/>
      <w:divBdr>
        <w:top w:val="none" w:sz="0" w:space="0" w:color="auto"/>
        <w:left w:val="none" w:sz="0" w:space="0" w:color="auto"/>
        <w:bottom w:val="none" w:sz="0" w:space="0" w:color="auto"/>
        <w:right w:val="none" w:sz="0" w:space="0" w:color="auto"/>
      </w:divBdr>
    </w:div>
    <w:div w:id="1954357576">
      <w:bodyDiv w:val="1"/>
      <w:marLeft w:val="0"/>
      <w:marRight w:val="0"/>
      <w:marTop w:val="0"/>
      <w:marBottom w:val="0"/>
      <w:divBdr>
        <w:top w:val="none" w:sz="0" w:space="0" w:color="auto"/>
        <w:left w:val="none" w:sz="0" w:space="0" w:color="auto"/>
        <w:bottom w:val="none" w:sz="0" w:space="0" w:color="auto"/>
        <w:right w:val="none" w:sz="0" w:space="0" w:color="auto"/>
      </w:divBdr>
    </w:div>
    <w:div w:id="1954437330">
      <w:bodyDiv w:val="1"/>
      <w:marLeft w:val="0"/>
      <w:marRight w:val="0"/>
      <w:marTop w:val="0"/>
      <w:marBottom w:val="0"/>
      <w:divBdr>
        <w:top w:val="none" w:sz="0" w:space="0" w:color="auto"/>
        <w:left w:val="none" w:sz="0" w:space="0" w:color="auto"/>
        <w:bottom w:val="none" w:sz="0" w:space="0" w:color="auto"/>
        <w:right w:val="none" w:sz="0" w:space="0" w:color="auto"/>
      </w:divBdr>
    </w:div>
    <w:div w:id="1954558657">
      <w:bodyDiv w:val="1"/>
      <w:marLeft w:val="0"/>
      <w:marRight w:val="0"/>
      <w:marTop w:val="0"/>
      <w:marBottom w:val="0"/>
      <w:divBdr>
        <w:top w:val="none" w:sz="0" w:space="0" w:color="auto"/>
        <w:left w:val="none" w:sz="0" w:space="0" w:color="auto"/>
        <w:bottom w:val="none" w:sz="0" w:space="0" w:color="auto"/>
        <w:right w:val="none" w:sz="0" w:space="0" w:color="auto"/>
      </w:divBdr>
    </w:div>
    <w:div w:id="1956401387">
      <w:bodyDiv w:val="1"/>
      <w:marLeft w:val="0"/>
      <w:marRight w:val="0"/>
      <w:marTop w:val="0"/>
      <w:marBottom w:val="0"/>
      <w:divBdr>
        <w:top w:val="none" w:sz="0" w:space="0" w:color="auto"/>
        <w:left w:val="none" w:sz="0" w:space="0" w:color="auto"/>
        <w:bottom w:val="none" w:sz="0" w:space="0" w:color="auto"/>
        <w:right w:val="none" w:sz="0" w:space="0" w:color="auto"/>
      </w:divBdr>
    </w:div>
    <w:div w:id="1957758226">
      <w:bodyDiv w:val="1"/>
      <w:marLeft w:val="0"/>
      <w:marRight w:val="0"/>
      <w:marTop w:val="0"/>
      <w:marBottom w:val="0"/>
      <w:divBdr>
        <w:top w:val="none" w:sz="0" w:space="0" w:color="auto"/>
        <w:left w:val="none" w:sz="0" w:space="0" w:color="auto"/>
        <w:bottom w:val="none" w:sz="0" w:space="0" w:color="auto"/>
        <w:right w:val="none" w:sz="0" w:space="0" w:color="auto"/>
      </w:divBdr>
    </w:div>
    <w:div w:id="1965772995">
      <w:bodyDiv w:val="1"/>
      <w:marLeft w:val="0"/>
      <w:marRight w:val="0"/>
      <w:marTop w:val="0"/>
      <w:marBottom w:val="0"/>
      <w:divBdr>
        <w:top w:val="none" w:sz="0" w:space="0" w:color="auto"/>
        <w:left w:val="none" w:sz="0" w:space="0" w:color="auto"/>
        <w:bottom w:val="none" w:sz="0" w:space="0" w:color="auto"/>
        <w:right w:val="none" w:sz="0" w:space="0" w:color="auto"/>
      </w:divBdr>
    </w:div>
    <w:div w:id="1966622747">
      <w:bodyDiv w:val="1"/>
      <w:marLeft w:val="0"/>
      <w:marRight w:val="0"/>
      <w:marTop w:val="0"/>
      <w:marBottom w:val="0"/>
      <w:divBdr>
        <w:top w:val="none" w:sz="0" w:space="0" w:color="auto"/>
        <w:left w:val="none" w:sz="0" w:space="0" w:color="auto"/>
        <w:bottom w:val="none" w:sz="0" w:space="0" w:color="auto"/>
        <w:right w:val="none" w:sz="0" w:space="0" w:color="auto"/>
      </w:divBdr>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
    <w:div w:id="1970282175">
      <w:bodyDiv w:val="1"/>
      <w:marLeft w:val="0"/>
      <w:marRight w:val="0"/>
      <w:marTop w:val="0"/>
      <w:marBottom w:val="0"/>
      <w:divBdr>
        <w:top w:val="none" w:sz="0" w:space="0" w:color="auto"/>
        <w:left w:val="none" w:sz="0" w:space="0" w:color="auto"/>
        <w:bottom w:val="none" w:sz="0" w:space="0" w:color="auto"/>
        <w:right w:val="none" w:sz="0" w:space="0" w:color="auto"/>
      </w:divBdr>
    </w:div>
    <w:div w:id="1971012453">
      <w:bodyDiv w:val="1"/>
      <w:marLeft w:val="0"/>
      <w:marRight w:val="0"/>
      <w:marTop w:val="0"/>
      <w:marBottom w:val="0"/>
      <w:divBdr>
        <w:top w:val="none" w:sz="0" w:space="0" w:color="auto"/>
        <w:left w:val="none" w:sz="0" w:space="0" w:color="auto"/>
        <w:bottom w:val="none" w:sz="0" w:space="0" w:color="auto"/>
        <w:right w:val="none" w:sz="0" w:space="0" w:color="auto"/>
      </w:divBdr>
    </w:div>
    <w:div w:id="1971281877">
      <w:bodyDiv w:val="1"/>
      <w:marLeft w:val="0"/>
      <w:marRight w:val="0"/>
      <w:marTop w:val="0"/>
      <w:marBottom w:val="0"/>
      <w:divBdr>
        <w:top w:val="none" w:sz="0" w:space="0" w:color="auto"/>
        <w:left w:val="none" w:sz="0" w:space="0" w:color="auto"/>
        <w:bottom w:val="none" w:sz="0" w:space="0" w:color="auto"/>
        <w:right w:val="none" w:sz="0" w:space="0" w:color="auto"/>
      </w:divBdr>
    </w:div>
    <w:div w:id="1971813265">
      <w:bodyDiv w:val="1"/>
      <w:marLeft w:val="0"/>
      <w:marRight w:val="0"/>
      <w:marTop w:val="0"/>
      <w:marBottom w:val="0"/>
      <w:divBdr>
        <w:top w:val="none" w:sz="0" w:space="0" w:color="auto"/>
        <w:left w:val="none" w:sz="0" w:space="0" w:color="auto"/>
        <w:bottom w:val="none" w:sz="0" w:space="0" w:color="auto"/>
        <w:right w:val="none" w:sz="0" w:space="0" w:color="auto"/>
      </w:divBdr>
    </w:div>
    <w:div w:id="1972862852">
      <w:bodyDiv w:val="1"/>
      <w:marLeft w:val="0"/>
      <w:marRight w:val="0"/>
      <w:marTop w:val="0"/>
      <w:marBottom w:val="0"/>
      <w:divBdr>
        <w:top w:val="none" w:sz="0" w:space="0" w:color="auto"/>
        <w:left w:val="none" w:sz="0" w:space="0" w:color="auto"/>
        <w:bottom w:val="none" w:sz="0" w:space="0" w:color="auto"/>
        <w:right w:val="none" w:sz="0" w:space="0" w:color="auto"/>
      </w:divBdr>
    </w:div>
    <w:div w:id="1975211737">
      <w:bodyDiv w:val="1"/>
      <w:marLeft w:val="0"/>
      <w:marRight w:val="0"/>
      <w:marTop w:val="0"/>
      <w:marBottom w:val="0"/>
      <w:divBdr>
        <w:top w:val="none" w:sz="0" w:space="0" w:color="auto"/>
        <w:left w:val="none" w:sz="0" w:space="0" w:color="auto"/>
        <w:bottom w:val="none" w:sz="0" w:space="0" w:color="auto"/>
        <w:right w:val="none" w:sz="0" w:space="0" w:color="auto"/>
      </w:divBdr>
    </w:div>
    <w:div w:id="1978532106">
      <w:bodyDiv w:val="1"/>
      <w:marLeft w:val="0"/>
      <w:marRight w:val="0"/>
      <w:marTop w:val="0"/>
      <w:marBottom w:val="0"/>
      <w:divBdr>
        <w:top w:val="none" w:sz="0" w:space="0" w:color="auto"/>
        <w:left w:val="none" w:sz="0" w:space="0" w:color="auto"/>
        <w:bottom w:val="none" w:sz="0" w:space="0" w:color="auto"/>
        <w:right w:val="none" w:sz="0" w:space="0" w:color="auto"/>
      </w:divBdr>
    </w:div>
    <w:div w:id="1978728520">
      <w:bodyDiv w:val="1"/>
      <w:marLeft w:val="0"/>
      <w:marRight w:val="0"/>
      <w:marTop w:val="0"/>
      <w:marBottom w:val="0"/>
      <w:divBdr>
        <w:top w:val="none" w:sz="0" w:space="0" w:color="auto"/>
        <w:left w:val="none" w:sz="0" w:space="0" w:color="auto"/>
        <w:bottom w:val="none" w:sz="0" w:space="0" w:color="auto"/>
        <w:right w:val="none" w:sz="0" w:space="0" w:color="auto"/>
      </w:divBdr>
    </w:div>
    <w:div w:id="1980724513">
      <w:bodyDiv w:val="1"/>
      <w:marLeft w:val="0"/>
      <w:marRight w:val="0"/>
      <w:marTop w:val="0"/>
      <w:marBottom w:val="0"/>
      <w:divBdr>
        <w:top w:val="none" w:sz="0" w:space="0" w:color="auto"/>
        <w:left w:val="none" w:sz="0" w:space="0" w:color="auto"/>
        <w:bottom w:val="none" w:sz="0" w:space="0" w:color="auto"/>
        <w:right w:val="none" w:sz="0" w:space="0" w:color="auto"/>
      </w:divBdr>
    </w:div>
    <w:div w:id="1983195942">
      <w:bodyDiv w:val="1"/>
      <w:marLeft w:val="0"/>
      <w:marRight w:val="0"/>
      <w:marTop w:val="0"/>
      <w:marBottom w:val="0"/>
      <w:divBdr>
        <w:top w:val="none" w:sz="0" w:space="0" w:color="auto"/>
        <w:left w:val="none" w:sz="0" w:space="0" w:color="auto"/>
        <w:bottom w:val="none" w:sz="0" w:space="0" w:color="auto"/>
        <w:right w:val="none" w:sz="0" w:space="0" w:color="auto"/>
      </w:divBdr>
    </w:div>
    <w:div w:id="1987275749">
      <w:bodyDiv w:val="1"/>
      <w:marLeft w:val="0"/>
      <w:marRight w:val="0"/>
      <w:marTop w:val="0"/>
      <w:marBottom w:val="0"/>
      <w:divBdr>
        <w:top w:val="none" w:sz="0" w:space="0" w:color="auto"/>
        <w:left w:val="none" w:sz="0" w:space="0" w:color="auto"/>
        <w:bottom w:val="none" w:sz="0" w:space="0" w:color="auto"/>
        <w:right w:val="none" w:sz="0" w:space="0" w:color="auto"/>
      </w:divBdr>
    </w:div>
    <w:div w:id="1988513015">
      <w:bodyDiv w:val="1"/>
      <w:marLeft w:val="0"/>
      <w:marRight w:val="0"/>
      <w:marTop w:val="0"/>
      <w:marBottom w:val="0"/>
      <w:divBdr>
        <w:top w:val="none" w:sz="0" w:space="0" w:color="auto"/>
        <w:left w:val="none" w:sz="0" w:space="0" w:color="auto"/>
        <w:bottom w:val="none" w:sz="0" w:space="0" w:color="auto"/>
        <w:right w:val="none" w:sz="0" w:space="0" w:color="auto"/>
      </w:divBdr>
    </w:div>
    <w:div w:id="1990401782">
      <w:bodyDiv w:val="1"/>
      <w:marLeft w:val="0"/>
      <w:marRight w:val="0"/>
      <w:marTop w:val="0"/>
      <w:marBottom w:val="0"/>
      <w:divBdr>
        <w:top w:val="none" w:sz="0" w:space="0" w:color="auto"/>
        <w:left w:val="none" w:sz="0" w:space="0" w:color="auto"/>
        <w:bottom w:val="none" w:sz="0" w:space="0" w:color="auto"/>
        <w:right w:val="none" w:sz="0" w:space="0" w:color="auto"/>
      </w:divBdr>
    </w:div>
    <w:div w:id="1997757634">
      <w:bodyDiv w:val="1"/>
      <w:marLeft w:val="0"/>
      <w:marRight w:val="0"/>
      <w:marTop w:val="0"/>
      <w:marBottom w:val="0"/>
      <w:divBdr>
        <w:top w:val="none" w:sz="0" w:space="0" w:color="auto"/>
        <w:left w:val="none" w:sz="0" w:space="0" w:color="auto"/>
        <w:bottom w:val="none" w:sz="0" w:space="0" w:color="auto"/>
        <w:right w:val="none" w:sz="0" w:space="0" w:color="auto"/>
      </w:divBdr>
    </w:div>
    <w:div w:id="1999845616">
      <w:bodyDiv w:val="1"/>
      <w:marLeft w:val="0"/>
      <w:marRight w:val="0"/>
      <w:marTop w:val="0"/>
      <w:marBottom w:val="0"/>
      <w:divBdr>
        <w:top w:val="none" w:sz="0" w:space="0" w:color="auto"/>
        <w:left w:val="none" w:sz="0" w:space="0" w:color="auto"/>
        <w:bottom w:val="none" w:sz="0" w:space="0" w:color="auto"/>
        <w:right w:val="none" w:sz="0" w:space="0" w:color="auto"/>
      </w:divBdr>
      <w:divsChild>
        <w:div w:id="1645810729">
          <w:marLeft w:val="0"/>
          <w:marRight w:val="0"/>
          <w:marTop w:val="0"/>
          <w:marBottom w:val="0"/>
          <w:divBdr>
            <w:top w:val="none" w:sz="0" w:space="0" w:color="auto"/>
            <w:left w:val="none" w:sz="0" w:space="0" w:color="auto"/>
            <w:bottom w:val="none" w:sz="0" w:space="0" w:color="auto"/>
            <w:right w:val="none" w:sz="0" w:space="0" w:color="auto"/>
          </w:divBdr>
        </w:div>
      </w:divsChild>
    </w:div>
    <w:div w:id="2001807979">
      <w:bodyDiv w:val="1"/>
      <w:marLeft w:val="0"/>
      <w:marRight w:val="0"/>
      <w:marTop w:val="0"/>
      <w:marBottom w:val="0"/>
      <w:divBdr>
        <w:top w:val="none" w:sz="0" w:space="0" w:color="auto"/>
        <w:left w:val="none" w:sz="0" w:space="0" w:color="auto"/>
        <w:bottom w:val="none" w:sz="0" w:space="0" w:color="auto"/>
        <w:right w:val="none" w:sz="0" w:space="0" w:color="auto"/>
      </w:divBdr>
    </w:div>
    <w:div w:id="2003240815">
      <w:bodyDiv w:val="1"/>
      <w:marLeft w:val="0"/>
      <w:marRight w:val="0"/>
      <w:marTop w:val="0"/>
      <w:marBottom w:val="0"/>
      <w:divBdr>
        <w:top w:val="none" w:sz="0" w:space="0" w:color="auto"/>
        <w:left w:val="none" w:sz="0" w:space="0" w:color="auto"/>
        <w:bottom w:val="none" w:sz="0" w:space="0" w:color="auto"/>
        <w:right w:val="none" w:sz="0" w:space="0" w:color="auto"/>
      </w:divBdr>
    </w:div>
    <w:div w:id="2003657849">
      <w:bodyDiv w:val="1"/>
      <w:marLeft w:val="0"/>
      <w:marRight w:val="0"/>
      <w:marTop w:val="0"/>
      <w:marBottom w:val="0"/>
      <w:divBdr>
        <w:top w:val="none" w:sz="0" w:space="0" w:color="auto"/>
        <w:left w:val="none" w:sz="0" w:space="0" w:color="auto"/>
        <w:bottom w:val="none" w:sz="0" w:space="0" w:color="auto"/>
        <w:right w:val="none" w:sz="0" w:space="0" w:color="auto"/>
      </w:divBdr>
    </w:div>
    <w:div w:id="2004628705">
      <w:bodyDiv w:val="1"/>
      <w:marLeft w:val="0"/>
      <w:marRight w:val="0"/>
      <w:marTop w:val="0"/>
      <w:marBottom w:val="0"/>
      <w:divBdr>
        <w:top w:val="none" w:sz="0" w:space="0" w:color="auto"/>
        <w:left w:val="none" w:sz="0" w:space="0" w:color="auto"/>
        <w:bottom w:val="none" w:sz="0" w:space="0" w:color="auto"/>
        <w:right w:val="none" w:sz="0" w:space="0" w:color="auto"/>
      </w:divBdr>
    </w:div>
    <w:div w:id="2005472452">
      <w:bodyDiv w:val="1"/>
      <w:marLeft w:val="0"/>
      <w:marRight w:val="0"/>
      <w:marTop w:val="0"/>
      <w:marBottom w:val="0"/>
      <w:divBdr>
        <w:top w:val="none" w:sz="0" w:space="0" w:color="auto"/>
        <w:left w:val="none" w:sz="0" w:space="0" w:color="auto"/>
        <w:bottom w:val="none" w:sz="0" w:space="0" w:color="auto"/>
        <w:right w:val="none" w:sz="0" w:space="0" w:color="auto"/>
      </w:divBdr>
    </w:div>
    <w:div w:id="2005814199">
      <w:bodyDiv w:val="1"/>
      <w:marLeft w:val="0"/>
      <w:marRight w:val="0"/>
      <w:marTop w:val="0"/>
      <w:marBottom w:val="0"/>
      <w:divBdr>
        <w:top w:val="none" w:sz="0" w:space="0" w:color="auto"/>
        <w:left w:val="none" w:sz="0" w:space="0" w:color="auto"/>
        <w:bottom w:val="none" w:sz="0" w:space="0" w:color="auto"/>
        <w:right w:val="none" w:sz="0" w:space="0" w:color="auto"/>
      </w:divBdr>
    </w:div>
    <w:div w:id="2006282152">
      <w:bodyDiv w:val="1"/>
      <w:marLeft w:val="0"/>
      <w:marRight w:val="0"/>
      <w:marTop w:val="0"/>
      <w:marBottom w:val="0"/>
      <w:divBdr>
        <w:top w:val="none" w:sz="0" w:space="0" w:color="auto"/>
        <w:left w:val="none" w:sz="0" w:space="0" w:color="auto"/>
        <w:bottom w:val="none" w:sz="0" w:space="0" w:color="auto"/>
        <w:right w:val="none" w:sz="0" w:space="0" w:color="auto"/>
      </w:divBdr>
    </w:div>
    <w:div w:id="2008750325">
      <w:bodyDiv w:val="1"/>
      <w:marLeft w:val="0"/>
      <w:marRight w:val="0"/>
      <w:marTop w:val="0"/>
      <w:marBottom w:val="0"/>
      <w:divBdr>
        <w:top w:val="none" w:sz="0" w:space="0" w:color="auto"/>
        <w:left w:val="none" w:sz="0" w:space="0" w:color="auto"/>
        <w:bottom w:val="none" w:sz="0" w:space="0" w:color="auto"/>
        <w:right w:val="none" w:sz="0" w:space="0" w:color="auto"/>
      </w:divBdr>
    </w:div>
    <w:div w:id="2009021833">
      <w:bodyDiv w:val="1"/>
      <w:marLeft w:val="0"/>
      <w:marRight w:val="0"/>
      <w:marTop w:val="0"/>
      <w:marBottom w:val="0"/>
      <w:divBdr>
        <w:top w:val="none" w:sz="0" w:space="0" w:color="auto"/>
        <w:left w:val="none" w:sz="0" w:space="0" w:color="auto"/>
        <w:bottom w:val="none" w:sz="0" w:space="0" w:color="auto"/>
        <w:right w:val="none" w:sz="0" w:space="0" w:color="auto"/>
      </w:divBdr>
    </w:div>
    <w:div w:id="2010209909">
      <w:bodyDiv w:val="1"/>
      <w:marLeft w:val="0"/>
      <w:marRight w:val="0"/>
      <w:marTop w:val="0"/>
      <w:marBottom w:val="0"/>
      <w:divBdr>
        <w:top w:val="none" w:sz="0" w:space="0" w:color="auto"/>
        <w:left w:val="none" w:sz="0" w:space="0" w:color="auto"/>
        <w:bottom w:val="none" w:sz="0" w:space="0" w:color="auto"/>
        <w:right w:val="none" w:sz="0" w:space="0" w:color="auto"/>
      </w:divBdr>
    </w:div>
    <w:div w:id="2011103404">
      <w:bodyDiv w:val="1"/>
      <w:marLeft w:val="0"/>
      <w:marRight w:val="0"/>
      <w:marTop w:val="0"/>
      <w:marBottom w:val="0"/>
      <w:divBdr>
        <w:top w:val="none" w:sz="0" w:space="0" w:color="auto"/>
        <w:left w:val="none" w:sz="0" w:space="0" w:color="auto"/>
        <w:bottom w:val="none" w:sz="0" w:space="0" w:color="auto"/>
        <w:right w:val="none" w:sz="0" w:space="0" w:color="auto"/>
      </w:divBdr>
    </w:div>
    <w:div w:id="2012678594">
      <w:bodyDiv w:val="1"/>
      <w:marLeft w:val="0"/>
      <w:marRight w:val="0"/>
      <w:marTop w:val="0"/>
      <w:marBottom w:val="0"/>
      <w:divBdr>
        <w:top w:val="none" w:sz="0" w:space="0" w:color="auto"/>
        <w:left w:val="none" w:sz="0" w:space="0" w:color="auto"/>
        <w:bottom w:val="none" w:sz="0" w:space="0" w:color="auto"/>
        <w:right w:val="none" w:sz="0" w:space="0" w:color="auto"/>
      </w:divBdr>
    </w:div>
    <w:div w:id="2019959730">
      <w:bodyDiv w:val="1"/>
      <w:marLeft w:val="0"/>
      <w:marRight w:val="0"/>
      <w:marTop w:val="0"/>
      <w:marBottom w:val="0"/>
      <w:divBdr>
        <w:top w:val="none" w:sz="0" w:space="0" w:color="auto"/>
        <w:left w:val="none" w:sz="0" w:space="0" w:color="auto"/>
        <w:bottom w:val="none" w:sz="0" w:space="0" w:color="auto"/>
        <w:right w:val="none" w:sz="0" w:space="0" w:color="auto"/>
      </w:divBdr>
    </w:div>
    <w:div w:id="2020889347">
      <w:bodyDiv w:val="1"/>
      <w:marLeft w:val="0"/>
      <w:marRight w:val="0"/>
      <w:marTop w:val="0"/>
      <w:marBottom w:val="0"/>
      <w:divBdr>
        <w:top w:val="none" w:sz="0" w:space="0" w:color="auto"/>
        <w:left w:val="none" w:sz="0" w:space="0" w:color="auto"/>
        <w:bottom w:val="none" w:sz="0" w:space="0" w:color="auto"/>
        <w:right w:val="none" w:sz="0" w:space="0" w:color="auto"/>
      </w:divBdr>
    </w:div>
    <w:div w:id="2021077036">
      <w:bodyDiv w:val="1"/>
      <w:marLeft w:val="0"/>
      <w:marRight w:val="0"/>
      <w:marTop w:val="0"/>
      <w:marBottom w:val="0"/>
      <w:divBdr>
        <w:top w:val="none" w:sz="0" w:space="0" w:color="auto"/>
        <w:left w:val="none" w:sz="0" w:space="0" w:color="auto"/>
        <w:bottom w:val="none" w:sz="0" w:space="0" w:color="auto"/>
        <w:right w:val="none" w:sz="0" w:space="0" w:color="auto"/>
      </w:divBdr>
    </w:div>
    <w:div w:id="2022512489">
      <w:bodyDiv w:val="1"/>
      <w:marLeft w:val="0"/>
      <w:marRight w:val="0"/>
      <w:marTop w:val="0"/>
      <w:marBottom w:val="0"/>
      <w:divBdr>
        <w:top w:val="none" w:sz="0" w:space="0" w:color="auto"/>
        <w:left w:val="none" w:sz="0" w:space="0" w:color="auto"/>
        <w:bottom w:val="none" w:sz="0" w:space="0" w:color="auto"/>
        <w:right w:val="none" w:sz="0" w:space="0" w:color="auto"/>
      </w:divBdr>
    </w:div>
    <w:div w:id="2022853467">
      <w:bodyDiv w:val="1"/>
      <w:marLeft w:val="0"/>
      <w:marRight w:val="0"/>
      <w:marTop w:val="0"/>
      <w:marBottom w:val="0"/>
      <w:divBdr>
        <w:top w:val="none" w:sz="0" w:space="0" w:color="auto"/>
        <w:left w:val="none" w:sz="0" w:space="0" w:color="auto"/>
        <w:bottom w:val="none" w:sz="0" w:space="0" w:color="auto"/>
        <w:right w:val="none" w:sz="0" w:space="0" w:color="auto"/>
      </w:divBdr>
    </w:div>
    <w:div w:id="2026125970">
      <w:bodyDiv w:val="1"/>
      <w:marLeft w:val="0"/>
      <w:marRight w:val="0"/>
      <w:marTop w:val="0"/>
      <w:marBottom w:val="0"/>
      <w:divBdr>
        <w:top w:val="none" w:sz="0" w:space="0" w:color="auto"/>
        <w:left w:val="none" w:sz="0" w:space="0" w:color="auto"/>
        <w:bottom w:val="none" w:sz="0" w:space="0" w:color="auto"/>
        <w:right w:val="none" w:sz="0" w:space="0" w:color="auto"/>
      </w:divBdr>
    </w:div>
    <w:div w:id="2028208745">
      <w:bodyDiv w:val="1"/>
      <w:marLeft w:val="0"/>
      <w:marRight w:val="0"/>
      <w:marTop w:val="0"/>
      <w:marBottom w:val="0"/>
      <w:divBdr>
        <w:top w:val="none" w:sz="0" w:space="0" w:color="auto"/>
        <w:left w:val="none" w:sz="0" w:space="0" w:color="auto"/>
        <w:bottom w:val="none" w:sz="0" w:space="0" w:color="auto"/>
        <w:right w:val="none" w:sz="0" w:space="0" w:color="auto"/>
      </w:divBdr>
    </w:div>
    <w:div w:id="2028747667">
      <w:bodyDiv w:val="1"/>
      <w:marLeft w:val="0"/>
      <w:marRight w:val="0"/>
      <w:marTop w:val="0"/>
      <w:marBottom w:val="0"/>
      <w:divBdr>
        <w:top w:val="none" w:sz="0" w:space="0" w:color="auto"/>
        <w:left w:val="none" w:sz="0" w:space="0" w:color="auto"/>
        <w:bottom w:val="none" w:sz="0" w:space="0" w:color="auto"/>
        <w:right w:val="none" w:sz="0" w:space="0" w:color="auto"/>
      </w:divBdr>
    </w:div>
    <w:div w:id="2033801954">
      <w:bodyDiv w:val="1"/>
      <w:marLeft w:val="0"/>
      <w:marRight w:val="0"/>
      <w:marTop w:val="0"/>
      <w:marBottom w:val="0"/>
      <w:divBdr>
        <w:top w:val="none" w:sz="0" w:space="0" w:color="auto"/>
        <w:left w:val="none" w:sz="0" w:space="0" w:color="auto"/>
        <w:bottom w:val="none" w:sz="0" w:space="0" w:color="auto"/>
        <w:right w:val="none" w:sz="0" w:space="0" w:color="auto"/>
      </w:divBdr>
    </w:div>
    <w:div w:id="2034844748">
      <w:bodyDiv w:val="1"/>
      <w:marLeft w:val="0"/>
      <w:marRight w:val="0"/>
      <w:marTop w:val="0"/>
      <w:marBottom w:val="0"/>
      <w:divBdr>
        <w:top w:val="none" w:sz="0" w:space="0" w:color="auto"/>
        <w:left w:val="none" w:sz="0" w:space="0" w:color="auto"/>
        <w:bottom w:val="none" w:sz="0" w:space="0" w:color="auto"/>
        <w:right w:val="none" w:sz="0" w:space="0" w:color="auto"/>
      </w:divBdr>
    </w:div>
    <w:div w:id="2036689734">
      <w:bodyDiv w:val="1"/>
      <w:marLeft w:val="0"/>
      <w:marRight w:val="0"/>
      <w:marTop w:val="0"/>
      <w:marBottom w:val="0"/>
      <w:divBdr>
        <w:top w:val="none" w:sz="0" w:space="0" w:color="auto"/>
        <w:left w:val="none" w:sz="0" w:space="0" w:color="auto"/>
        <w:bottom w:val="none" w:sz="0" w:space="0" w:color="auto"/>
        <w:right w:val="none" w:sz="0" w:space="0" w:color="auto"/>
      </w:divBdr>
    </w:div>
    <w:div w:id="2037341235">
      <w:bodyDiv w:val="1"/>
      <w:marLeft w:val="0"/>
      <w:marRight w:val="0"/>
      <w:marTop w:val="0"/>
      <w:marBottom w:val="0"/>
      <w:divBdr>
        <w:top w:val="none" w:sz="0" w:space="0" w:color="auto"/>
        <w:left w:val="none" w:sz="0" w:space="0" w:color="auto"/>
        <w:bottom w:val="none" w:sz="0" w:space="0" w:color="auto"/>
        <w:right w:val="none" w:sz="0" w:space="0" w:color="auto"/>
      </w:divBdr>
    </w:div>
    <w:div w:id="2037655545">
      <w:bodyDiv w:val="1"/>
      <w:marLeft w:val="0"/>
      <w:marRight w:val="0"/>
      <w:marTop w:val="0"/>
      <w:marBottom w:val="0"/>
      <w:divBdr>
        <w:top w:val="none" w:sz="0" w:space="0" w:color="auto"/>
        <w:left w:val="none" w:sz="0" w:space="0" w:color="auto"/>
        <w:bottom w:val="none" w:sz="0" w:space="0" w:color="auto"/>
        <w:right w:val="none" w:sz="0" w:space="0" w:color="auto"/>
      </w:divBdr>
    </w:div>
    <w:div w:id="2044867406">
      <w:bodyDiv w:val="1"/>
      <w:marLeft w:val="0"/>
      <w:marRight w:val="0"/>
      <w:marTop w:val="0"/>
      <w:marBottom w:val="0"/>
      <w:divBdr>
        <w:top w:val="none" w:sz="0" w:space="0" w:color="auto"/>
        <w:left w:val="none" w:sz="0" w:space="0" w:color="auto"/>
        <w:bottom w:val="none" w:sz="0" w:space="0" w:color="auto"/>
        <w:right w:val="none" w:sz="0" w:space="0" w:color="auto"/>
      </w:divBdr>
    </w:div>
    <w:div w:id="2045247776">
      <w:bodyDiv w:val="1"/>
      <w:marLeft w:val="0"/>
      <w:marRight w:val="0"/>
      <w:marTop w:val="0"/>
      <w:marBottom w:val="0"/>
      <w:divBdr>
        <w:top w:val="none" w:sz="0" w:space="0" w:color="auto"/>
        <w:left w:val="none" w:sz="0" w:space="0" w:color="auto"/>
        <w:bottom w:val="none" w:sz="0" w:space="0" w:color="auto"/>
        <w:right w:val="none" w:sz="0" w:space="0" w:color="auto"/>
      </w:divBdr>
    </w:div>
    <w:div w:id="2045598154">
      <w:bodyDiv w:val="1"/>
      <w:marLeft w:val="0"/>
      <w:marRight w:val="0"/>
      <w:marTop w:val="0"/>
      <w:marBottom w:val="0"/>
      <w:divBdr>
        <w:top w:val="none" w:sz="0" w:space="0" w:color="auto"/>
        <w:left w:val="none" w:sz="0" w:space="0" w:color="auto"/>
        <w:bottom w:val="none" w:sz="0" w:space="0" w:color="auto"/>
        <w:right w:val="none" w:sz="0" w:space="0" w:color="auto"/>
      </w:divBdr>
    </w:div>
    <w:div w:id="2046560011">
      <w:bodyDiv w:val="1"/>
      <w:marLeft w:val="0"/>
      <w:marRight w:val="0"/>
      <w:marTop w:val="0"/>
      <w:marBottom w:val="0"/>
      <w:divBdr>
        <w:top w:val="none" w:sz="0" w:space="0" w:color="auto"/>
        <w:left w:val="none" w:sz="0" w:space="0" w:color="auto"/>
        <w:bottom w:val="none" w:sz="0" w:space="0" w:color="auto"/>
        <w:right w:val="none" w:sz="0" w:space="0" w:color="auto"/>
      </w:divBdr>
    </w:div>
    <w:div w:id="2049261985">
      <w:bodyDiv w:val="1"/>
      <w:marLeft w:val="0"/>
      <w:marRight w:val="0"/>
      <w:marTop w:val="0"/>
      <w:marBottom w:val="0"/>
      <w:divBdr>
        <w:top w:val="none" w:sz="0" w:space="0" w:color="auto"/>
        <w:left w:val="none" w:sz="0" w:space="0" w:color="auto"/>
        <w:bottom w:val="none" w:sz="0" w:space="0" w:color="auto"/>
        <w:right w:val="none" w:sz="0" w:space="0" w:color="auto"/>
      </w:divBdr>
    </w:div>
    <w:div w:id="2050258102">
      <w:bodyDiv w:val="1"/>
      <w:marLeft w:val="0"/>
      <w:marRight w:val="0"/>
      <w:marTop w:val="0"/>
      <w:marBottom w:val="0"/>
      <w:divBdr>
        <w:top w:val="none" w:sz="0" w:space="0" w:color="auto"/>
        <w:left w:val="none" w:sz="0" w:space="0" w:color="auto"/>
        <w:bottom w:val="none" w:sz="0" w:space="0" w:color="auto"/>
        <w:right w:val="none" w:sz="0" w:space="0" w:color="auto"/>
      </w:divBdr>
    </w:div>
    <w:div w:id="2052412271">
      <w:bodyDiv w:val="1"/>
      <w:marLeft w:val="0"/>
      <w:marRight w:val="0"/>
      <w:marTop w:val="0"/>
      <w:marBottom w:val="0"/>
      <w:divBdr>
        <w:top w:val="none" w:sz="0" w:space="0" w:color="auto"/>
        <w:left w:val="none" w:sz="0" w:space="0" w:color="auto"/>
        <w:bottom w:val="none" w:sz="0" w:space="0" w:color="auto"/>
        <w:right w:val="none" w:sz="0" w:space="0" w:color="auto"/>
      </w:divBdr>
    </w:div>
    <w:div w:id="2054422713">
      <w:bodyDiv w:val="1"/>
      <w:marLeft w:val="0"/>
      <w:marRight w:val="0"/>
      <w:marTop w:val="0"/>
      <w:marBottom w:val="0"/>
      <w:divBdr>
        <w:top w:val="none" w:sz="0" w:space="0" w:color="auto"/>
        <w:left w:val="none" w:sz="0" w:space="0" w:color="auto"/>
        <w:bottom w:val="none" w:sz="0" w:space="0" w:color="auto"/>
        <w:right w:val="none" w:sz="0" w:space="0" w:color="auto"/>
      </w:divBdr>
    </w:div>
    <w:div w:id="2054497531">
      <w:bodyDiv w:val="1"/>
      <w:marLeft w:val="0"/>
      <w:marRight w:val="0"/>
      <w:marTop w:val="0"/>
      <w:marBottom w:val="0"/>
      <w:divBdr>
        <w:top w:val="none" w:sz="0" w:space="0" w:color="auto"/>
        <w:left w:val="none" w:sz="0" w:space="0" w:color="auto"/>
        <w:bottom w:val="none" w:sz="0" w:space="0" w:color="auto"/>
        <w:right w:val="none" w:sz="0" w:space="0" w:color="auto"/>
      </w:divBdr>
    </w:div>
    <w:div w:id="2056345001">
      <w:bodyDiv w:val="1"/>
      <w:marLeft w:val="0"/>
      <w:marRight w:val="0"/>
      <w:marTop w:val="0"/>
      <w:marBottom w:val="0"/>
      <w:divBdr>
        <w:top w:val="none" w:sz="0" w:space="0" w:color="auto"/>
        <w:left w:val="none" w:sz="0" w:space="0" w:color="auto"/>
        <w:bottom w:val="none" w:sz="0" w:space="0" w:color="auto"/>
        <w:right w:val="none" w:sz="0" w:space="0" w:color="auto"/>
      </w:divBdr>
    </w:div>
    <w:div w:id="2056732937">
      <w:bodyDiv w:val="1"/>
      <w:marLeft w:val="0"/>
      <w:marRight w:val="0"/>
      <w:marTop w:val="0"/>
      <w:marBottom w:val="0"/>
      <w:divBdr>
        <w:top w:val="none" w:sz="0" w:space="0" w:color="auto"/>
        <w:left w:val="none" w:sz="0" w:space="0" w:color="auto"/>
        <w:bottom w:val="none" w:sz="0" w:space="0" w:color="auto"/>
        <w:right w:val="none" w:sz="0" w:space="0" w:color="auto"/>
      </w:divBdr>
    </w:div>
    <w:div w:id="2058621214">
      <w:bodyDiv w:val="1"/>
      <w:marLeft w:val="0"/>
      <w:marRight w:val="0"/>
      <w:marTop w:val="0"/>
      <w:marBottom w:val="0"/>
      <w:divBdr>
        <w:top w:val="none" w:sz="0" w:space="0" w:color="auto"/>
        <w:left w:val="none" w:sz="0" w:space="0" w:color="auto"/>
        <w:bottom w:val="none" w:sz="0" w:space="0" w:color="auto"/>
        <w:right w:val="none" w:sz="0" w:space="0" w:color="auto"/>
      </w:divBdr>
    </w:div>
    <w:div w:id="2060469903">
      <w:bodyDiv w:val="1"/>
      <w:marLeft w:val="0"/>
      <w:marRight w:val="0"/>
      <w:marTop w:val="0"/>
      <w:marBottom w:val="0"/>
      <w:divBdr>
        <w:top w:val="none" w:sz="0" w:space="0" w:color="auto"/>
        <w:left w:val="none" w:sz="0" w:space="0" w:color="auto"/>
        <w:bottom w:val="none" w:sz="0" w:space="0" w:color="auto"/>
        <w:right w:val="none" w:sz="0" w:space="0" w:color="auto"/>
      </w:divBdr>
    </w:div>
    <w:div w:id="2062364419">
      <w:bodyDiv w:val="1"/>
      <w:marLeft w:val="0"/>
      <w:marRight w:val="0"/>
      <w:marTop w:val="0"/>
      <w:marBottom w:val="0"/>
      <w:divBdr>
        <w:top w:val="none" w:sz="0" w:space="0" w:color="auto"/>
        <w:left w:val="none" w:sz="0" w:space="0" w:color="auto"/>
        <w:bottom w:val="none" w:sz="0" w:space="0" w:color="auto"/>
        <w:right w:val="none" w:sz="0" w:space="0" w:color="auto"/>
      </w:divBdr>
    </w:div>
    <w:div w:id="2064597861">
      <w:bodyDiv w:val="1"/>
      <w:marLeft w:val="0"/>
      <w:marRight w:val="0"/>
      <w:marTop w:val="0"/>
      <w:marBottom w:val="0"/>
      <w:divBdr>
        <w:top w:val="none" w:sz="0" w:space="0" w:color="auto"/>
        <w:left w:val="none" w:sz="0" w:space="0" w:color="auto"/>
        <w:bottom w:val="none" w:sz="0" w:space="0" w:color="auto"/>
        <w:right w:val="none" w:sz="0" w:space="0" w:color="auto"/>
      </w:divBdr>
    </w:div>
    <w:div w:id="2065061550">
      <w:bodyDiv w:val="1"/>
      <w:marLeft w:val="0"/>
      <w:marRight w:val="0"/>
      <w:marTop w:val="0"/>
      <w:marBottom w:val="0"/>
      <w:divBdr>
        <w:top w:val="none" w:sz="0" w:space="0" w:color="auto"/>
        <w:left w:val="none" w:sz="0" w:space="0" w:color="auto"/>
        <w:bottom w:val="none" w:sz="0" w:space="0" w:color="auto"/>
        <w:right w:val="none" w:sz="0" w:space="0" w:color="auto"/>
      </w:divBdr>
    </w:div>
    <w:div w:id="2066251340">
      <w:bodyDiv w:val="1"/>
      <w:marLeft w:val="0"/>
      <w:marRight w:val="0"/>
      <w:marTop w:val="0"/>
      <w:marBottom w:val="0"/>
      <w:divBdr>
        <w:top w:val="none" w:sz="0" w:space="0" w:color="auto"/>
        <w:left w:val="none" w:sz="0" w:space="0" w:color="auto"/>
        <w:bottom w:val="none" w:sz="0" w:space="0" w:color="auto"/>
        <w:right w:val="none" w:sz="0" w:space="0" w:color="auto"/>
      </w:divBdr>
    </w:div>
    <w:div w:id="2067217866">
      <w:bodyDiv w:val="1"/>
      <w:marLeft w:val="0"/>
      <w:marRight w:val="0"/>
      <w:marTop w:val="0"/>
      <w:marBottom w:val="0"/>
      <w:divBdr>
        <w:top w:val="none" w:sz="0" w:space="0" w:color="auto"/>
        <w:left w:val="none" w:sz="0" w:space="0" w:color="auto"/>
        <w:bottom w:val="none" w:sz="0" w:space="0" w:color="auto"/>
        <w:right w:val="none" w:sz="0" w:space="0" w:color="auto"/>
      </w:divBdr>
    </w:div>
    <w:div w:id="2067297125">
      <w:bodyDiv w:val="1"/>
      <w:marLeft w:val="0"/>
      <w:marRight w:val="0"/>
      <w:marTop w:val="0"/>
      <w:marBottom w:val="0"/>
      <w:divBdr>
        <w:top w:val="none" w:sz="0" w:space="0" w:color="auto"/>
        <w:left w:val="none" w:sz="0" w:space="0" w:color="auto"/>
        <w:bottom w:val="none" w:sz="0" w:space="0" w:color="auto"/>
        <w:right w:val="none" w:sz="0" w:space="0" w:color="auto"/>
      </w:divBdr>
    </w:div>
    <w:div w:id="2067752606">
      <w:bodyDiv w:val="1"/>
      <w:marLeft w:val="0"/>
      <w:marRight w:val="0"/>
      <w:marTop w:val="0"/>
      <w:marBottom w:val="0"/>
      <w:divBdr>
        <w:top w:val="none" w:sz="0" w:space="0" w:color="auto"/>
        <w:left w:val="none" w:sz="0" w:space="0" w:color="auto"/>
        <w:bottom w:val="none" w:sz="0" w:space="0" w:color="auto"/>
        <w:right w:val="none" w:sz="0" w:space="0" w:color="auto"/>
      </w:divBdr>
    </w:div>
    <w:div w:id="2067949805">
      <w:bodyDiv w:val="1"/>
      <w:marLeft w:val="0"/>
      <w:marRight w:val="0"/>
      <w:marTop w:val="0"/>
      <w:marBottom w:val="0"/>
      <w:divBdr>
        <w:top w:val="none" w:sz="0" w:space="0" w:color="auto"/>
        <w:left w:val="none" w:sz="0" w:space="0" w:color="auto"/>
        <w:bottom w:val="none" w:sz="0" w:space="0" w:color="auto"/>
        <w:right w:val="none" w:sz="0" w:space="0" w:color="auto"/>
      </w:divBdr>
    </w:div>
    <w:div w:id="2068260934">
      <w:bodyDiv w:val="1"/>
      <w:marLeft w:val="0"/>
      <w:marRight w:val="0"/>
      <w:marTop w:val="0"/>
      <w:marBottom w:val="0"/>
      <w:divBdr>
        <w:top w:val="none" w:sz="0" w:space="0" w:color="auto"/>
        <w:left w:val="none" w:sz="0" w:space="0" w:color="auto"/>
        <w:bottom w:val="none" w:sz="0" w:space="0" w:color="auto"/>
        <w:right w:val="none" w:sz="0" w:space="0" w:color="auto"/>
      </w:divBdr>
    </w:div>
    <w:div w:id="2068988507">
      <w:bodyDiv w:val="1"/>
      <w:marLeft w:val="0"/>
      <w:marRight w:val="0"/>
      <w:marTop w:val="0"/>
      <w:marBottom w:val="0"/>
      <w:divBdr>
        <w:top w:val="none" w:sz="0" w:space="0" w:color="auto"/>
        <w:left w:val="none" w:sz="0" w:space="0" w:color="auto"/>
        <w:bottom w:val="none" w:sz="0" w:space="0" w:color="auto"/>
        <w:right w:val="none" w:sz="0" w:space="0" w:color="auto"/>
      </w:divBdr>
    </w:div>
    <w:div w:id="2073889769">
      <w:bodyDiv w:val="1"/>
      <w:marLeft w:val="0"/>
      <w:marRight w:val="0"/>
      <w:marTop w:val="0"/>
      <w:marBottom w:val="0"/>
      <w:divBdr>
        <w:top w:val="none" w:sz="0" w:space="0" w:color="auto"/>
        <w:left w:val="none" w:sz="0" w:space="0" w:color="auto"/>
        <w:bottom w:val="none" w:sz="0" w:space="0" w:color="auto"/>
        <w:right w:val="none" w:sz="0" w:space="0" w:color="auto"/>
      </w:divBdr>
    </w:div>
    <w:div w:id="2075659182">
      <w:bodyDiv w:val="1"/>
      <w:marLeft w:val="0"/>
      <w:marRight w:val="0"/>
      <w:marTop w:val="0"/>
      <w:marBottom w:val="0"/>
      <w:divBdr>
        <w:top w:val="none" w:sz="0" w:space="0" w:color="auto"/>
        <w:left w:val="none" w:sz="0" w:space="0" w:color="auto"/>
        <w:bottom w:val="none" w:sz="0" w:space="0" w:color="auto"/>
        <w:right w:val="none" w:sz="0" w:space="0" w:color="auto"/>
      </w:divBdr>
    </w:div>
    <w:div w:id="2075663655">
      <w:bodyDiv w:val="1"/>
      <w:marLeft w:val="0"/>
      <w:marRight w:val="0"/>
      <w:marTop w:val="0"/>
      <w:marBottom w:val="0"/>
      <w:divBdr>
        <w:top w:val="none" w:sz="0" w:space="0" w:color="auto"/>
        <w:left w:val="none" w:sz="0" w:space="0" w:color="auto"/>
        <w:bottom w:val="none" w:sz="0" w:space="0" w:color="auto"/>
        <w:right w:val="none" w:sz="0" w:space="0" w:color="auto"/>
      </w:divBdr>
    </w:div>
    <w:div w:id="2077167257">
      <w:bodyDiv w:val="1"/>
      <w:marLeft w:val="0"/>
      <w:marRight w:val="0"/>
      <w:marTop w:val="0"/>
      <w:marBottom w:val="0"/>
      <w:divBdr>
        <w:top w:val="none" w:sz="0" w:space="0" w:color="auto"/>
        <w:left w:val="none" w:sz="0" w:space="0" w:color="auto"/>
        <w:bottom w:val="none" w:sz="0" w:space="0" w:color="auto"/>
        <w:right w:val="none" w:sz="0" w:space="0" w:color="auto"/>
      </w:divBdr>
    </w:div>
    <w:div w:id="2083747417">
      <w:bodyDiv w:val="1"/>
      <w:marLeft w:val="0"/>
      <w:marRight w:val="0"/>
      <w:marTop w:val="0"/>
      <w:marBottom w:val="0"/>
      <w:divBdr>
        <w:top w:val="none" w:sz="0" w:space="0" w:color="auto"/>
        <w:left w:val="none" w:sz="0" w:space="0" w:color="auto"/>
        <w:bottom w:val="none" w:sz="0" w:space="0" w:color="auto"/>
        <w:right w:val="none" w:sz="0" w:space="0" w:color="auto"/>
      </w:divBdr>
    </w:div>
    <w:div w:id="2084252811">
      <w:bodyDiv w:val="1"/>
      <w:marLeft w:val="0"/>
      <w:marRight w:val="0"/>
      <w:marTop w:val="0"/>
      <w:marBottom w:val="0"/>
      <w:divBdr>
        <w:top w:val="none" w:sz="0" w:space="0" w:color="auto"/>
        <w:left w:val="none" w:sz="0" w:space="0" w:color="auto"/>
        <w:bottom w:val="none" w:sz="0" w:space="0" w:color="auto"/>
        <w:right w:val="none" w:sz="0" w:space="0" w:color="auto"/>
      </w:divBdr>
    </w:div>
    <w:div w:id="2085712572">
      <w:bodyDiv w:val="1"/>
      <w:marLeft w:val="0"/>
      <w:marRight w:val="0"/>
      <w:marTop w:val="0"/>
      <w:marBottom w:val="0"/>
      <w:divBdr>
        <w:top w:val="none" w:sz="0" w:space="0" w:color="auto"/>
        <w:left w:val="none" w:sz="0" w:space="0" w:color="auto"/>
        <w:bottom w:val="none" w:sz="0" w:space="0" w:color="auto"/>
        <w:right w:val="none" w:sz="0" w:space="0" w:color="auto"/>
      </w:divBdr>
    </w:div>
    <w:div w:id="2087147649">
      <w:bodyDiv w:val="1"/>
      <w:marLeft w:val="0"/>
      <w:marRight w:val="0"/>
      <w:marTop w:val="0"/>
      <w:marBottom w:val="0"/>
      <w:divBdr>
        <w:top w:val="none" w:sz="0" w:space="0" w:color="auto"/>
        <w:left w:val="none" w:sz="0" w:space="0" w:color="auto"/>
        <w:bottom w:val="none" w:sz="0" w:space="0" w:color="auto"/>
        <w:right w:val="none" w:sz="0" w:space="0" w:color="auto"/>
      </w:divBdr>
    </w:div>
    <w:div w:id="2088185448">
      <w:bodyDiv w:val="1"/>
      <w:marLeft w:val="0"/>
      <w:marRight w:val="0"/>
      <w:marTop w:val="0"/>
      <w:marBottom w:val="0"/>
      <w:divBdr>
        <w:top w:val="none" w:sz="0" w:space="0" w:color="auto"/>
        <w:left w:val="none" w:sz="0" w:space="0" w:color="auto"/>
        <w:bottom w:val="none" w:sz="0" w:space="0" w:color="auto"/>
        <w:right w:val="none" w:sz="0" w:space="0" w:color="auto"/>
      </w:divBdr>
    </w:div>
    <w:div w:id="2088573948">
      <w:bodyDiv w:val="1"/>
      <w:marLeft w:val="0"/>
      <w:marRight w:val="0"/>
      <w:marTop w:val="0"/>
      <w:marBottom w:val="0"/>
      <w:divBdr>
        <w:top w:val="none" w:sz="0" w:space="0" w:color="auto"/>
        <w:left w:val="none" w:sz="0" w:space="0" w:color="auto"/>
        <w:bottom w:val="none" w:sz="0" w:space="0" w:color="auto"/>
        <w:right w:val="none" w:sz="0" w:space="0" w:color="auto"/>
      </w:divBdr>
      <w:divsChild>
        <w:div w:id="1211721438">
          <w:marLeft w:val="0"/>
          <w:marRight w:val="0"/>
          <w:marTop w:val="0"/>
          <w:marBottom w:val="0"/>
          <w:divBdr>
            <w:top w:val="none" w:sz="0" w:space="0" w:color="auto"/>
            <w:left w:val="none" w:sz="0" w:space="0" w:color="auto"/>
            <w:bottom w:val="none" w:sz="0" w:space="0" w:color="auto"/>
            <w:right w:val="none" w:sz="0" w:space="0" w:color="auto"/>
          </w:divBdr>
        </w:div>
      </w:divsChild>
    </w:div>
    <w:div w:id="2088645748">
      <w:bodyDiv w:val="1"/>
      <w:marLeft w:val="0"/>
      <w:marRight w:val="0"/>
      <w:marTop w:val="0"/>
      <w:marBottom w:val="0"/>
      <w:divBdr>
        <w:top w:val="none" w:sz="0" w:space="0" w:color="auto"/>
        <w:left w:val="none" w:sz="0" w:space="0" w:color="auto"/>
        <w:bottom w:val="none" w:sz="0" w:space="0" w:color="auto"/>
        <w:right w:val="none" w:sz="0" w:space="0" w:color="auto"/>
      </w:divBdr>
    </w:div>
    <w:div w:id="2089032286">
      <w:bodyDiv w:val="1"/>
      <w:marLeft w:val="0"/>
      <w:marRight w:val="0"/>
      <w:marTop w:val="0"/>
      <w:marBottom w:val="0"/>
      <w:divBdr>
        <w:top w:val="none" w:sz="0" w:space="0" w:color="auto"/>
        <w:left w:val="none" w:sz="0" w:space="0" w:color="auto"/>
        <w:bottom w:val="none" w:sz="0" w:space="0" w:color="auto"/>
        <w:right w:val="none" w:sz="0" w:space="0" w:color="auto"/>
      </w:divBdr>
    </w:div>
    <w:div w:id="2091080042">
      <w:bodyDiv w:val="1"/>
      <w:marLeft w:val="0"/>
      <w:marRight w:val="0"/>
      <w:marTop w:val="0"/>
      <w:marBottom w:val="0"/>
      <w:divBdr>
        <w:top w:val="none" w:sz="0" w:space="0" w:color="auto"/>
        <w:left w:val="none" w:sz="0" w:space="0" w:color="auto"/>
        <w:bottom w:val="none" w:sz="0" w:space="0" w:color="auto"/>
        <w:right w:val="none" w:sz="0" w:space="0" w:color="auto"/>
      </w:divBdr>
    </w:div>
    <w:div w:id="2091733562">
      <w:bodyDiv w:val="1"/>
      <w:marLeft w:val="0"/>
      <w:marRight w:val="0"/>
      <w:marTop w:val="0"/>
      <w:marBottom w:val="0"/>
      <w:divBdr>
        <w:top w:val="none" w:sz="0" w:space="0" w:color="auto"/>
        <w:left w:val="none" w:sz="0" w:space="0" w:color="auto"/>
        <w:bottom w:val="none" w:sz="0" w:space="0" w:color="auto"/>
        <w:right w:val="none" w:sz="0" w:space="0" w:color="auto"/>
      </w:divBdr>
    </w:div>
    <w:div w:id="2092727101">
      <w:bodyDiv w:val="1"/>
      <w:marLeft w:val="0"/>
      <w:marRight w:val="0"/>
      <w:marTop w:val="0"/>
      <w:marBottom w:val="0"/>
      <w:divBdr>
        <w:top w:val="none" w:sz="0" w:space="0" w:color="auto"/>
        <w:left w:val="none" w:sz="0" w:space="0" w:color="auto"/>
        <w:bottom w:val="none" w:sz="0" w:space="0" w:color="auto"/>
        <w:right w:val="none" w:sz="0" w:space="0" w:color="auto"/>
      </w:divBdr>
    </w:div>
    <w:div w:id="2096516942">
      <w:bodyDiv w:val="1"/>
      <w:marLeft w:val="0"/>
      <w:marRight w:val="0"/>
      <w:marTop w:val="0"/>
      <w:marBottom w:val="0"/>
      <w:divBdr>
        <w:top w:val="none" w:sz="0" w:space="0" w:color="auto"/>
        <w:left w:val="none" w:sz="0" w:space="0" w:color="auto"/>
        <w:bottom w:val="none" w:sz="0" w:space="0" w:color="auto"/>
        <w:right w:val="none" w:sz="0" w:space="0" w:color="auto"/>
      </w:divBdr>
    </w:div>
    <w:div w:id="2098481445">
      <w:bodyDiv w:val="1"/>
      <w:marLeft w:val="0"/>
      <w:marRight w:val="0"/>
      <w:marTop w:val="0"/>
      <w:marBottom w:val="0"/>
      <w:divBdr>
        <w:top w:val="none" w:sz="0" w:space="0" w:color="auto"/>
        <w:left w:val="none" w:sz="0" w:space="0" w:color="auto"/>
        <w:bottom w:val="none" w:sz="0" w:space="0" w:color="auto"/>
        <w:right w:val="none" w:sz="0" w:space="0" w:color="auto"/>
      </w:divBdr>
    </w:div>
    <w:div w:id="2101369699">
      <w:bodyDiv w:val="1"/>
      <w:marLeft w:val="0"/>
      <w:marRight w:val="0"/>
      <w:marTop w:val="0"/>
      <w:marBottom w:val="0"/>
      <w:divBdr>
        <w:top w:val="none" w:sz="0" w:space="0" w:color="auto"/>
        <w:left w:val="none" w:sz="0" w:space="0" w:color="auto"/>
        <w:bottom w:val="none" w:sz="0" w:space="0" w:color="auto"/>
        <w:right w:val="none" w:sz="0" w:space="0" w:color="auto"/>
      </w:divBdr>
    </w:div>
    <w:div w:id="2101758930">
      <w:bodyDiv w:val="1"/>
      <w:marLeft w:val="0"/>
      <w:marRight w:val="0"/>
      <w:marTop w:val="0"/>
      <w:marBottom w:val="0"/>
      <w:divBdr>
        <w:top w:val="none" w:sz="0" w:space="0" w:color="auto"/>
        <w:left w:val="none" w:sz="0" w:space="0" w:color="auto"/>
        <w:bottom w:val="none" w:sz="0" w:space="0" w:color="auto"/>
        <w:right w:val="none" w:sz="0" w:space="0" w:color="auto"/>
      </w:divBdr>
    </w:div>
    <w:div w:id="2103984161">
      <w:bodyDiv w:val="1"/>
      <w:marLeft w:val="0"/>
      <w:marRight w:val="0"/>
      <w:marTop w:val="0"/>
      <w:marBottom w:val="0"/>
      <w:divBdr>
        <w:top w:val="none" w:sz="0" w:space="0" w:color="auto"/>
        <w:left w:val="none" w:sz="0" w:space="0" w:color="auto"/>
        <w:bottom w:val="none" w:sz="0" w:space="0" w:color="auto"/>
        <w:right w:val="none" w:sz="0" w:space="0" w:color="auto"/>
      </w:divBdr>
    </w:div>
    <w:div w:id="2105031345">
      <w:bodyDiv w:val="1"/>
      <w:marLeft w:val="0"/>
      <w:marRight w:val="0"/>
      <w:marTop w:val="0"/>
      <w:marBottom w:val="0"/>
      <w:divBdr>
        <w:top w:val="none" w:sz="0" w:space="0" w:color="auto"/>
        <w:left w:val="none" w:sz="0" w:space="0" w:color="auto"/>
        <w:bottom w:val="none" w:sz="0" w:space="0" w:color="auto"/>
        <w:right w:val="none" w:sz="0" w:space="0" w:color="auto"/>
      </w:divBdr>
    </w:div>
    <w:div w:id="2105488048">
      <w:bodyDiv w:val="1"/>
      <w:marLeft w:val="0"/>
      <w:marRight w:val="0"/>
      <w:marTop w:val="0"/>
      <w:marBottom w:val="0"/>
      <w:divBdr>
        <w:top w:val="none" w:sz="0" w:space="0" w:color="auto"/>
        <w:left w:val="none" w:sz="0" w:space="0" w:color="auto"/>
        <w:bottom w:val="none" w:sz="0" w:space="0" w:color="auto"/>
        <w:right w:val="none" w:sz="0" w:space="0" w:color="auto"/>
      </w:divBdr>
    </w:div>
    <w:div w:id="2105808534">
      <w:bodyDiv w:val="1"/>
      <w:marLeft w:val="0"/>
      <w:marRight w:val="0"/>
      <w:marTop w:val="0"/>
      <w:marBottom w:val="0"/>
      <w:divBdr>
        <w:top w:val="none" w:sz="0" w:space="0" w:color="auto"/>
        <w:left w:val="none" w:sz="0" w:space="0" w:color="auto"/>
        <w:bottom w:val="none" w:sz="0" w:space="0" w:color="auto"/>
        <w:right w:val="none" w:sz="0" w:space="0" w:color="auto"/>
      </w:divBdr>
    </w:div>
    <w:div w:id="2109278075">
      <w:bodyDiv w:val="1"/>
      <w:marLeft w:val="0"/>
      <w:marRight w:val="0"/>
      <w:marTop w:val="0"/>
      <w:marBottom w:val="0"/>
      <w:divBdr>
        <w:top w:val="none" w:sz="0" w:space="0" w:color="auto"/>
        <w:left w:val="none" w:sz="0" w:space="0" w:color="auto"/>
        <w:bottom w:val="none" w:sz="0" w:space="0" w:color="auto"/>
        <w:right w:val="none" w:sz="0" w:space="0" w:color="auto"/>
      </w:divBdr>
    </w:div>
    <w:div w:id="2110274087">
      <w:bodyDiv w:val="1"/>
      <w:marLeft w:val="0"/>
      <w:marRight w:val="0"/>
      <w:marTop w:val="0"/>
      <w:marBottom w:val="0"/>
      <w:divBdr>
        <w:top w:val="none" w:sz="0" w:space="0" w:color="auto"/>
        <w:left w:val="none" w:sz="0" w:space="0" w:color="auto"/>
        <w:bottom w:val="none" w:sz="0" w:space="0" w:color="auto"/>
        <w:right w:val="none" w:sz="0" w:space="0" w:color="auto"/>
      </w:divBdr>
    </w:div>
    <w:div w:id="2114277414">
      <w:bodyDiv w:val="1"/>
      <w:marLeft w:val="0"/>
      <w:marRight w:val="0"/>
      <w:marTop w:val="0"/>
      <w:marBottom w:val="0"/>
      <w:divBdr>
        <w:top w:val="none" w:sz="0" w:space="0" w:color="auto"/>
        <w:left w:val="none" w:sz="0" w:space="0" w:color="auto"/>
        <w:bottom w:val="none" w:sz="0" w:space="0" w:color="auto"/>
        <w:right w:val="none" w:sz="0" w:space="0" w:color="auto"/>
      </w:divBdr>
    </w:div>
    <w:div w:id="2114738840">
      <w:bodyDiv w:val="1"/>
      <w:marLeft w:val="0"/>
      <w:marRight w:val="0"/>
      <w:marTop w:val="0"/>
      <w:marBottom w:val="0"/>
      <w:divBdr>
        <w:top w:val="none" w:sz="0" w:space="0" w:color="auto"/>
        <w:left w:val="none" w:sz="0" w:space="0" w:color="auto"/>
        <w:bottom w:val="none" w:sz="0" w:space="0" w:color="auto"/>
        <w:right w:val="none" w:sz="0" w:space="0" w:color="auto"/>
      </w:divBdr>
    </w:div>
    <w:div w:id="2116709937">
      <w:bodyDiv w:val="1"/>
      <w:marLeft w:val="0"/>
      <w:marRight w:val="0"/>
      <w:marTop w:val="0"/>
      <w:marBottom w:val="0"/>
      <w:divBdr>
        <w:top w:val="none" w:sz="0" w:space="0" w:color="auto"/>
        <w:left w:val="none" w:sz="0" w:space="0" w:color="auto"/>
        <w:bottom w:val="none" w:sz="0" w:space="0" w:color="auto"/>
        <w:right w:val="none" w:sz="0" w:space="0" w:color="auto"/>
      </w:divBdr>
    </w:div>
    <w:div w:id="2116945853">
      <w:bodyDiv w:val="1"/>
      <w:marLeft w:val="0"/>
      <w:marRight w:val="0"/>
      <w:marTop w:val="0"/>
      <w:marBottom w:val="0"/>
      <w:divBdr>
        <w:top w:val="none" w:sz="0" w:space="0" w:color="auto"/>
        <w:left w:val="none" w:sz="0" w:space="0" w:color="auto"/>
        <w:bottom w:val="none" w:sz="0" w:space="0" w:color="auto"/>
        <w:right w:val="none" w:sz="0" w:space="0" w:color="auto"/>
      </w:divBdr>
    </w:div>
    <w:div w:id="2119981911">
      <w:bodyDiv w:val="1"/>
      <w:marLeft w:val="0"/>
      <w:marRight w:val="0"/>
      <w:marTop w:val="0"/>
      <w:marBottom w:val="0"/>
      <w:divBdr>
        <w:top w:val="none" w:sz="0" w:space="0" w:color="auto"/>
        <w:left w:val="none" w:sz="0" w:space="0" w:color="auto"/>
        <w:bottom w:val="none" w:sz="0" w:space="0" w:color="auto"/>
        <w:right w:val="none" w:sz="0" w:space="0" w:color="auto"/>
      </w:divBdr>
    </w:div>
    <w:div w:id="2120055948">
      <w:bodyDiv w:val="1"/>
      <w:marLeft w:val="0"/>
      <w:marRight w:val="0"/>
      <w:marTop w:val="0"/>
      <w:marBottom w:val="0"/>
      <w:divBdr>
        <w:top w:val="none" w:sz="0" w:space="0" w:color="auto"/>
        <w:left w:val="none" w:sz="0" w:space="0" w:color="auto"/>
        <w:bottom w:val="none" w:sz="0" w:space="0" w:color="auto"/>
        <w:right w:val="none" w:sz="0" w:space="0" w:color="auto"/>
      </w:divBdr>
    </w:div>
    <w:div w:id="2120251400">
      <w:bodyDiv w:val="1"/>
      <w:marLeft w:val="0"/>
      <w:marRight w:val="0"/>
      <w:marTop w:val="0"/>
      <w:marBottom w:val="0"/>
      <w:divBdr>
        <w:top w:val="none" w:sz="0" w:space="0" w:color="auto"/>
        <w:left w:val="none" w:sz="0" w:space="0" w:color="auto"/>
        <w:bottom w:val="none" w:sz="0" w:space="0" w:color="auto"/>
        <w:right w:val="none" w:sz="0" w:space="0" w:color="auto"/>
      </w:divBdr>
    </w:div>
    <w:div w:id="2120643999">
      <w:bodyDiv w:val="1"/>
      <w:marLeft w:val="0"/>
      <w:marRight w:val="0"/>
      <w:marTop w:val="0"/>
      <w:marBottom w:val="0"/>
      <w:divBdr>
        <w:top w:val="none" w:sz="0" w:space="0" w:color="auto"/>
        <w:left w:val="none" w:sz="0" w:space="0" w:color="auto"/>
        <w:bottom w:val="none" w:sz="0" w:space="0" w:color="auto"/>
        <w:right w:val="none" w:sz="0" w:space="0" w:color="auto"/>
      </w:divBdr>
    </w:div>
    <w:div w:id="2125345065">
      <w:bodyDiv w:val="1"/>
      <w:marLeft w:val="0"/>
      <w:marRight w:val="0"/>
      <w:marTop w:val="0"/>
      <w:marBottom w:val="0"/>
      <w:divBdr>
        <w:top w:val="none" w:sz="0" w:space="0" w:color="auto"/>
        <w:left w:val="none" w:sz="0" w:space="0" w:color="auto"/>
        <w:bottom w:val="none" w:sz="0" w:space="0" w:color="auto"/>
        <w:right w:val="none" w:sz="0" w:space="0" w:color="auto"/>
      </w:divBdr>
    </w:div>
    <w:div w:id="2125691342">
      <w:bodyDiv w:val="1"/>
      <w:marLeft w:val="0"/>
      <w:marRight w:val="0"/>
      <w:marTop w:val="0"/>
      <w:marBottom w:val="0"/>
      <w:divBdr>
        <w:top w:val="none" w:sz="0" w:space="0" w:color="auto"/>
        <w:left w:val="none" w:sz="0" w:space="0" w:color="auto"/>
        <w:bottom w:val="none" w:sz="0" w:space="0" w:color="auto"/>
        <w:right w:val="none" w:sz="0" w:space="0" w:color="auto"/>
      </w:divBdr>
    </w:div>
    <w:div w:id="2126924548">
      <w:bodyDiv w:val="1"/>
      <w:marLeft w:val="0"/>
      <w:marRight w:val="0"/>
      <w:marTop w:val="0"/>
      <w:marBottom w:val="0"/>
      <w:divBdr>
        <w:top w:val="none" w:sz="0" w:space="0" w:color="auto"/>
        <w:left w:val="none" w:sz="0" w:space="0" w:color="auto"/>
        <w:bottom w:val="none" w:sz="0" w:space="0" w:color="auto"/>
        <w:right w:val="none" w:sz="0" w:space="0" w:color="auto"/>
      </w:divBdr>
    </w:div>
    <w:div w:id="2127307990">
      <w:bodyDiv w:val="1"/>
      <w:marLeft w:val="0"/>
      <w:marRight w:val="0"/>
      <w:marTop w:val="0"/>
      <w:marBottom w:val="0"/>
      <w:divBdr>
        <w:top w:val="none" w:sz="0" w:space="0" w:color="auto"/>
        <w:left w:val="none" w:sz="0" w:space="0" w:color="auto"/>
        <w:bottom w:val="none" w:sz="0" w:space="0" w:color="auto"/>
        <w:right w:val="none" w:sz="0" w:space="0" w:color="auto"/>
      </w:divBdr>
    </w:div>
    <w:div w:id="2127458541">
      <w:bodyDiv w:val="1"/>
      <w:marLeft w:val="0"/>
      <w:marRight w:val="0"/>
      <w:marTop w:val="0"/>
      <w:marBottom w:val="0"/>
      <w:divBdr>
        <w:top w:val="none" w:sz="0" w:space="0" w:color="auto"/>
        <w:left w:val="none" w:sz="0" w:space="0" w:color="auto"/>
        <w:bottom w:val="none" w:sz="0" w:space="0" w:color="auto"/>
        <w:right w:val="none" w:sz="0" w:space="0" w:color="auto"/>
      </w:divBdr>
    </w:div>
    <w:div w:id="2128810761">
      <w:bodyDiv w:val="1"/>
      <w:marLeft w:val="0"/>
      <w:marRight w:val="0"/>
      <w:marTop w:val="0"/>
      <w:marBottom w:val="0"/>
      <w:divBdr>
        <w:top w:val="none" w:sz="0" w:space="0" w:color="auto"/>
        <w:left w:val="none" w:sz="0" w:space="0" w:color="auto"/>
        <w:bottom w:val="none" w:sz="0" w:space="0" w:color="auto"/>
        <w:right w:val="none" w:sz="0" w:space="0" w:color="auto"/>
      </w:divBdr>
    </w:div>
    <w:div w:id="2129280506">
      <w:bodyDiv w:val="1"/>
      <w:marLeft w:val="0"/>
      <w:marRight w:val="0"/>
      <w:marTop w:val="0"/>
      <w:marBottom w:val="0"/>
      <w:divBdr>
        <w:top w:val="none" w:sz="0" w:space="0" w:color="auto"/>
        <w:left w:val="none" w:sz="0" w:space="0" w:color="auto"/>
        <w:bottom w:val="none" w:sz="0" w:space="0" w:color="auto"/>
        <w:right w:val="none" w:sz="0" w:space="0" w:color="auto"/>
      </w:divBdr>
    </w:div>
    <w:div w:id="2130663450">
      <w:bodyDiv w:val="1"/>
      <w:marLeft w:val="0"/>
      <w:marRight w:val="0"/>
      <w:marTop w:val="0"/>
      <w:marBottom w:val="0"/>
      <w:divBdr>
        <w:top w:val="none" w:sz="0" w:space="0" w:color="auto"/>
        <w:left w:val="none" w:sz="0" w:space="0" w:color="auto"/>
        <w:bottom w:val="none" w:sz="0" w:space="0" w:color="auto"/>
        <w:right w:val="none" w:sz="0" w:space="0" w:color="auto"/>
      </w:divBdr>
    </w:div>
    <w:div w:id="2133546765">
      <w:bodyDiv w:val="1"/>
      <w:marLeft w:val="0"/>
      <w:marRight w:val="0"/>
      <w:marTop w:val="0"/>
      <w:marBottom w:val="0"/>
      <w:divBdr>
        <w:top w:val="none" w:sz="0" w:space="0" w:color="auto"/>
        <w:left w:val="none" w:sz="0" w:space="0" w:color="auto"/>
        <w:bottom w:val="none" w:sz="0" w:space="0" w:color="auto"/>
        <w:right w:val="none" w:sz="0" w:space="0" w:color="auto"/>
      </w:divBdr>
    </w:div>
    <w:div w:id="2134444267">
      <w:bodyDiv w:val="1"/>
      <w:marLeft w:val="0"/>
      <w:marRight w:val="0"/>
      <w:marTop w:val="0"/>
      <w:marBottom w:val="0"/>
      <w:divBdr>
        <w:top w:val="none" w:sz="0" w:space="0" w:color="auto"/>
        <w:left w:val="none" w:sz="0" w:space="0" w:color="auto"/>
        <w:bottom w:val="none" w:sz="0" w:space="0" w:color="auto"/>
        <w:right w:val="none" w:sz="0" w:space="0" w:color="auto"/>
      </w:divBdr>
    </w:div>
    <w:div w:id="2134784158">
      <w:bodyDiv w:val="1"/>
      <w:marLeft w:val="0"/>
      <w:marRight w:val="0"/>
      <w:marTop w:val="0"/>
      <w:marBottom w:val="0"/>
      <w:divBdr>
        <w:top w:val="none" w:sz="0" w:space="0" w:color="auto"/>
        <w:left w:val="none" w:sz="0" w:space="0" w:color="auto"/>
        <w:bottom w:val="none" w:sz="0" w:space="0" w:color="auto"/>
        <w:right w:val="none" w:sz="0" w:space="0" w:color="auto"/>
      </w:divBdr>
    </w:div>
    <w:div w:id="2138450544">
      <w:bodyDiv w:val="1"/>
      <w:marLeft w:val="0"/>
      <w:marRight w:val="0"/>
      <w:marTop w:val="0"/>
      <w:marBottom w:val="0"/>
      <w:divBdr>
        <w:top w:val="none" w:sz="0" w:space="0" w:color="auto"/>
        <w:left w:val="none" w:sz="0" w:space="0" w:color="auto"/>
        <w:bottom w:val="none" w:sz="0" w:space="0" w:color="auto"/>
        <w:right w:val="none" w:sz="0" w:space="0" w:color="auto"/>
      </w:divBdr>
    </w:div>
    <w:div w:id="2140874743">
      <w:bodyDiv w:val="1"/>
      <w:marLeft w:val="0"/>
      <w:marRight w:val="0"/>
      <w:marTop w:val="0"/>
      <w:marBottom w:val="0"/>
      <w:divBdr>
        <w:top w:val="none" w:sz="0" w:space="0" w:color="auto"/>
        <w:left w:val="none" w:sz="0" w:space="0" w:color="auto"/>
        <w:bottom w:val="none" w:sz="0" w:space="0" w:color="auto"/>
        <w:right w:val="none" w:sz="0" w:space="0" w:color="auto"/>
      </w:divBdr>
    </w:div>
    <w:div w:id="2141607520">
      <w:bodyDiv w:val="1"/>
      <w:marLeft w:val="0"/>
      <w:marRight w:val="0"/>
      <w:marTop w:val="0"/>
      <w:marBottom w:val="0"/>
      <w:divBdr>
        <w:top w:val="none" w:sz="0" w:space="0" w:color="auto"/>
        <w:left w:val="none" w:sz="0" w:space="0" w:color="auto"/>
        <w:bottom w:val="none" w:sz="0" w:space="0" w:color="auto"/>
        <w:right w:val="none" w:sz="0" w:space="0" w:color="auto"/>
      </w:divBdr>
    </w:div>
    <w:div w:id="2141609983">
      <w:bodyDiv w:val="1"/>
      <w:marLeft w:val="0"/>
      <w:marRight w:val="0"/>
      <w:marTop w:val="0"/>
      <w:marBottom w:val="0"/>
      <w:divBdr>
        <w:top w:val="none" w:sz="0" w:space="0" w:color="auto"/>
        <w:left w:val="none" w:sz="0" w:space="0" w:color="auto"/>
        <w:bottom w:val="none" w:sz="0" w:space="0" w:color="auto"/>
        <w:right w:val="none" w:sz="0" w:space="0" w:color="auto"/>
      </w:divBdr>
    </w:div>
    <w:div w:id="2142380632">
      <w:bodyDiv w:val="1"/>
      <w:marLeft w:val="0"/>
      <w:marRight w:val="0"/>
      <w:marTop w:val="0"/>
      <w:marBottom w:val="0"/>
      <w:divBdr>
        <w:top w:val="none" w:sz="0" w:space="0" w:color="auto"/>
        <w:left w:val="none" w:sz="0" w:space="0" w:color="auto"/>
        <w:bottom w:val="none" w:sz="0" w:space="0" w:color="auto"/>
        <w:right w:val="none" w:sz="0" w:space="0" w:color="auto"/>
      </w:divBdr>
    </w:div>
    <w:div w:id="2144227941">
      <w:bodyDiv w:val="1"/>
      <w:marLeft w:val="0"/>
      <w:marRight w:val="0"/>
      <w:marTop w:val="0"/>
      <w:marBottom w:val="0"/>
      <w:divBdr>
        <w:top w:val="none" w:sz="0" w:space="0" w:color="auto"/>
        <w:left w:val="none" w:sz="0" w:space="0" w:color="auto"/>
        <w:bottom w:val="none" w:sz="0" w:space="0" w:color="auto"/>
        <w:right w:val="none" w:sz="0" w:space="0" w:color="auto"/>
      </w:divBdr>
    </w:div>
    <w:div w:id="2144619851">
      <w:bodyDiv w:val="1"/>
      <w:marLeft w:val="0"/>
      <w:marRight w:val="0"/>
      <w:marTop w:val="0"/>
      <w:marBottom w:val="0"/>
      <w:divBdr>
        <w:top w:val="none" w:sz="0" w:space="0" w:color="auto"/>
        <w:left w:val="none" w:sz="0" w:space="0" w:color="auto"/>
        <w:bottom w:val="none" w:sz="0" w:space="0" w:color="auto"/>
        <w:right w:val="none" w:sz="0" w:space="0" w:color="auto"/>
      </w:divBdr>
    </w:div>
    <w:div w:id="2144813618">
      <w:bodyDiv w:val="1"/>
      <w:marLeft w:val="0"/>
      <w:marRight w:val="0"/>
      <w:marTop w:val="0"/>
      <w:marBottom w:val="0"/>
      <w:divBdr>
        <w:top w:val="none" w:sz="0" w:space="0" w:color="auto"/>
        <w:left w:val="none" w:sz="0" w:space="0" w:color="auto"/>
        <w:bottom w:val="none" w:sz="0" w:space="0" w:color="auto"/>
        <w:right w:val="none" w:sz="0" w:space="0" w:color="auto"/>
      </w:divBdr>
    </w:div>
    <w:div w:id="2145924817">
      <w:bodyDiv w:val="1"/>
      <w:marLeft w:val="0"/>
      <w:marRight w:val="0"/>
      <w:marTop w:val="0"/>
      <w:marBottom w:val="0"/>
      <w:divBdr>
        <w:top w:val="none" w:sz="0" w:space="0" w:color="auto"/>
        <w:left w:val="none" w:sz="0" w:space="0" w:color="auto"/>
        <w:bottom w:val="none" w:sz="0" w:space="0" w:color="auto"/>
        <w:right w:val="none" w:sz="0" w:space="0" w:color="auto"/>
      </w:divBdr>
    </w:div>
    <w:div w:id="2146770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valec.gov.br/ferrovias/ferrovia-norte-sul/trechos/ouro-verde-go-estrela-d-oeste-sp"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chart" Target="charts/chart1.xml"/><Relationship Id="rId10" Type="http://schemas.openxmlformats.org/officeDocument/2006/relationships/endnotes" Target="endnotes.xml"/><Relationship Id="rId19" Type="http://schemas.openxmlformats.org/officeDocument/2006/relationships/hyperlink" Target="http://www.valec.gov.br/ferrovias/ferrovia-norte-sul/trechos/ouro-verde-go-estrela-d-oeste-sp"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valeccontrucoes-my.sharepoint.com/personal/gabriel_galvao_infrasa_gov_br/Documents/Arquivos%20de%20Chat%20do%20Microsoft%20Teams/DF%201&#186;%20Trimestre%202024%20(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pt-BR" sz="900" b="0">
                <a:latin typeface="Calibri" panose="020F0502020204030204" pitchFamily="34" charset="0"/>
                <a:cs typeface="Calibri" panose="020F0502020204030204" pitchFamily="34" charset="0"/>
              </a:rPr>
              <a:t>Gráfico:</a:t>
            </a:r>
            <a:r>
              <a:rPr lang="pt-BR" sz="900" b="0" baseline="0">
                <a:latin typeface="Calibri" panose="020F0502020204030204" pitchFamily="34" charset="0"/>
                <a:cs typeface="Calibri" panose="020F0502020204030204" pitchFamily="34" charset="0"/>
              </a:rPr>
              <a:t> ativo total por categoria</a:t>
            </a:r>
            <a:endParaRPr lang="pt-BR" sz="900" b="0">
              <a:latin typeface="Calibri" panose="020F0502020204030204" pitchFamily="34" charset="0"/>
              <a:cs typeface="Calibri" panose="020F0502020204030204" pitchFamily="34" charset="0"/>
            </a:endParaRPr>
          </a:p>
        </c:rich>
      </c:tx>
      <c:layout>
        <c:manualLayout>
          <c:xMode val="edge"/>
          <c:yMode val="edge"/>
          <c:x val="1.7294715635129503E-2"/>
          <c:y val="0.93729389175504652"/>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5099762931645"/>
          <c:y val="0.2187155944865595"/>
          <c:w val="0.70561122745973825"/>
          <c:h val="0.69458203521773265"/>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AC4-440B-B543-131B72D24A0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AC4-440B-B543-131B72D24A09}"/>
              </c:ext>
            </c:extLst>
          </c:dPt>
          <c:dPt>
            <c:idx val="2"/>
            <c:bubble3D val="0"/>
            <c:spPr>
              <a:solidFill>
                <a:schemeClr val="accent6">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0AC4-440B-B543-131B72D24A0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0AC4-440B-B543-131B72D24A09}"/>
              </c:ext>
            </c:extLst>
          </c:dPt>
          <c:dPt>
            <c:idx val="4"/>
            <c:bubble3D val="0"/>
            <c:spPr>
              <a:solidFill>
                <a:schemeClr val="bg1">
                  <a:lumMod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0AC4-440B-B543-131B72D24A09}"/>
              </c:ext>
            </c:extLst>
          </c:dPt>
          <c:dPt>
            <c:idx val="5"/>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0AC4-440B-B543-131B72D24A09}"/>
              </c:ext>
            </c:extLst>
          </c:dPt>
          <c:dLbls>
            <c:dLbl>
              <c:idx val="0"/>
              <c:layout>
                <c:manualLayout>
                  <c:x val="5.0672433729723985E-2"/>
                  <c:y val="3.8924715858481493E-3"/>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30274916503534477"/>
                      <c:h val="0.21239819004524887"/>
                    </c:manualLayout>
                  </c15:layout>
                </c:ext>
                <c:ext xmlns:c16="http://schemas.microsoft.com/office/drawing/2014/chart" uri="{C3380CC4-5D6E-409C-BE32-E72D297353CC}">
                  <c16:uniqueId val="{00000001-0AC4-440B-B543-131B72D24A09}"/>
                </c:ext>
              </c:extLst>
            </c:dLbl>
            <c:dLbl>
              <c:idx val="1"/>
              <c:layout>
                <c:manualLayout>
                  <c:x val="0.1019378395159008"/>
                  <c:y val="6.0824812056863936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AC4-440B-B543-131B72D24A09}"/>
                </c:ext>
              </c:extLst>
            </c:dLbl>
            <c:dLbl>
              <c:idx val="2"/>
              <c:layout>
                <c:manualLayout>
                  <c:x val="0.11488246526573412"/>
                  <c:y val="-0.24422446475307558"/>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AC4-440B-B543-131B72D24A09}"/>
                </c:ext>
              </c:extLst>
            </c:dLbl>
            <c:dLbl>
              <c:idx val="3"/>
              <c:layout>
                <c:manualLayout>
                  <c:x val="-0.15717594922047814"/>
                  <c:y val="8.4394840916378638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AC4-440B-B543-131B72D24A09}"/>
                </c:ext>
              </c:extLst>
            </c:dLbl>
            <c:dLbl>
              <c:idx val="4"/>
              <c:layout>
                <c:manualLayout>
                  <c:x val="2.4582030874618965E-2"/>
                  <c:y val="-0.1100110201590430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AC4-440B-B543-131B72D24A09}"/>
                </c:ext>
              </c:extLst>
            </c:dLbl>
            <c:dLbl>
              <c:idx val="5"/>
              <c:layout>
                <c:manualLayout>
                  <c:x val="0.1754844124108311"/>
                  <c:y val="-8.9692877756796241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AC4-440B-B543-131B72D24A0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'[DF 1º Trimestre 2024 (2).xlsx]Grafico - Ativo total por categ'!$A$1:$A$6</c:f>
              <c:strCache>
                <c:ptCount val="6"/>
                <c:pt idx="0">
                  <c:v>Investimento - Ferrovia Transnordestina</c:v>
                </c:pt>
                <c:pt idx="1">
                  <c:v>Receita própria em caixa</c:v>
                </c:pt>
                <c:pt idx="2">
                  <c:v>Ferrovias</c:v>
                </c:pt>
                <c:pt idx="3">
                  <c:v>Permissões para uso de pátios</c:v>
                </c:pt>
                <c:pt idx="4">
                  <c:v>Estudos, projetos e licenciamento ambiental</c:v>
                </c:pt>
                <c:pt idx="5">
                  <c:v>Demais ativos</c:v>
                </c:pt>
              </c:strCache>
            </c:strRef>
          </c:cat>
          <c:val>
            <c:numRef>
              <c:f>'[DF 1º Trimestre 2024 (2).xlsx]Grafico - Ativo total por categ'!$C$1:$C$6</c:f>
              <c:numCache>
                <c:formatCode>0%</c:formatCode>
                <c:ptCount val="6"/>
                <c:pt idx="0">
                  <c:v>0.13782983987110431</c:v>
                </c:pt>
                <c:pt idx="1">
                  <c:v>1.9028476391531862E-2</c:v>
                </c:pt>
                <c:pt idx="2">
                  <c:v>0.7778441764327958</c:v>
                </c:pt>
                <c:pt idx="3">
                  <c:v>1.0854317432693461E-2</c:v>
                </c:pt>
                <c:pt idx="4">
                  <c:v>2.479702609242319E-2</c:v>
                </c:pt>
                <c:pt idx="5">
                  <c:v>2.9646163779451475E-2</c:v>
                </c:pt>
              </c:numCache>
            </c:numRef>
          </c:val>
          <c:extLst>
            <c:ext xmlns:c16="http://schemas.microsoft.com/office/drawing/2014/chart" uri="{C3380CC4-5D6E-409C-BE32-E72D297353CC}">
              <c16:uniqueId val="{0000000C-0AC4-440B-B543-131B72D24A09}"/>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7F65A3071BFE0D4081E9BA69BA423F64" ma:contentTypeVersion="15" ma:contentTypeDescription="Crie um novo documento." ma:contentTypeScope="" ma:versionID="874ac6309bba69842074619b06019ee1">
  <xsd:schema xmlns:xsd="http://www.w3.org/2001/XMLSchema" xmlns:xs="http://www.w3.org/2001/XMLSchema" xmlns:p="http://schemas.microsoft.com/office/2006/metadata/properties" xmlns:ns3="4d14a81a-304d-42a8-8180-63b2b58ae933" xmlns:ns4="b654a698-8964-478b-91bb-c8017b6fc03e" targetNamespace="http://schemas.microsoft.com/office/2006/metadata/properties" ma:root="true" ma:fieldsID="8ba9cfce3cd14fc803c5d40b13ea9b95" ns3:_="" ns4:_="">
    <xsd:import namespace="4d14a81a-304d-42a8-8180-63b2b58ae933"/>
    <xsd:import namespace="b654a698-8964-478b-91bb-c8017b6fc03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_activity" minOccurs="0"/>
                <xsd:element ref="ns4:MediaServiceDateTaken" minOccurs="0"/>
                <xsd:element ref="ns4:MediaServiceAutoTags" minOccurs="0"/>
                <xsd:element ref="ns4:MediaLengthInSeconds" minOccurs="0"/>
                <xsd:element ref="ns4:MediaServiceGenerationTime" minOccurs="0"/>
                <xsd:element ref="ns4:MediaServiceEventHashCode" minOccurs="0"/>
                <xsd:element ref="ns4:MediaServiceObjectDetectorVersions" minOccurs="0"/>
                <xsd:element ref="ns4:MediaServiceOCR"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14a81a-304d-42a8-8180-63b2b58ae933"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element name="SharingHintHash" ma:index="10" nillable="true" ma:displayName="Hash de Dica de Compartilhamento"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54a698-8964-478b-91bb-c8017b6fc03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activity xmlns="b654a698-8964-478b-91bb-c8017b6fc03e" xsi:nil="true"/>
  </documentManagement>
</p:properties>
</file>

<file path=customXml/itemProps1.xml><?xml version="1.0" encoding="utf-8"?>
<ds:datastoreItem xmlns:ds="http://schemas.openxmlformats.org/officeDocument/2006/customXml" ds:itemID="{E57315D6-AE76-4E2F-8EB6-957DB66228D9}">
  <ds:schemaRefs>
    <ds:schemaRef ds:uri="http://schemas.microsoft.com/sharepoint/v3/contenttype/forms"/>
  </ds:schemaRefs>
</ds:datastoreItem>
</file>

<file path=customXml/itemProps2.xml><?xml version="1.0" encoding="utf-8"?>
<ds:datastoreItem xmlns:ds="http://schemas.openxmlformats.org/officeDocument/2006/customXml" ds:itemID="{1F5A6FDC-4BCA-49BC-B5FA-D26153196A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14a81a-304d-42a8-8180-63b2b58ae933"/>
    <ds:schemaRef ds:uri="b654a698-8964-478b-91bb-c8017b6fc0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E4CEF7-2E17-423C-8907-714229D85047}">
  <ds:schemaRefs>
    <ds:schemaRef ds:uri="http://schemas.openxmlformats.org/officeDocument/2006/bibliography"/>
  </ds:schemaRefs>
</ds:datastoreItem>
</file>

<file path=customXml/itemProps4.xml><?xml version="1.0" encoding="utf-8"?>
<ds:datastoreItem xmlns:ds="http://schemas.openxmlformats.org/officeDocument/2006/customXml" ds:itemID="{F00E4DA4-32C8-45CB-958E-52E64C6657C0}">
  <ds:schemaRefs>
    <ds:schemaRef ds:uri="http://schemas.microsoft.com/office/2006/metadata/properties"/>
    <ds:schemaRef ds:uri="http://schemas.microsoft.com/office/infopath/2007/PartnerControls"/>
    <ds:schemaRef ds:uri="b654a698-8964-478b-91bb-c8017b6fc03e"/>
  </ds:schemaRefs>
</ds:datastoreItem>
</file>

<file path=docMetadata/LabelInfo.xml><?xml version="1.0" encoding="utf-8"?>
<clbl:labelList xmlns:clbl="http://schemas.microsoft.com/office/2020/mipLabelMetadata">
  <clbl:label id="{7526c91e-5b59-424b-a9ce-44af3c86f963}" enabled="0" method="" siteId="{7526c91e-5b59-424b-a9ce-44af3c86f963}" removed="1"/>
</clbl:labelList>
</file>

<file path=docProps/app.xml><?xml version="1.0" encoding="utf-8"?>
<Properties xmlns="http://schemas.openxmlformats.org/officeDocument/2006/extended-properties" xmlns:vt="http://schemas.openxmlformats.org/officeDocument/2006/docPropsVTypes">
  <Template>Normal</Template>
  <TotalTime>1</TotalTime>
  <Pages>51</Pages>
  <Words>26492</Words>
  <Characters>143063</Characters>
  <Application>Microsoft Office Word</Application>
  <DocSecurity>0</DocSecurity>
  <Lines>1192</Lines>
  <Paragraphs>338</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169217</CharactersWithSpaces>
  <SharedDoc>false</SharedDoc>
  <HLinks>
    <vt:vector size="390" baseType="variant">
      <vt:variant>
        <vt:i4>4522058</vt:i4>
      </vt:variant>
      <vt:variant>
        <vt:i4>384</vt:i4>
      </vt:variant>
      <vt:variant>
        <vt:i4>0</vt:i4>
      </vt:variant>
      <vt:variant>
        <vt:i4>5</vt:i4>
      </vt:variant>
      <vt:variant>
        <vt:lpwstr>http://www.valec.gov.br/ferrovias/ferrovia-norte-sul/trechos/ouro-verde-go-estrela-d-oeste-sp</vt:lpwstr>
      </vt:variant>
      <vt:variant>
        <vt:lpwstr/>
      </vt:variant>
      <vt:variant>
        <vt:i4>4522058</vt:i4>
      </vt:variant>
      <vt:variant>
        <vt:i4>381</vt:i4>
      </vt:variant>
      <vt:variant>
        <vt:i4>0</vt:i4>
      </vt:variant>
      <vt:variant>
        <vt:i4>5</vt:i4>
      </vt:variant>
      <vt:variant>
        <vt:lpwstr>http://www.valec.gov.br/ferrovias/ferrovia-norte-sul/trechos/ouro-verde-go-estrela-d-oeste-sp</vt:lpwstr>
      </vt:variant>
      <vt:variant>
        <vt:lpwstr/>
      </vt:variant>
      <vt:variant>
        <vt:i4>1114160</vt:i4>
      </vt:variant>
      <vt:variant>
        <vt:i4>374</vt:i4>
      </vt:variant>
      <vt:variant>
        <vt:i4>0</vt:i4>
      </vt:variant>
      <vt:variant>
        <vt:i4>5</vt:i4>
      </vt:variant>
      <vt:variant>
        <vt:lpwstr/>
      </vt:variant>
      <vt:variant>
        <vt:lpwstr>_Toc184926715</vt:lpwstr>
      </vt:variant>
      <vt:variant>
        <vt:i4>1114160</vt:i4>
      </vt:variant>
      <vt:variant>
        <vt:i4>368</vt:i4>
      </vt:variant>
      <vt:variant>
        <vt:i4>0</vt:i4>
      </vt:variant>
      <vt:variant>
        <vt:i4>5</vt:i4>
      </vt:variant>
      <vt:variant>
        <vt:lpwstr/>
      </vt:variant>
      <vt:variant>
        <vt:lpwstr>_Toc184926714</vt:lpwstr>
      </vt:variant>
      <vt:variant>
        <vt:i4>1114160</vt:i4>
      </vt:variant>
      <vt:variant>
        <vt:i4>362</vt:i4>
      </vt:variant>
      <vt:variant>
        <vt:i4>0</vt:i4>
      </vt:variant>
      <vt:variant>
        <vt:i4>5</vt:i4>
      </vt:variant>
      <vt:variant>
        <vt:lpwstr/>
      </vt:variant>
      <vt:variant>
        <vt:lpwstr>_Toc184926713</vt:lpwstr>
      </vt:variant>
      <vt:variant>
        <vt:i4>1114160</vt:i4>
      </vt:variant>
      <vt:variant>
        <vt:i4>356</vt:i4>
      </vt:variant>
      <vt:variant>
        <vt:i4>0</vt:i4>
      </vt:variant>
      <vt:variant>
        <vt:i4>5</vt:i4>
      </vt:variant>
      <vt:variant>
        <vt:lpwstr/>
      </vt:variant>
      <vt:variant>
        <vt:lpwstr>_Toc184926712</vt:lpwstr>
      </vt:variant>
      <vt:variant>
        <vt:i4>1114160</vt:i4>
      </vt:variant>
      <vt:variant>
        <vt:i4>350</vt:i4>
      </vt:variant>
      <vt:variant>
        <vt:i4>0</vt:i4>
      </vt:variant>
      <vt:variant>
        <vt:i4>5</vt:i4>
      </vt:variant>
      <vt:variant>
        <vt:lpwstr/>
      </vt:variant>
      <vt:variant>
        <vt:lpwstr>_Toc184926711</vt:lpwstr>
      </vt:variant>
      <vt:variant>
        <vt:i4>1114160</vt:i4>
      </vt:variant>
      <vt:variant>
        <vt:i4>344</vt:i4>
      </vt:variant>
      <vt:variant>
        <vt:i4>0</vt:i4>
      </vt:variant>
      <vt:variant>
        <vt:i4>5</vt:i4>
      </vt:variant>
      <vt:variant>
        <vt:lpwstr/>
      </vt:variant>
      <vt:variant>
        <vt:lpwstr>_Toc184926710</vt:lpwstr>
      </vt:variant>
      <vt:variant>
        <vt:i4>1048624</vt:i4>
      </vt:variant>
      <vt:variant>
        <vt:i4>338</vt:i4>
      </vt:variant>
      <vt:variant>
        <vt:i4>0</vt:i4>
      </vt:variant>
      <vt:variant>
        <vt:i4>5</vt:i4>
      </vt:variant>
      <vt:variant>
        <vt:lpwstr/>
      </vt:variant>
      <vt:variant>
        <vt:lpwstr>_Toc184926709</vt:lpwstr>
      </vt:variant>
      <vt:variant>
        <vt:i4>1048624</vt:i4>
      </vt:variant>
      <vt:variant>
        <vt:i4>332</vt:i4>
      </vt:variant>
      <vt:variant>
        <vt:i4>0</vt:i4>
      </vt:variant>
      <vt:variant>
        <vt:i4>5</vt:i4>
      </vt:variant>
      <vt:variant>
        <vt:lpwstr/>
      </vt:variant>
      <vt:variant>
        <vt:lpwstr>_Toc184926708</vt:lpwstr>
      </vt:variant>
      <vt:variant>
        <vt:i4>1048624</vt:i4>
      </vt:variant>
      <vt:variant>
        <vt:i4>326</vt:i4>
      </vt:variant>
      <vt:variant>
        <vt:i4>0</vt:i4>
      </vt:variant>
      <vt:variant>
        <vt:i4>5</vt:i4>
      </vt:variant>
      <vt:variant>
        <vt:lpwstr/>
      </vt:variant>
      <vt:variant>
        <vt:lpwstr>_Toc184926707</vt:lpwstr>
      </vt:variant>
      <vt:variant>
        <vt:i4>1048624</vt:i4>
      </vt:variant>
      <vt:variant>
        <vt:i4>320</vt:i4>
      </vt:variant>
      <vt:variant>
        <vt:i4>0</vt:i4>
      </vt:variant>
      <vt:variant>
        <vt:i4>5</vt:i4>
      </vt:variant>
      <vt:variant>
        <vt:lpwstr/>
      </vt:variant>
      <vt:variant>
        <vt:lpwstr>_Toc184926706</vt:lpwstr>
      </vt:variant>
      <vt:variant>
        <vt:i4>1048624</vt:i4>
      </vt:variant>
      <vt:variant>
        <vt:i4>314</vt:i4>
      </vt:variant>
      <vt:variant>
        <vt:i4>0</vt:i4>
      </vt:variant>
      <vt:variant>
        <vt:i4>5</vt:i4>
      </vt:variant>
      <vt:variant>
        <vt:lpwstr/>
      </vt:variant>
      <vt:variant>
        <vt:lpwstr>_Toc184926705</vt:lpwstr>
      </vt:variant>
      <vt:variant>
        <vt:i4>1048624</vt:i4>
      </vt:variant>
      <vt:variant>
        <vt:i4>308</vt:i4>
      </vt:variant>
      <vt:variant>
        <vt:i4>0</vt:i4>
      </vt:variant>
      <vt:variant>
        <vt:i4>5</vt:i4>
      </vt:variant>
      <vt:variant>
        <vt:lpwstr/>
      </vt:variant>
      <vt:variant>
        <vt:lpwstr>_Toc184926704</vt:lpwstr>
      </vt:variant>
      <vt:variant>
        <vt:i4>1048624</vt:i4>
      </vt:variant>
      <vt:variant>
        <vt:i4>302</vt:i4>
      </vt:variant>
      <vt:variant>
        <vt:i4>0</vt:i4>
      </vt:variant>
      <vt:variant>
        <vt:i4>5</vt:i4>
      </vt:variant>
      <vt:variant>
        <vt:lpwstr/>
      </vt:variant>
      <vt:variant>
        <vt:lpwstr>_Toc184926703</vt:lpwstr>
      </vt:variant>
      <vt:variant>
        <vt:i4>1048624</vt:i4>
      </vt:variant>
      <vt:variant>
        <vt:i4>296</vt:i4>
      </vt:variant>
      <vt:variant>
        <vt:i4>0</vt:i4>
      </vt:variant>
      <vt:variant>
        <vt:i4>5</vt:i4>
      </vt:variant>
      <vt:variant>
        <vt:lpwstr/>
      </vt:variant>
      <vt:variant>
        <vt:lpwstr>_Toc184926702</vt:lpwstr>
      </vt:variant>
      <vt:variant>
        <vt:i4>1048624</vt:i4>
      </vt:variant>
      <vt:variant>
        <vt:i4>290</vt:i4>
      </vt:variant>
      <vt:variant>
        <vt:i4>0</vt:i4>
      </vt:variant>
      <vt:variant>
        <vt:i4>5</vt:i4>
      </vt:variant>
      <vt:variant>
        <vt:lpwstr/>
      </vt:variant>
      <vt:variant>
        <vt:lpwstr>_Toc184926701</vt:lpwstr>
      </vt:variant>
      <vt:variant>
        <vt:i4>1048624</vt:i4>
      </vt:variant>
      <vt:variant>
        <vt:i4>284</vt:i4>
      </vt:variant>
      <vt:variant>
        <vt:i4>0</vt:i4>
      </vt:variant>
      <vt:variant>
        <vt:i4>5</vt:i4>
      </vt:variant>
      <vt:variant>
        <vt:lpwstr/>
      </vt:variant>
      <vt:variant>
        <vt:lpwstr>_Toc184926700</vt:lpwstr>
      </vt:variant>
      <vt:variant>
        <vt:i4>1638449</vt:i4>
      </vt:variant>
      <vt:variant>
        <vt:i4>278</vt:i4>
      </vt:variant>
      <vt:variant>
        <vt:i4>0</vt:i4>
      </vt:variant>
      <vt:variant>
        <vt:i4>5</vt:i4>
      </vt:variant>
      <vt:variant>
        <vt:lpwstr/>
      </vt:variant>
      <vt:variant>
        <vt:lpwstr>_Toc184926699</vt:lpwstr>
      </vt:variant>
      <vt:variant>
        <vt:i4>1638449</vt:i4>
      </vt:variant>
      <vt:variant>
        <vt:i4>272</vt:i4>
      </vt:variant>
      <vt:variant>
        <vt:i4>0</vt:i4>
      </vt:variant>
      <vt:variant>
        <vt:i4>5</vt:i4>
      </vt:variant>
      <vt:variant>
        <vt:lpwstr/>
      </vt:variant>
      <vt:variant>
        <vt:lpwstr>_Toc184926698</vt:lpwstr>
      </vt:variant>
      <vt:variant>
        <vt:i4>1638449</vt:i4>
      </vt:variant>
      <vt:variant>
        <vt:i4>266</vt:i4>
      </vt:variant>
      <vt:variant>
        <vt:i4>0</vt:i4>
      </vt:variant>
      <vt:variant>
        <vt:i4>5</vt:i4>
      </vt:variant>
      <vt:variant>
        <vt:lpwstr/>
      </vt:variant>
      <vt:variant>
        <vt:lpwstr>_Toc184926697</vt:lpwstr>
      </vt:variant>
      <vt:variant>
        <vt:i4>1638449</vt:i4>
      </vt:variant>
      <vt:variant>
        <vt:i4>260</vt:i4>
      </vt:variant>
      <vt:variant>
        <vt:i4>0</vt:i4>
      </vt:variant>
      <vt:variant>
        <vt:i4>5</vt:i4>
      </vt:variant>
      <vt:variant>
        <vt:lpwstr/>
      </vt:variant>
      <vt:variant>
        <vt:lpwstr>_Toc184926696</vt:lpwstr>
      </vt:variant>
      <vt:variant>
        <vt:i4>1638449</vt:i4>
      </vt:variant>
      <vt:variant>
        <vt:i4>254</vt:i4>
      </vt:variant>
      <vt:variant>
        <vt:i4>0</vt:i4>
      </vt:variant>
      <vt:variant>
        <vt:i4>5</vt:i4>
      </vt:variant>
      <vt:variant>
        <vt:lpwstr/>
      </vt:variant>
      <vt:variant>
        <vt:lpwstr>_Toc184926695</vt:lpwstr>
      </vt:variant>
      <vt:variant>
        <vt:i4>1638449</vt:i4>
      </vt:variant>
      <vt:variant>
        <vt:i4>248</vt:i4>
      </vt:variant>
      <vt:variant>
        <vt:i4>0</vt:i4>
      </vt:variant>
      <vt:variant>
        <vt:i4>5</vt:i4>
      </vt:variant>
      <vt:variant>
        <vt:lpwstr/>
      </vt:variant>
      <vt:variant>
        <vt:lpwstr>_Toc184926694</vt:lpwstr>
      </vt:variant>
      <vt:variant>
        <vt:i4>1638449</vt:i4>
      </vt:variant>
      <vt:variant>
        <vt:i4>242</vt:i4>
      </vt:variant>
      <vt:variant>
        <vt:i4>0</vt:i4>
      </vt:variant>
      <vt:variant>
        <vt:i4>5</vt:i4>
      </vt:variant>
      <vt:variant>
        <vt:lpwstr/>
      </vt:variant>
      <vt:variant>
        <vt:lpwstr>_Toc184926693</vt:lpwstr>
      </vt:variant>
      <vt:variant>
        <vt:i4>1638449</vt:i4>
      </vt:variant>
      <vt:variant>
        <vt:i4>236</vt:i4>
      </vt:variant>
      <vt:variant>
        <vt:i4>0</vt:i4>
      </vt:variant>
      <vt:variant>
        <vt:i4>5</vt:i4>
      </vt:variant>
      <vt:variant>
        <vt:lpwstr/>
      </vt:variant>
      <vt:variant>
        <vt:lpwstr>_Toc184926692</vt:lpwstr>
      </vt:variant>
      <vt:variant>
        <vt:i4>1638449</vt:i4>
      </vt:variant>
      <vt:variant>
        <vt:i4>230</vt:i4>
      </vt:variant>
      <vt:variant>
        <vt:i4>0</vt:i4>
      </vt:variant>
      <vt:variant>
        <vt:i4>5</vt:i4>
      </vt:variant>
      <vt:variant>
        <vt:lpwstr/>
      </vt:variant>
      <vt:variant>
        <vt:lpwstr>_Toc184926691</vt:lpwstr>
      </vt:variant>
      <vt:variant>
        <vt:i4>1638449</vt:i4>
      </vt:variant>
      <vt:variant>
        <vt:i4>224</vt:i4>
      </vt:variant>
      <vt:variant>
        <vt:i4>0</vt:i4>
      </vt:variant>
      <vt:variant>
        <vt:i4>5</vt:i4>
      </vt:variant>
      <vt:variant>
        <vt:lpwstr/>
      </vt:variant>
      <vt:variant>
        <vt:lpwstr>_Toc184926690</vt:lpwstr>
      </vt:variant>
      <vt:variant>
        <vt:i4>1572913</vt:i4>
      </vt:variant>
      <vt:variant>
        <vt:i4>218</vt:i4>
      </vt:variant>
      <vt:variant>
        <vt:i4>0</vt:i4>
      </vt:variant>
      <vt:variant>
        <vt:i4>5</vt:i4>
      </vt:variant>
      <vt:variant>
        <vt:lpwstr/>
      </vt:variant>
      <vt:variant>
        <vt:lpwstr>_Toc184926689</vt:lpwstr>
      </vt:variant>
      <vt:variant>
        <vt:i4>1572913</vt:i4>
      </vt:variant>
      <vt:variant>
        <vt:i4>212</vt:i4>
      </vt:variant>
      <vt:variant>
        <vt:i4>0</vt:i4>
      </vt:variant>
      <vt:variant>
        <vt:i4>5</vt:i4>
      </vt:variant>
      <vt:variant>
        <vt:lpwstr/>
      </vt:variant>
      <vt:variant>
        <vt:lpwstr>_Toc184926688</vt:lpwstr>
      </vt:variant>
      <vt:variant>
        <vt:i4>1572913</vt:i4>
      </vt:variant>
      <vt:variant>
        <vt:i4>206</vt:i4>
      </vt:variant>
      <vt:variant>
        <vt:i4>0</vt:i4>
      </vt:variant>
      <vt:variant>
        <vt:i4>5</vt:i4>
      </vt:variant>
      <vt:variant>
        <vt:lpwstr/>
      </vt:variant>
      <vt:variant>
        <vt:lpwstr>_Toc184926687</vt:lpwstr>
      </vt:variant>
      <vt:variant>
        <vt:i4>1572913</vt:i4>
      </vt:variant>
      <vt:variant>
        <vt:i4>200</vt:i4>
      </vt:variant>
      <vt:variant>
        <vt:i4>0</vt:i4>
      </vt:variant>
      <vt:variant>
        <vt:i4>5</vt:i4>
      </vt:variant>
      <vt:variant>
        <vt:lpwstr/>
      </vt:variant>
      <vt:variant>
        <vt:lpwstr>_Toc184926686</vt:lpwstr>
      </vt:variant>
      <vt:variant>
        <vt:i4>1572913</vt:i4>
      </vt:variant>
      <vt:variant>
        <vt:i4>194</vt:i4>
      </vt:variant>
      <vt:variant>
        <vt:i4>0</vt:i4>
      </vt:variant>
      <vt:variant>
        <vt:i4>5</vt:i4>
      </vt:variant>
      <vt:variant>
        <vt:lpwstr/>
      </vt:variant>
      <vt:variant>
        <vt:lpwstr>_Toc184926685</vt:lpwstr>
      </vt:variant>
      <vt:variant>
        <vt:i4>1572913</vt:i4>
      </vt:variant>
      <vt:variant>
        <vt:i4>188</vt:i4>
      </vt:variant>
      <vt:variant>
        <vt:i4>0</vt:i4>
      </vt:variant>
      <vt:variant>
        <vt:i4>5</vt:i4>
      </vt:variant>
      <vt:variant>
        <vt:lpwstr/>
      </vt:variant>
      <vt:variant>
        <vt:lpwstr>_Toc184926684</vt:lpwstr>
      </vt:variant>
      <vt:variant>
        <vt:i4>1572913</vt:i4>
      </vt:variant>
      <vt:variant>
        <vt:i4>182</vt:i4>
      </vt:variant>
      <vt:variant>
        <vt:i4>0</vt:i4>
      </vt:variant>
      <vt:variant>
        <vt:i4>5</vt:i4>
      </vt:variant>
      <vt:variant>
        <vt:lpwstr/>
      </vt:variant>
      <vt:variant>
        <vt:lpwstr>_Toc184926683</vt:lpwstr>
      </vt:variant>
      <vt:variant>
        <vt:i4>1572913</vt:i4>
      </vt:variant>
      <vt:variant>
        <vt:i4>176</vt:i4>
      </vt:variant>
      <vt:variant>
        <vt:i4>0</vt:i4>
      </vt:variant>
      <vt:variant>
        <vt:i4>5</vt:i4>
      </vt:variant>
      <vt:variant>
        <vt:lpwstr/>
      </vt:variant>
      <vt:variant>
        <vt:lpwstr>_Toc184926682</vt:lpwstr>
      </vt:variant>
      <vt:variant>
        <vt:i4>1572913</vt:i4>
      </vt:variant>
      <vt:variant>
        <vt:i4>170</vt:i4>
      </vt:variant>
      <vt:variant>
        <vt:i4>0</vt:i4>
      </vt:variant>
      <vt:variant>
        <vt:i4>5</vt:i4>
      </vt:variant>
      <vt:variant>
        <vt:lpwstr/>
      </vt:variant>
      <vt:variant>
        <vt:lpwstr>_Toc184926681</vt:lpwstr>
      </vt:variant>
      <vt:variant>
        <vt:i4>1572913</vt:i4>
      </vt:variant>
      <vt:variant>
        <vt:i4>164</vt:i4>
      </vt:variant>
      <vt:variant>
        <vt:i4>0</vt:i4>
      </vt:variant>
      <vt:variant>
        <vt:i4>5</vt:i4>
      </vt:variant>
      <vt:variant>
        <vt:lpwstr/>
      </vt:variant>
      <vt:variant>
        <vt:lpwstr>_Toc184926680</vt:lpwstr>
      </vt:variant>
      <vt:variant>
        <vt:i4>1507377</vt:i4>
      </vt:variant>
      <vt:variant>
        <vt:i4>158</vt:i4>
      </vt:variant>
      <vt:variant>
        <vt:i4>0</vt:i4>
      </vt:variant>
      <vt:variant>
        <vt:i4>5</vt:i4>
      </vt:variant>
      <vt:variant>
        <vt:lpwstr/>
      </vt:variant>
      <vt:variant>
        <vt:lpwstr>_Toc184926679</vt:lpwstr>
      </vt:variant>
      <vt:variant>
        <vt:i4>1507377</vt:i4>
      </vt:variant>
      <vt:variant>
        <vt:i4>152</vt:i4>
      </vt:variant>
      <vt:variant>
        <vt:i4>0</vt:i4>
      </vt:variant>
      <vt:variant>
        <vt:i4>5</vt:i4>
      </vt:variant>
      <vt:variant>
        <vt:lpwstr/>
      </vt:variant>
      <vt:variant>
        <vt:lpwstr>_Toc184926678</vt:lpwstr>
      </vt:variant>
      <vt:variant>
        <vt:i4>1507377</vt:i4>
      </vt:variant>
      <vt:variant>
        <vt:i4>146</vt:i4>
      </vt:variant>
      <vt:variant>
        <vt:i4>0</vt:i4>
      </vt:variant>
      <vt:variant>
        <vt:i4>5</vt:i4>
      </vt:variant>
      <vt:variant>
        <vt:lpwstr/>
      </vt:variant>
      <vt:variant>
        <vt:lpwstr>_Toc184926677</vt:lpwstr>
      </vt:variant>
      <vt:variant>
        <vt:i4>1507377</vt:i4>
      </vt:variant>
      <vt:variant>
        <vt:i4>140</vt:i4>
      </vt:variant>
      <vt:variant>
        <vt:i4>0</vt:i4>
      </vt:variant>
      <vt:variant>
        <vt:i4>5</vt:i4>
      </vt:variant>
      <vt:variant>
        <vt:lpwstr/>
      </vt:variant>
      <vt:variant>
        <vt:lpwstr>_Toc184926676</vt:lpwstr>
      </vt:variant>
      <vt:variant>
        <vt:i4>1507377</vt:i4>
      </vt:variant>
      <vt:variant>
        <vt:i4>134</vt:i4>
      </vt:variant>
      <vt:variant>
        <vt:i4>0</vt:i4>
      </vt:variant>
      <vt:variant>
        <vt:i4>5</vt:i4>
      </vt:variant>
      <vt:variant>
        <vt:lpwstr/>
      </vt:variant>
      <vt:variant>
        <vt:lpwstr>_Toc184926675</vt:lpwstr>
      </vt:variant>
      <vt:variant>
        <vt:i4>1507377</vt:i4>
      </vt:variant>
      <vt:variant>
        <vt:i4>128</vt:i4>
      </vt:variant>
      <vt:variant>
        <vt:i4>0</vt:i4>
      </vt:variant>
      <vt:variant>
        <vt:i4>5</vt:i4>
      </vt:variant>
      <vt:variant>
        <vt:lpwstr/>
      </vt:variant>
      <vt:variant>
        <vt:lpwstr>_Toc184926674</vt:lpwstr>
      </vt:variant>
      <vt:variant>
        <vt:i4>1507377</vt:i4>
      </vt:variant>
      <vt:variant>
        <vt:i4>122</vt:i4>
      </vt:variant>
      <vt:variant>
        <vt:i4>0</vt:i4>
      </vt:variant>
      <vt:variant>
        <vt:i4>5</vt:i4>
      </vt:variant>
      <vt:variant>
        <vt:lpwstr/>
      </vt:variant>
      <vt:variant>
        <vt:lpwstr>_Toc184926673</vt:lpwstr>
      </vt:variant>
      <vt:variant>
        <vt:i4>1507377</vt:i4>
      </vt:variant>
      <vt:variant>
        <vt:i4>116</vt:i4>
      </vt:variant>
      <vt:variant>
        <vt:i4>0</vt:i4>
      </vt:variant>
      <vt:variant>
        <vt:i4>5</vt:i4>
      </vt:variant>
      <vt:variant>
        <vt:lpwstr/>
      </vt:variant>
      <vt:variant>
        <vt:lpwstr>_Toc184926672</vt:lpwstr>
      </vt:variant>
      <vt:variant>
        <vt:i4>1507377</vt:i4>
      </vt:variant>
      <vt:variant>
        <vt:i4>110</vt:i4>
      </vt:variant>
      <vt:variant>
        <vt:i4>0</vt:i4>
      </vt:variant>
      <vt:variant>
        <vt:i4>5</vt:i4>
      </vt:variant>
      <vt:variant>
        <vt:lpwstr/>
      </vt:variant>
      <vt:variant>
        <vt:lpwstr>_Toc184926671</vt:lpwstr>
      </vt:variant>
      <vt:variant>
        <vt:i4>1507377</vt:i4>
      </vt:variant>
      <vt:variant>
        <vt:i4>104</vt:i4>
      </vt:variant>
      <vt:variant>
        <vt:i4>0</vt:i4>
      </vt:variant>
      <vt:variant>
        <vt:i4>5</vt:i4>
      </vt:variant>
      <vt:variant>
        <vt:lpwstr/>
      </vt:variant>
      <vt:variant>
        <vt:lpwstr>_Toc184926670</vt:lpwstr>
      </vt:variant>
      <vt:variant>
        <vt:i4>1441841</vt:i4>
      </vt:variant>
      <vt:variant>
        <vt:i4>98</vt:i4>
      </vt:variant>
      <vt:variant>
        <vt:i4>0</vt:i4>
      </vt:variant>
      <vt:variant>
        <vt:i4>5</vt:i4>
      </vt:variant>
      <vt:variant>
        <vt:lpwstr/>
      </vt:variant>
      <vt:variant>
        <vt:lpwstr>_Toc184926669</vt:lpwstr>
      </vt:variant>
      <vt:variant>
        <vt:i4>1441841</vt:i4>
      </vt:variant>
      <vt:variant>
        <vt:i4>92</vt:i4>
      </vt:variant>
      <vt:variant>
        <vt:i4>0</vt:i4>
      </vt:variant>
      <vt:variant>
        <vt:i4>5</vt:i4>
      </vt:variant>
      <vt:variant>
        <vt:lpwstr/>
      </vt:variant>
      <vt:variant>
        <vt:lpwstr>_Toc184926668</vt:lpwstr>
      </vt:variant>
      <vt:variant>
        <vt:i4>1441841</vt:i4>
      </vt:variant>
      <vt:variant>
        <vt:i4>86</vt:i4>
      </vt:variant>
      <vt:variant>
        <vt:i4>0</vt:i4>
      </vt:variant>
      <vt:variant>
        <vt:i4>5</vt:i4>
      </vt:variant>
      <vt:variant>
        <vt:lpwstr/>
      </vt:variant>
      <vt:variant>
        <vt:lpwstr>_Toc184926667</vt:lpwstr>
      </vt:variant>
      <vt:variant>
        <vt:i4>1441841</vt:i4>
      </vt:variant>
      <vt:variant>
        <vt:i4>80</vt:i4>
      </vt:variant>
      <vt:variant>
        <vt:i4>0</vt:i4>
      </vt:variant>
      <vt:variant>
        <vt:i4>5</vt:i4>
      </vt:variant>
      <vt:variant>
        <vt:lpwstr/>
      </vt:variant>
      <vt:variant>
        <vt:lpwstr>_Toc184926666</vt:lpwstr>
      </vt:variant>
      <vt:variant>
        <vt:i4>1441841</vt:i4>
      </vt:variant>
      <vt:variant>
        <vt:i4>74</vt:i4>
      </vt:variant>
      <vt:variant>
        <vt:i4>0</vt:i4>
      </vt:variant>
      <vt:variant>
        <vt:i4>5</vt:i4>
      </vt:variant>
      <vt:variant>
        <vt:lpwstr/>
      </vt:variant>
      <vt:variant>
        <vt:lpwstr>_Toc184926665</vt:lpwstr>
      </vt:variant>
      <vt:variant>
        <vt:i4>1441841</vt:i4>
      </vt:variant>
      <vt:variant>
        <vt:i4>68</vt:i4>
      </vt:variant>
      <vt:variant>
        <vt:i4>0</vt:i4>
      </vt:variant>
      <vt:variant>
        <vt:i4>5</vt:i4>
      </vt:variant>
      <vt:variant>
        <vt:lpwstr/>
      </vt:variant>
      <vt:variant>
        <vt:lpwstr>_Toc184926664</vt:lpwstr>
      </vt:variant>
      <vt:variant>
        <vt:i4>1441841</vt:i4>
      </vt:variant>
      <vt:variant>
        <vt:i4>62</vt:i4>
      </vt:variant>
      <vt:variant>
        <vt:i4>0</vt:i4>
      </vt:variant>
      <vt:variant>
        <vt:i4>5</vt:i4>
      </vt:variant>
      <vt:variant>
        <vt:lpwstr/>
      </vt:variant>
      <vt:variant>
        <vt:lpwstr>_Toc184926663</vt:lpwstr>
      </vt:variant>
      <vt:variant>
        <vt:i4>1441841</vt:i4>
      </vt:variant>
      <vt:variant>
        <vt:i4>56</vt:i4>
      </vt:variant>
      <vt:variant>
        <vt:i4>0</vt:i4>
      </vt:variant>
      <vt:variant>
        <vt:i4>5</vt:i4>
      </vt:variant>
      <vt:variant>
        <vt:lpwstr/>
      </vt:variant>
      <vt:variant>
        <vt:lpwstr>_Toc184926662</vt:lpwstr>
      </vt:variant>
      <vt:variant>
        <vt:i4>1441841</vt:i4>
      </vt:variant>
      <vt:variant>
        <vt:i4>50</vt:i4>
      </vt:variant>
      <vt:variant>
        <vt:i4>0</vt:i4>
      </vt:variant>
      <vt:variant>
        <vt:i4>5</vt:i4>
      </vt:variant>
      <vt:variant>
        <vt:lpwstr/>
      </vt:variant>
      <vt:variant>
        <vt:lpwstr>_Toc184926661</vt:lpwstr>
      </vt:variant>
      <vt:variant>
        <vt:i4>1441841</vt:i4>
      </vt:variant>
      <vt:variant>
        <vt:i4>44</vt:i4>
      </vt:variant>
      <vt:variant>
        <vt:i4>0</vt:i4>
      </vt:variant>
      <vt:variant>
        <vt:i4>5</vt:i4>
      </vt:variant>
      <vt:variant>
        <vt:lpwstr/>
      </vt:variant>
      <vt:variant>
        <vt:lpwstr>_Toc184926660</vt:lpwstr>
      </vt:variant>
      <vt:variant>
        <vt:i4>1376305</vt:i4>
      </vt:variant>
      <vt:variant>
        <vt:i4>38</vt:i4>
      </vt:variant>
      <vt:variant>
        <vt:i4>0</vt:i4>
      </vt:variant>
      <vt:variant>
        <vt:i4>5</vt:i4>
      </vt:variant>
      <vt:variant>
        <vt:lpwstr/>
      </vt:variant>
      <vt:variant>
        <vt:lpwstr>_Toc184926659</vt:lpwstr>
      </vt:variant>
      <vt:variant>
        <vt:i4>1376305</vt:i4>
      </vt:variant>
      <vt:variant>
        <vt:i4>32</vt:i4>
      </vt:variant>
      <vt:variant>
        <vt:i4>0</vt:i4>
      </vt:variant>
      <vt:variant>
        <vt:i4>5</vt:i4>
      </vt:variant>
      <vt:variant>
        <vt:lpwstr/>
      </vt:variant>
      <vt:variant>
        <vt:lpwstr>_Toc184926658</vt:lpwstr>
      </vt:variant>
      <vt:variant>
        <vt:i4>1376305</vt:i4>
      </vt:variant>
      <vt:variant>
        <vt:i4>26</vt:i4>
      </vt:variant>
      <vt:variant>
        <vt:i4>0</vt:i4>
      </vt:variant>
      <vt:variant>
        <vt:i4>5</vt:i4>
      </vt:variant>
      <vt:variant>
        <vt:lpwstr/>
      </vt:variant>
      <vt:variant>
        <vt:lpwstr>_Toc184926657</vt:lpwstr>
      </vt:variant>
      <vt:variant>
        <vt:i4>1376305</vt:i4>
      </vt:variant>
      <vt:variant>
        <vt:i4>20</vt:i4>
      </vt:variant>
      <vt:variant>
        <vt:i4>0</vt:i4>
      </vt:variant>
      <vt:variant>
        <vt:i4>5</vt:i4>
      </vt:variant>
      <vt:variant>
        <vt:lpwstr/>
      </vt:variant>
      <vt:variant>
        <vt:lpwstr>_Toc184926656</vt:lpwstr>
      </vt:variant>
      <vt:variant>
        <vt:i4>1376305</vt:i4>
      </vt:variant>
      <vt:variant>
        <vt:i4>14</vt:i4>
      </vt:variant>
      <vt:variant>
        <vt:i4>0</vt:i4>
      </vt:variant>
      <vt:variant>
        <vt:i4>5</vt:i4>
      </vt:variant>
      <vt:variant>
        <vt:lpwstr/>
      </vt:variant>
      <vt:variant>
        <vt:lpwstr>_Toc184926655</vt:lpwstr>
      </vt:variant>
      <vt:variant>
        <vt:i4>1376305</vt:i4>
      </vt:variant>
      <vt:variant>
        <vt:i4>8</vt:i4>
      </vt:variant>
      <vt:variant>
        <vt:i4>0</vt:i4>
      </vt:variant>
      <vt:variant>
        <vt:i4>5</vt:i4>
      </vt:variant>
      <vt:variant>
        <vt:lpwstr/>
      </vt:variant>
      <vt:variant>
        <vt:lpwstr>_Toc184926654</vt:lpwstr>
      </vt:variant>
      <vt:variant>
        <vt:i4>1376305</vt:i4>
      </vt:variant>
      <vt:variant>
        <vt:i4>2</vt:i4>
      </vt:variant>
      <vt:variant>
        <vt:i4>0</vt:i4>
      </vt:variant>
      <vt:variant>
        <vt:i4>5</vt:i4>
      </vt:variant>
      <vt:variant>
        <vt:lpwstr/>
      </vt:variant>
      <vt:variant>
        <vt:lpwstr>_Toc184926653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Andreia Alves Pimenta</dc:creator>
  <cp:keywords/>
  <cp:lastModifiedBy>Caroline Lima Magalhães</cp:lastModifiedBy>
  <cp:revision>3</cp:revision>
  <cp:lastPrinted>2025-01-30T13:13:00Z</cp:lastPrinted>
  <dcterms:created xsi:type="dcterms:W3CDTF">2025-01-30T13:12:00Z</dcterms:created>
  <dcterms:modified xsi:type="dcterms:W3CDTF">2025-01-30T13:13:00Z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0x0101007F65A3071BFE0D4081E9BA69BA423F64</vt:lpwstr>
  </property>
  <property fmtid="{D5CDD505-2E9C-101B-9397-08002B2CF9AE}" pid="3" name="MediaServiceImageTags">
    <vt:lpwstr/>
  </property>
</Properties>
</file>